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jc w:val="both"/>
        <w:rPr>
          <w:rFonts w:hint="eastAsia" w:ascii="宋体" w:hAnsi="宋体" w:cs="宋体"/>
          <w:b/>
          <w:bCs/>
          <w:sz w:val="36"/>
          <w:szCs w:val="36"/>
          <w:lang w:val="en-US" w:eastAsia="zh-CN"/>
        </w:rPr>
      </w:pPr>
      <w:bookmarkStart w:id="0" w:name="_GoBack"/>
      <w:bookmarkEnd w:id="0"/>
    </w:p>
    <w:p>
      <w:pPr>
        <w:spacing w:beforeAutospacing="0" w:after="315" w:afterLines="100" w:afterAutospacing="0"/>
        <w:ind w:firstLine="883" w:firstLineChars="200"/>
        <w:jc w:val="center"/>
        <w:rPr>
          <w:rFonts w:hint="eastAsia" w:ascii="宋体" w:hAnsi="宋体" w:eastAsia="宋体" w:cs="宋体"/>
          <w:b/>
          <w:bCs/>
          <w:sz w:val="44"/>
          <w:szCs w:val="44"/>
          <w:lang w:val="en-US" w:eastAsia="zh-CN"/>
        </w:rPr>
      </w:pPr>
      <w:r>
        <w:rPr>
          <w:rFonts w:hint="eastAsia" w:ascii="宋体" w:hAnsi="宋体" w:cs="宋体"/>
          <w:b/>
          <w:bCs/>
          <w:sz w:val="44"/>
          <w:szCs w:val="44"/>
          <w:lang w:val="en-US" w:eastAsia="zh-CN"/>
        </w:rPr>
        <w:t>深圳市发展和改革委员会主管</w:t>
      </w:r>
      <w:r>
        <w:rPr>
          <w:rFonts w:hint="eastAsia" w:ascii="宋体" w:hAnsi="宋体" w:eastAsia="宋体" w:cs="宋体"/>
          <w:b/>
          <w:bCs/>
          <w:sz w:val="44"/>
          <w:szCs w:val="44"/>
          <w:lang w:val="en-US" w:eastAsia="zh-CN"/>
        </w:rPr>
        <w:t>行业收费目录清单</w:t>
      </w:r>
    </w:p>
    <w:tbl>
      <w:tblPr>
        <w:tblStyle w:val="4"/>
        <w:tblW w:w="15120" w:type="dxa"/>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449"/>
        <w:gridCol w:w="1610"/>
        <w:gridCol w:w="1810"/>
        <w:gridCol w:w="2230"/>
        <w:gridCol w:w="1699"/>
        <w:gridCol w:w="2241"/>
        <w:gridCol w:w="1540"/>
        <w:gridCol w:w="960"/>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68" w:hRule="atLeast"/>
        </w:trPr>
        <w:tc>
          <w:tcPr>
            <w:tcW w:w="652"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400" w:lineRule="exact"/>
              <w:ind w:left="0" w:leftChars="0" w:right="0" w:rightChars="0" w:firstLine="0" w:firstLineChars="0"/>
              <w:jc w:val="center"/>
              <w:textAlignment w:val="center"/>
              <w:outlineLvl w:val="9"/>
              <w:rPr>
                <w:rFonts w:hint="eastAsia" w:ascii="宋体" w:hAnsi="宋体" w:eastAsia="宋体" w:cs="宋体"/>
                <w:sz w:val="28"/>
                <w:szCs w:val="28"/>
                <w:vertAlign w:val="baseline"/>
                <w:lang w:val="en-US" w:eastAsia="zh-CN"/>
              </w:rPr>
            </w:pPr>
            <w:r>
              <w:rPr>
                <w:rFonts w:hint="eastAsia" w:ascii="宋体" w:hAnsi="宋体" w:eastAsia="宋体" w:cs="宋体"/>
                <w:b/>
                <w:i w:val="0"/>
                <w:color w:val="000000"/>
                <w:kern w:val="0"/>
                <w:sz w:val="28"/>
                <w:szCs w:val="28"/>
                <w:u w:val="none"/>
                <w:lang w:val="en-US" w:eastAsia="zh-CN" w:bidi="ar"/>
              </w:rPr>
              <w:t>序号</w:t>
            </w:r>
          </w:p>
        </w:tc>
        <w:tc>
          <w:tcPr>
            <w:tcW w:w="1449" w:type="dxa"/>
            <w:vAlign w:val="center"/>
          </w:tcPr>
          <w:p>
            <w:pPr>
              <w:keepNext w:val="0"/>
              <w:keepLines w:val="0"/>
              <w:widowControl/>
              <w:suppressLineNumbers w:val="0"/>
              <w:jc w:val="center"/>
              <w:textAlignment w:val="center"/>
              <w:rPr>
                <w:rFonts w:hint="eastAsia" w:ascii="宋体" w:hAnsi="宋体" w:eastAsia="宋体" w:cs="宋体"/>
                <w:sz w:val="28"/>
                <w:szCs w:val="28"/>
                <w:vertAlign w:val="baseline"/>
                <w:lang w:val="en-US" w:eastAsia="zh-CN"/>
              </w:rPr>
            </w:pPr>
            <w:r>
              <w:rPr>
                <w:rFonts w:hint="eastAsia" w:ascii="宋体" w:hAnsi="宋体" w:eastAsia="宋体" w:cs="宋体"/>
                <w:b/>
                <w:i w:val="0"/>
                <w:color w:val="000000"/>
                <w:kern w:val="0"/>
                <w:sz w:val="28"/>
                <w:szCs w:val="28"/>
                <w:u w:val="none"/>
                <w:lang w:val="en-US" w:eastAsia="zh-CN" w:bidi="ar"/>
              </w:rPr>
              <w:t>收费项目</w:t>
            </w:r>
          </w:p>
        </w:tc>
        <w:tc>
          <w:tcPr>
            <w:tcW w:w="1610" w:type="dxa"/>
            <w:vAlign w:val="center"/>
          </w:tcPr>
          <w:p>
            <w:pPr>
              <w:keepNext w:val="0"/>
              <w:keepLines w:val="0"/>
              <w:widowControl/>
              <w:suppressLineNumbers w:val="0"/>
              <w:jc w:val="center"/>
              <w:textAlignment w:val="center"/>
              <w:rPr>
                <w:rFonts w:hint="eastAsia" w:ascii="宋体" w:hAnsi="宋体" w:eastAsia="宋体" w:cs="宋体"/>
                <w:sz w:val="28"/>
                <w:szCs w:val="28"/>
                <w:vertAlign w:val="baseline"/>
                <w:lang w:val="en-US" w:eastAsia="zh-CN"/>
              </w:rPr>
            </w:pPr>
            <w:r>
              <w:rPr>
                <w:rFonts w:hint="eastAsia" w:ascii="宋体" w:hAnsi="宋体" w:eastAsia="宋体" w:cs="宋体"/>
                <w:b/>
                <w:i w:val="0"/>
                <w:color w:val="000000"/>
                <w:kern w:val="0"/>
                <w:sz w:val="28"/>
                <w:szCs w:val="28"/>
                <w:u w:val="none"/>
                <w:lang w:val="en-US" w:eastAsia="zh-CN" w:bidi="ar"/>
              </w:rPr>
              <w:t>行业主管部门</w:t>
            </w:r>
          </w:p>
        </w:tc>
        <w:tc>
          <w:tcPr>
            <w:tcW w:w="1810" w:type="dxa"/>
            <w:vAlign w:val="center"/>
          </w:tcPr>
          <w:p>
            <w:pPr>
              <w:keepNext w:val="0"/>
              <w:keepLines w:val="0"/>
              <w:widowControl/>
              <w:suppressLineNumbers w:val="0"/>
              <w:jc w:val="center"/>
              <w:textAlignment w:val="center"/>
              <w:rPr>
                <w:rFonts w:hint="eastAsia" w:ascii="宋体" w:hAnsi="宋体" w:eastAsia="宋体" w:cs="宋体"/>
                <w:sz w:val="28"/>
                <w:szCs w:val="28"/>
                <w:vertAlign w:val="baseline"/>
                <w:lang w:val="en-US" w:eastAsia="zh-CN"/>
              </w:rPr>
            </w:pPr>
            <w:r>
              <w:rPr>
                <w:rFonts w:hint="eastAsia" w:ascii="宋体" w:hAnsi="宋体" w:eastAsia="宋体" w:cs="宋体"/>
                <w:b/>
                <w:i w:val="0"/>
                <w:color w:val="000000"/>
                <w:kern w:val="0"/>
                <w:sz w:val="28"/>
                <w:szCs w:val="28"/>
                <w:u w:val="none"/>
                <w:lang w:val="en-US" w:eastAsia="zh-CN" w:bidi="ar"/>
              </w:rPr>
              <w:t>设立依据</w:t>
            </w:r>
          </w:p>
        </w:tc>
        <w:tc>
          <w:tcPr>
            <w:tcW w:w="2230" w:type="dxa"/>
            <w:vAlign w:val="center"/>
          </w:tcPr>
          <w:p>
            <w:pPr>
              <w:keepNext w:val="0"/>
              <w:keepLines w:val="0"/>
              <w:widowControl/>
              <w:suppressLineNumbers w:val="0"/>
              <w:jc w:val="center"/>
              <w:textAlignment w:val="center"/>
              <w:rPr>
                <w:rFonts w:hint="eastAsia" w:ascii="宋体" w:hAnsi="宋体" w:eastAsia="宋体" w:cs="宋体"/>
                <w:sz w:val="28"/>
                <w:szCs w:val="28"/>
                <w:vertAlign w:val="baseline"/>
                <w:lang w:val="en-US" w:eastAsia="zh-CN"/>
              </w:rPr>
            </w:pPr>
            <w:r>
              <w:rPr>
                <w:rFonts w:hint="eastAsia" w:ascii="宋体" w:hAnsi="宋体" w:eastAsia="宋体" w:cs="宋体"/>
                <w:b/>
                <w:i w:val="0"/>
                <w:color w:val="000000"/>
                <w:kern w:val="0"/>
                <w:sz w:val="28"/>
                <w:szCs w:val="28"/>
                <w:u w:val="none"/>
                <w:lang w:val="en-US" w:eastAsia="zh-CN" w:bidi="ar"/>
              </w:rPr>
              <w:t>收费文件</w:t>
            </w:r>
          </w:p>
        </w:tc>
        <w:tc>
          <w:tcPr>
            <w:tcW w:w="1699" w:type="dxa"/>
            <w:vAlign w:val="center"/>
          </w:tcPr>
          <w:p>
            <w:pPr>
              <w:keepNext w:val="0"/>
              <w:keepLines w:val="0"/>
              <w:widowControl/>
              <w:suppressLineNumbers w:val="0"/>
              <w:jc w:val="center"/>
              <w:textAlignment w:val="center"/>
              <w:rPr>
                <w:rFonts w:hint="eastAsia" w:ascii="宋体" w:hAnsi="宋体" w:eastAsia="宋体" w:cs="宋体"/>
                <w:sz w:val="28"/>
                <w:szCs w:val="28"/>
                <w:vertAlign w:val="baseline"/>
                <w:lang w:val="en-US" w:eastAsia="zh-CN"/>
              </w:rPr>
            </w:pPr>
            <w:r>
              <w:rPr>
                <w:rFonts w:hint="eastAsia" w:ascii="宋体" w:hAnsi="宋体" w:eastAsia="宋体" w:cs="宋体"/>
                <w:b/>
                <w:i w:val="0"/>
                <w:color w:val="000000"/>
                <w:kern w:val="0"/>
                <w:sz w:val="28"/>
                <w:szCs w:val="28"/>
                <w:u w:val="none"/>
                <w:lang w:val="en-US" w:eastAsia="zh-CN" w:bidi="ar"/>
              </w:rPr>
              <w:t>收费范围</w:t>
            </w:r>
            <w:r>
              <w:rPr>
                <w:rFonts w:hint="eastAsia" w:ascii="宋体" w:hAnsi="宋体" w:cs="宋体"/>
                <w:b/>
                <w:i w:val="0"/>
                <w:color w:val="000000"/>
                <w:kern w:val="0"/>
                <w:sz w:val="28"/>
                <w:szCs w:val="28"/>
                <w:u w:val="none"/>
                <w:lang w:val="en-US" w:eastAsia="zh-CN" w:bidi="ar"/>
              </w:rPr>
              <w:t xml:space="preserve">    </w:t>
            </w:r>
            <w:r>
              <w:rPr>
                <w:rFonts w:hint="eastAsia" w:ascii="宋体" w:hAnsi="宋体" w:eastAsia="宋体" w:cs="宋体"/>
                <w:b/>
                <w:i w:val="0"/>
                <w:color w:val="000000"/>
                <w:kern w:val="0"/>
                <w:sz w:val="28"/>
                <w:szCs w:val="28"/>
                <w:u w:val="none"/>
                <w:lang w:val="en-US" w:eastAsia="zh-CN" w:bidi="ar"/>
              </w:rPr>
              <w:t>和对象</w:t>
            </w:r>
          </w:p>
        </w:tc>
        <w:tc>
          <w:tcPr>
            <w:tcW w:w="2241" w:type="dxa"/>
            <w:vAlign w:val="center"/>
          </w:tcPr>
          <w:p>
            <w:pPr>
              <w:keepNext w:val="0"/>
              <w:keepLines w:val="0"/>
              <w:widowControl/>
              <w:suppressLineNumbers w:val="0"/>
              <w:jc w:val="center"/>
              <w:textAlignment w:val="center"/>
              <w:rPr>
                <w:rFonts w:hint="eastAsia" w:ascii="宋体" w:hAnsi="宋体" w:eastAsia="宋体" w:cs="宋体"/>
                <w:sz w:val="28"/>
                <w:szCs w:val="28"/>
                <w:vertAlign w:val="baseline"/>
                <w:lang w:val="en-US" w:eastAsia="zh-CN"/>
              </w:rPr>
            </w:pPr>
            <w:r>
              <w:rPr>
                <w:rFonts w:hint="eastAsia" w:ascii="宋体" w:hAnsi="宋体" w:eastAsia="宋体" w:cs="宋体"/>
                <w:b/>
                <w:i w:val="0"/>
                <w:color w:val="000000"/>
                <w:kern w:val="0"/>
                <w:sz w:val="28"/>
                <w:szCs w:val="28"/>
                <w:u w:val="none"/>
                <w:lang w:val="en-US" w:eastAsia="zh-CN" w:bidi="ar"/>
              </w:rPr>
              <w:t>收费标准</w:t>
            </w:r>
          </w:p>
        </w:tc>
        <w:tc>
          <w:tcPr>
            <w:tcW w:w="1540" w:type="dxa"/>
            <w:vAlign w:val="center"/>
          </w:tcPr>
          <w:p>
            <w:pPr>
              <w:keepNext w:val="0"/>
              <w:keepLines w:val="0"/>
              <w:widowControl/>
              <w:suppressLineNumbers w:val="0"/>
              <w:jc w:val="center"/>
              <w:textAlignment w:val="center"/>
              <w:rPr>
                <w:rFonts w:hint="eastAsia" w:ascii="宋体" w:hAnsi="宋体" w:eastAsia="宋体" w:cs="宋体"/>
                <w:sz w:val="28"/>
                <w:szCs w:val="28"/>
                <w:vertAlign w:val="baseline"/>
                <w:lang w:val="en-US" w:eastAsia="zh-CN"/>
              </w:rPr>
            </w:pPr>
            <w:r>
              <w:rPr>
                <w:rFonts w:hint="eastAsia" w:ascii="宋体" w:hAnsi="宋体" w:eastAsia="宋体" w:cs="宋体"/>
                <w:b/>
                <w:i w:val="0"/>
                <w:color w:val="000000"/>
                <w:kern w:val="0"/>
                <w:sz w:val="28"/>
                <w:szCs w:val="28"/>
                <w:u w:val="none"/>
                <w:lang w:val="en-US" w:eastAsia="zh-CN" w:bidi="ar"/>
              </w:rPr>
              <w:t>执收单位</w:t>
            </w:r>
          </w:p>
        </w:tc>
        <w:tc>
          <w:tcPr>
            <w:tcW w:w="960" w:type="dxa"/>
            <w:vAlign w:val="center"/>
          </w:tcPr>
          <w:p>
            <w:pPr>
              <w:keepNext w:val="0"/>
              <w:keepLines w:val="0"/>
              <w:widowControl/>
              <w:suppressLineNumbers w:val="0"/>
              <w:jc w:val="center"/>
              <w:textAlignment w:val="center"/>
              <w:rPr>
                <w:rFonts w:hint="eastAsia" w:ascii="宋体" w:hAnsi="宋体" w:eastAsia="宋体" w:cs="宋体"/>
                <w:sz w:val="28"/>
                <w:szCs w:val="28"/>
                <w:vertAlign w:val="baseline"/>
                <w:lang w:val="en-US" w:eastAsia="zh-CN"/>
              </w:rPr>
            </w:pPr>
            <w:r>
              <w:rPr>
                <w:rFonts w:hint="eastAsia" w:ascii="宋体" w:hAnsi="宋体" w:eastAsia="宋体" w:cs="宋体"/>
                <w:b/>
                <w:i w:val="0"/>
                <w:color w:val="000000"/>
                <w:kern w:val="0"/>
                <w:sz w:val="28"/>
                <w:szCs w:val="28"/>
                <w:u w:val="none"/>
                <w:lang w:val="en-US" w:eastAsia="zh-CN" w:bidi="ar"/>
              </w:rPr>
              <w:t>收费</w:t>
            </w:r>
            <w:r>
              <w:rPr>
                <w:rFonts w:hint="eastAsia" w:ascii="宋体" w:hAnsi="宋体" w:cs="宋体"/>
                <w:b/>
                <w:i w:val="0"/>
                <w:color w:val="000000"/>
                <w:kern w:val="0"/>
                <w:sz w:val="28"/>
                <w:szCs w:val="28"/>
                <w:u w:val="none"/>
                <w:lang w:val="en-US" w:eastAsia="zh-CN" w:bidi="ar"/>
              </w:rPr>
              <w:t xml:space="preserve">  </w:t>
            </w:r>
            <w:r>
              <w:rPr>
                <w:rFonts w:hint="eastAsia" w:ascii="宋体" w:hAnsi="宋体" w:eastAsia="宋体" w:cs="宋体"/>
                <w:b/>
                <w:i w:val="0"/>
                <w:color w:val="000000"/>
                <w:kern w:val="0"/>
                <w:sz w:val="28"/>
                <w:szCs w:val="28"/>
                <w:u w:val="none"/>
                <w:lang w:val="en-US" w:eastAsia="zh-CN" w:bidi="ar"/>
              </w:rPr>
              <w:t>期限</w:t>
            </w:r>
          </w:p>
        </w:tc>
        <w:tc>
          <w:tcPr>
            <w:tcW w:w="929" w:type="dxa"/>
            <w:vAlign w:val="center"/>
          </w:tcPr>
          <w:p>
            <w:pPr>
              <w:keepNext w:val="0"/>
              <w:keepLines w:val="0"/>
              <w:widowControl/>
              <w:suppressLineNumbers w:val="0"/>
              <w:jc w:val="center"/>
              <w:textAlignment w:val="center"/>
              <w:rPr>
                <w:rFonts w:hint="eastAsia" w:ascii="宋体" w:hAnsi="宋体" w:eastAsia="宋体" w:cs="宋体"/>
                <w:sz w:val="28"/>
                <w:szCs w:val="28"/>
                <w:vertAlign w:val="baseline"/>
                <w:lang w:val="en-US" w:eastAsia="zh-CN"/>
              </w:rPr>
            </w:pPr>
            <w:r>
              <w:rPr>
                <w:rFonts w:hint="eastAsia" w:ascii="宋体" w:hAnsi="宋体" w:eastAsia="宋体" w:cs="宋体"/>
                <w:b/>
                <w:i w:val="0"/>
                <w:color w:val="000000"/>
                <w:kern w:val="0"/>
                <w:sz w:val="28"/>
                <w:szCs w:val="28"/>
                <w:u w:val="none"/>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2" w:type="dxa"/>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一</w:t>
            </w:r>
          </w:p>
        </w:tc>
        <w:tc>
          <w:tcPr>
            <w:tcW w:w="14468" w:type="dxa"/>
            <w:gridSpan w:val="9"/>
            <w:vAlign w:val="center"/>
          </w:tcPr>
          <w:p>
            <w:pPr>
              <w:jc w:val="left"/>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政府定价的经营服务性收费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2"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c>
          <w:tcPr>
            <w:tcW w:w="1449" w:type="dxa"/>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新能源汽车充电服务费</w:t>
            </w:r>
          </w:p>
        </w:tc>
        <w:tc>
          <w:tcPr>
            <w:tcW w:w="1610" w:type="dxa"/>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市发展改革委</w:t>
            </w:r>
          </w:p>
        </w:tc>
        <w:tc>
          <w:tcPr>
            <w:tcW w:w="1810" w:type="dxa"/>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《广东省人民政府关于加快新能源汽车产业创新发展的意见》（粤府〔2018〕46号）</w:t>
            </w:r>
          </w:p>
        </w:tc>
        <w:tc>
          <w:tcPr>
            <w:tcW w:w="2230" w:type="dxa"/>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w:t>
            </w:r>
            <w:r>
              <w:rPr>
                <w:rFonts w:hint="eastAsia" w:ascii="宋体" w:hAnsi="宋体" w:eastAsia="宋体" w:cs="宋体"/>
                <w:sz w:val="22"/>
                <w:szCs w:val="22"/>
                <w:vertAlign w:val="baseline"/>
                <w:lang w:val="en-US" w:eastAsia="zh-CN"/>
              </w:rPr>
              <w:t>深圳市发展和改革委员会关于调整我市电动汽车充电服务价格的通知</w:t>
            </w:r>
            <w:r>
              <w:rPr>
                <w:rFonts w:hint="eastAsia" w:ascii="宋体" w:hAnsi="宋体" w:cs="宋体"/>
                <w:sz w:val="22"/>
                <w:szCs w:val="22"/>
                <w:vertAlign w:val="baseline"/>
                <w:lang w:val="en-US" w:eastAsia="zh-CN"/>
              </w:rPr>
              <w:t>》（深发改﹝2018﹞785号）</w:t>
            </w:r>
          </w:p>
        </w:tc>
        <w:tc>
          <w:tcPr>
            <w:tcW w:w="1699" w:type="dxa"/>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在全市经营性充电设施场站充电的新能源汽车</w:t>
            </w:r>
          </w:p>
        </w:tc>
        <w:tc>
          <w:tcPr>
            <w:tcW w:w="2241" w:type="dxa"/>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自 2018年7月1日起，我市电动汽车充电服务费最高限价调整为0.80元/千瓦时</w:t>
            </w:r>
          </w:p>
        </w:tc>
        <w:tc>
          <w:tcPr>
            <w:tcW w:w="1540" w:type="dxa"/>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全市新能源汽车充电设施运营商</w:t>
            </w:r>
          </w:p>
        </w:tc>
        <w:tc>
          <w:tcPr>
            <w:tcW w:w="960" w:type="dxa"/>
            <w:vAlign w:val="center"/>
          </w:tcPr>
          <w:p>
            <w:pPr>
              <w:jc w:val="center"/>
              <w:rPr>
                <w:rFonts w:hint="eastAsia" w:ascii="宋体" w:hAnsi="宋体" w:eastAsia="宋体" w:cs="宋体"/>
                <w:sz w:val="22"/>
                <w:szCs w:val="22"/>
                <w:vertAlign w:val="baseline"/>
                <w:lang w:val="en-US" w:eastAsia="zh-CN"/>
              </w:rPr>
            </w:pPr>
          </w:p>
        </w:tc>
        <w:tc>
          <w:tcPr>
            <w:tcW w:w="929" w:type="dxa"/>
            <w:vAlign w:val="center"/>
          </w:tcPr>
          <w:p>
            <w:pPr>
              <w:jc w:val="center"/>
              <w:rPr>
                <w:rFonts w:hint="eastAsia" w:ascii="宋体" w:hAnsi="宋体" w:eastAsia="宋体" w:cs="宋体"/>
                <w:sz w:val="22"/>
                <w:szCs w:val="22"/>
                <w:vertAlign w:val="baseli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4B1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2019-04-03T07:16:10Z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