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ind w:firstLine="883" w:firstLineChars="200"/>
        <w:jc w:val="center"/>
        <w:rPr>
          <w:rFonts w:hint="eastAsia"/>
          <w:b/>
          <w:sz w:val="44"/>
          <w:szCs w:val="44"/>
        </w:rPr>
      </w:pPr>
    </w:p>
    <w:p>
      <w:pPr>
        <w:ind w:firstLine="883" w:firstLineChars="200"/>
        <w:jc w:val="center"/>
        <w:rPr>
          <w:rFonts w:hint="eastAsia"/>
          <w:b/>
          <w:sz w:val="44"/>
          <w:szCs w:val="44"/>
          <w:lang w:eastAsia="zh-CN"/>
        </w:rPr>
      </w:pPr>
      <w:r>
        <w:rPr>
          <w:rFonts w:hint="eastAsia"/>
          <w:b/>
          <w:sz w:val="44"/>
          <w:szCs w:val="44"/>
          <w:lang w:eastAsia="zh-CN"/>
        </w:rPr>
        <w:t>联合帮扶</w:t>
      </w:r>
      <w:r>
        <w:rPr>
          <w:rFonts w:hint="eastAsia"/>
          <w:b/>
          <w:sz w:val="44"/>
          <w:szCs w:val="44"/>
        </w:rPr>
        <w:t>服务业企业融资</w:t>
      </w:r>
      <w:r>
        <w:rPr>
          <w:rFonts w:hint="eastAsia"/>
          <w:b/>
          <w:sz w:val="44"/>
          <w:szCs w:val="44"/>
          <w:lang w:eastAsia="zh-CN"/>
        </w:rPr>
        <w:t>银行</w:t>
      </w:r>
    </w:p>
    <w:p>
      <w:pPr>
        <w:ind w:firstLine="883" w:firstLineChars="200"/>
        <w:jc w:val="center"/>
        <w:rPr>
          <w:rFonts w:hint="eastAsia"/>
          <w:b/>
          <w:sz w:val="44"/>
          <w:szCs w:val="44"/>
        </w:rPr>
      </w:pPr>
      <w:r>
        <w:rPr>
          <w:rFonts w:hint="eastAsia"/>
          <w:b/>
          <w:sz w:val="44"/>
          <w:szCs w:val="44"/>
        </w:rPr>
        <w:t>优惠政策</w:t>
      </w:r>
      <w:r>
        <w:rPr>
          <w:rFonts w:hint="eastAsia"/>
          <w:b/>
          <w:sz w:val="44"/>
          <w:szCs w:val="44"/>
          <w:lang w:eastAsia="zh-CN"/>
        </w:rPr>
        <w:t>及申请条件</w:t>
      </w:r>
    </w:p>
    <w:p>
      <w:pPr>
        <w:ind w:firstLine="883" w:firstLineChars="200"/>
        <w:jc w:val="center"/>
        <w:rPr>
          <w:rFonts w:hint="eastAsia"/>
          <w:b/>
          <w:sz w:val="44"/>
          <w:szCs w:val="44"/>
        </w:rPr>
      </w:pPr>
    </w:p>
    <w:p>
      <w:pPr>
        <w:ind w:firstLine="420" w:firstLineChars="200"/>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一、各银行优惠政策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sz w:val="28"/>
          <w:szCs w:val="28"/>
        </w:rPr>
      </w:pPr>
      <w:r>
        <w:rPr>
          <w:rFonts w:hint="eastAsia"/>
          <w:sz w:val="28"/>
          <w:szCs w:val="28"/>
          <w:lang w:val="en-US" w:eastAsia="zh-CN"/>
        </w:rPr>
        <w:t>（一）</w:t>
      </w:r>
      <w:r>
        <w:rPr>
          <w:rFonts w:hint="eastAsia"/>
          <w:sz w:val="28"/>
          <w:szCs w:val="28"/>
          <w:lang w:eastAsia="zh-CN"/>
        </w:rPr>
        <w:t>对于</w:t>
      </w:r>
      <w:r>
        <w:rPr>
          <w:rFonts w:hint="eastAsia"/>
          <w:sz w:val="28"/>
          <w:szCs w:val="28"/>
        </w:rPr>
        <w:t>纳入人民银行总行及省人行发布的全国、地方性防疫重点企业清单内的企业，信用贷款年化利率2.05%起。</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sz w:val="28"/>
          <w:szCs w:val="28"/>
        </w:rPr>
      </w:pPr>
      <w:r>
        <w:rPr>
          <w:rFonts w:hint="eastAsia"/>
          <w:sz w:val="28"/>
          <w:szCs w:val="28"/>
          <w:lang w:eastAsia="zh-CN"/>
        </w:rPr>
        <w:t>（二）</w:t>
      </w:r>
      <w:r>
        <w:rPr>
          <w:rFonts w:hint="eastAsia"/>
          <w:sz w:val="28"/>
          <w:szCs w:val="28"/>
        </w:rPr>
        <w:t>对于</w:t>
      </w:r>
      <w:r>
        <w:rPr>
          <w:rFonts w:hint="eastAsia"/>
          <w:sz w:val="28"/>
          <w:szCs w:val="28"/>
          <w:lang w:eastAsia="zh-CN"/>
        </w:rPr>
        <w:t>暂未纳入上述</w:t>
      </w:r>
      <w:r>
        <w:rPr>
          <w:rFonts w:hint="eastAsia"/>
          <w:sz w:val="28"/>
          <w:szCs w:val="28"/>
        </w:rPr>
        <w:t>清单</w:t>
      </w:r>
      <w:r>
        <w:rPr>
          <w:rFonts w:hint="eastAsia"/>
          <w:sz w:val="28"/>
          <w:szCs w:val="28"/>
          <w:lang w:eastAsia="zh-CN"/>
        </w:rPr>
        <w:t>的</w:t>
      </w:r>
      <w:r>
        <w:rPr>
          <w:rFonts w:hint="eastAsia"/>
          <w:sz w:val="28"/>
          <w:szCs w:val="28"/>
        </w:rPr>
        <w:t>企业</w:t>
      </w:r>
      <w:r>
        <w:rPr>
          <w:rFonts w:hint="eastAsia"/>
          <w:sz w:val="28"/>
          <w:szCs w:val="28"/>
          <w:lang w:eastAsia="zh-CN"/>
        </w:rPr>
        <w:t>的小额贷款申请</w:t>
      </w:r>
      <w:r>
        <w:rPr>
          <w:rFonts w:hint="eastAsia"/>
          <w:sz w:val="28"/>
          <w:szCs w:val="28"/>
        </w:rPr>
        <w:t>，</w:t>
      </w:r>
      <w:r>
        <w:rPr>
          <w:rFonts w:hint="eastAsia"/>
          <w:sz w:val="28"/>
          <w:szCs w:val="28"/>
          <w:lang w:eastAsia="zh-CN"/>
        </w:rPr>
        <w:t>各银行优惠贷款信息如下：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b/>
          <w:bCs/>
          <w:sz w:val="28"/>
          <w:szCs w:val="28"/>
          <w:lang w:eastAsia="zh-CN"/>
        </w:rPr>
      </w:pPr>
      <w:r>
        <w:rPr>
          <w:rFonts w:hint="eastAsia"/>
          <w:b/>
          <w:bCs/>
          <w:sz w:val="28"/>
          <w:szCs w:val="28"/>
          <w:lang w:val="en-US" w:eastAsia="zh-CN"/>
        </w:rPr>
        <w:t>1.</w:t>
      </w:r>
      <w:r>
        <w:rPr>
          <w:rFonts w:hint="eastAsia"/>
          <w:b/>
          <w:bCs/>
          <w:sz w:val="28"/>
          <w:szCs w:val="28"/>
          <w:lang w:eastAsia="zh-CN"/>
        </w:rPr>
        <w:t>中国银行深圳市分行（最低利率仅限信易贷平台“战‘疫’必胜</w:t>
      </w:r>
      <w:r>
        <w:rPr>
          <w:rFonts w:hint="eastAsia"/>
          <w:b/>
          <w:bCs/>
          <w:sz w:val="28"/>
          <w:szCs w:val="28"/>
          <w:lang w:val="en-US" w:eastAsia="zh-CN"/>
        </w:rPr>
        <w:t xml:space="preserve"> 金融服务绿色通道</w:t>
      </w:r>
      <w:r>
        <w:rPr>
          <w:rFonts w:hint="eastAsia"/>
          <w:b/>
          <w:bCs/>
          <w:sz w:val="28"/>
          <w:szCs w:val="28"/>
          <w:lang w:eastAsia="zh-CN"/>
        </w:rPr>
        <w:t>”企业专享）</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pPr>
      <w:r>
        <w:drawing>
          <wp:inline distT="0" distB="0" distL="114300" distR="114300">
            <wp:extent cx="5272405" cy="2695575"/>
            <wp:effectExtent l="0" t="0" r="63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2695575"/>
                    </a:xfrm>
                    <a:prstGeom prst="rect">
                      <a:avLst/>
                    </a:prstGeom>
                    <a:noFill/>
                    <a:ln>
                      <a:noFill/>
                    </a:ln>
                  </pic:spPr>
                </pic:pic>
              </a:graphicData>
            </a:graphic>
          </wp:inline>
        </w:drawing>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b/>
          <w:bCs/>
          <w:sz w:val="28"/>
          <w:szCs w:val="28"/>
          <w:lang w:eastAsia="zh-CN"/>
        </w:rPr>
      </w:pPr>
      <w:r>
        <w:rPr>
          <w:rFonts w:hint="eastAsia"/>
          <w:b/>
          <w:bCs/>
          <w:sz w:val="28"/>
          <w:szCs w:val="28"/>
          <w:lang w:val="en-US" w:eastAsia="zh-CN"/>
        </w:rPr>
        <w:t>2.</w:t>
      </w:r>
      <w:r>
        <w:rPr>
          <w:rFonts w:hint="eastAsia"/>
          <w:b/>
          <w:bCs/>
          <w:sz w:val="28"/>
          <w:szCs w:val="28"/>
          <w:lang w:eastAsia="zh-CN"/>
        </w:rPr>
        <w:t>交通银行深圳分行（最低利率仅限信易贷平台“战‘疫’必胜</w:t>
      </w:r>
      <w:r>
        <w:rPr>
          <w:rFonts w:hint="eastAsia"/>
          <w:b/>
          <w:bCs/>
          <w:sz w:val="28"/>
          <w:szCs w:val="28"/>
          <w:lang w:val="en-US" w:eastAsia="zh-CN"/>
        </w:rPr>
        <w:t xml:space="preserve"> 金融服务绿色通道</w:t>
      </w:r>
      <w:r>
        <w:rPr>
          <w:rFonts w:hint="eastAsia"/>
          <w:b/>
          <w:bCs/>
          <w:sz w:val="28"/>
          <w:szCs w:val="28"/>
          <w:lang w:eastAsia="zh-CN"/>
        </w:rPr>
        <w:t>”企业专享）</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pPr>
      <w:r>
        <w:drawing>
          <wp:inline distT="0" distB="0" distL="114300" distR="114300">
            <wp:extent cx="5264150" cy="2723515"/>
            <wp:effectExtent l="0" t="0" r="1270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4150" cy="2723515"/>
                    </a:xfrm>
                    <a:prstGeom prst="rect">
                      <a:avLst/>
                    </a:prstGeom>
                    <a:noFill/>
                    <a:ln>
                      <a:noFill/>
                    </a:ln>
                  </pic:spPr>
                </pic:pic>
              </a:graphicData>
            </a:graphic>
          </wp:inline>
        </w:drawing>
      </w:r>
    </w:p>
    <w:p>
      <w:pPr>
        <w:ind w:firstLine="420" w:firstLineChars="200"/>
      </w:pPr>
    </w:p>
    <w:p>
      <w:pPr>
        <w:ind w:firstLine="420" w:firstLineChars="200"/>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b/>
          <w:bCs/>
          <w:sz w:val="28"/>
          <w:szCs w:val="28"/>
          <w:lang w:eastAsia="zh-CN"/>
        </w:rPr>
      </w:pPr>
      <w:r>
        <w:rPr>
          <w:rFonts w:hint="eastAsia"/>
          <w:b/>
          <w:bCs/>
          <w:sz w:val="28"/>
          <w:szCs w:val="28"/>
          <w:lang w:val="en-US" w:eastAsia="zh-CN"/>
        </w:rPr>
        <w:t>3.</w:t>
      </w:r>
      <w:r>
        <w:rPr>
          <w:rFonts w:hint="eastAsia"/>
          <w:b/>
          <w:bCs/>
          <w:sz w:val="28"/>
          <w:szCs w:val="28"/>
          <w:lang w:eastAsia="zh-CN"/>
        </w:rPr>
        <w:t>工商银行深圳市分行</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pPr>
      <w:r>
        <w:drawing>
          <wp:inline distT="0" distB="0" distL="114300" distR="114300">
            <wp:extent cx="5266690" cy="2573655"/>
            <wp:effectExtent l="0" t="0" r="10160" b="17145"/>
            <wp:docPr id="4" name="图片 4" descr="gs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gsyh"/>
                    <pic:cNvPicPr>
                      <a:picLocks noChangeAspect="1"/>
                    </pic:cNvPicPr>
                  </pic:nvPicPr>
                  <pic:blipFill>
                    <a:blip r:embed="rId6"/>
                    <a:stretch>
                      <a:fillRect/>
                    </a:stretch>
                  </pic:blipFill>
                  <pic:spPr>
                    <a:xfrm>
                      <a:off x="0" y="0"/>
                      <a:ext cx="5266690" cy="2573655"/>
                    </a:xfrm>
                    <a:prstGeom prst="rect">
                      <a:avLst/>
                    </a:prstGeom>
                    <a:noFill/>
                    <a:ln>
                      <a:noFill/>
                    </a:ln>
                  </pic:spPr>
                </pic:pic>
              </a:graphicData>
            </a:graphic>
          </wp:inline>
        </w:drawing>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eastAsia"/>
          <w:b/>
          <w:bCs/>
          <w:sz w:val="28"/>
          <w:szCs w:val="28"/>
          <w:lang w:eastAsia="zh-CN"/>
        </w:rPr>
      </w:pPr>
      <w:r>
        <w:rPr>
          <w:rFonts w:hint="eastAsia"/>
          <w:b/>
          <w:bCs/>
          <w:sz w:val="28"/>
          <w:szCs w:val="28"/>
          <w:lang w:val="en-US" w:eastAsia="zh-CN"/>
        </w:rPr>
        <w:t>4.</w:t>
      </w:r>
      <w:r>
        <w:rPr>
          <w:rFonts w:hint="eastAsia"/>
          <w:b/>
          <w:bCs/>
          <w:sz w:val="28"/>
          <w:szCs w:val="28"/>
          <w:lang w:eastAsia="zh-CN"/>
        </w:rPr>
        <w:t>建设银行深圳市分行</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pPr>
      <w:r>
        <w:rPr>
          <w:rFonts w:hint="eastAsia"/>
        </w:rPr>
        <w:drawing>
          <wp:inline distT="0" distB="0" distL="114300" distR="114300">
            <wp:extent cx="5269865" cy="1978660"/>
            <wp:effectExtent l="0" t="0" r="6985" b="2540"/>
            <wp:docPr id="5" name="图片 5" descr="js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jsyh"/>
                    <pic:cNvPicPr>
                      <a:picLocks noChangeAspect="1"/>
                    </pic:cNvPicPr>
                  </pic:nvPicPr>
                  <pic:blipFill>
                    <a:blip r:embed="rId7"/>
                    <a:stretch>
                      <a:fillRect/>
                    </a:stretch>
                  </pic:blipFill>
                  <pic:spPr>
                    <a:xfrm>
                      <a:off x="0" y="0"/>
                      <a:ext cx="5269865" cy="1978660"/>
                    </a:xfrm>
                    <a:prstGeom prst="rect">
                      <a:avLst/>
                    </a:prstGeom>
                    <a:noFill/>
                    <a:ln>
                      <a:noFill/>
                    </a:ln>
                  </pic:spPr>
                </pic:pic>
              </a:graphicData>
            </a:graphic>
          </wp:inline>
        </w:drawing>
      </w:r>
    </w:p>
    <w:p>
      <w:pPr>
        <w:ind w:firstLine="420" w:firstLineChars="200"/>
      </w:pPr>
    </w:p>
    <w:p>
      <w:pPr>
        <w:ind w:firstLine="420" w:firstLineChars="200"/>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9"/>
        <w:rPr>
          <w:rFonts w:hint="default"/>
          <w:b/>
          <w:bCs/>
          <w:sz w:val="28"/>
          <w:szCs w:val="28"/>
          <w:lang w:val="en-US" w:eastAsia="zh-CN"/>
        </w:rPr>
      </w:pPr>
      <w:r>
        <w:rPr>
          <w:rFonts w:hint="eastAsia"/>
          <w:b/>
          <w:bCs/>
          <w:sz w:val="28"/>
          <w:szCs w:val="28"/>
          <w:lang w:val="en-US" w:eastAsia="zh-CN"/>
        </w:rPr>
        <w:t>5.农业银行深圳市分行</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sz w:val="28"/>
          <w:szCs w:val="28"/>
        </w:rPr>
      </w:pPr>
      <w:r>
        <w:drawing>
          <wp:inline distT="0" distB="0" distL="114300" distR="114300">
            <wp:extent cx="5262880" cy="2576830"/>
            <wp:effectExtent l="0" t="0" r="13970" b="13970"/>
            <wp:docPr id="3" name="图片 3" descr="ny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nyyh"/>
                    <pic:cNvPicPr>
                      <a:picLocks noChangeAspect="1"/>
                    </pic:cNvPicPr>
                  </pic:nvPicPr>
                  <pic:blipFill>
                    <a:blip r:embed="rId8"/>
                    <a:stretch>
                      <a:fillRect/>
                    </a:stretch>
                  </pic:blipFill>
                  <pic:spPr>
                    <a:xfrm>
                      <a:off x="0" y="0"/>
                      <a:ext cx="5262880" cy="2576830"/>
                    </a:xfrm>
                    <a:prstGeom prst="rect">
                      <a:avLst/>
                    </a:prstGeom>
                    <a:noFill/>
                    <a:ln>
                      <a:noFill/>
                    </a:ln>
                  </pic:spPr>
                </pic:pic>
              </a:graphicData>
            </a:graphic>
          </wp:inline>
        </w:drawing>
      </w:r>
    </w:p>
    <w:p>
      <w:pPr>
        <w:ind w:firstLine="560" w:firstLineChars="200"/>
        <w:rPr>
          <w:rFonts w:hint="eastAsia"/>
          <w:sz w:val="28"/>
          <w:szCs w:val="28"/>
        </w:rPr>
      </w:pPr>
    </w:p>
    <w:p>
      <w:pPr>
        <w:ind w:firstLine="560" w:firstLineChars="200"/>
        <w:rPr>
          <w:rFonts w:hint="eastAsia" w:eastAsiaTheme="minorEastAsia"/>
          <w:sz w:val="28"/>
          <w:szCs w:val="28"/>
          <w:lang w:eastAsia="zh-CN"/>
        </w:rPr>
      </w:pPr>
      <w:r>
        <w:rPr>
          <w:rFonts w:hint="eastAsia"/>
          <w:sz w:val="28"/>
          <w:szCs w:val="28"/>
          <w:lang w:eastAsia="zh-CN"/>
        </w:rPr>
        <w:t>（三）对于借款金额较高，超出各行上述产品政策适用范围的，银行将指定专人联系企业对接服务，一户一策核定贷款。</w:t>
      </w:r>
    </w:p>
    <w:p>
      <w:pPr>
        <w:rPr>
          <w:rFonts w:hint="eastAsia" w:ascii="黑体" w:hAnsi="黑体" w:eastAsia="黑体" w:cs="黑体"/>
          <w:sz w:val="28"/>
          <w:szCs w:val="28"/>
          <w:lang w:eastAsia="zh-CN"/>
        </w:rPr>
      </w:pPr>
      <w:r>
        <w:rPr>
          <w:rFonts w:hint="eastAsia" w:ascii="黑体" w:hAnsi="黑体" w:eastAsia="黑体" w:cs="黑体"/>
          <w:sz w:val="28"/>
          <w:szCs w:val="28"/>
          <w:lang w:eastAsia="zh-CN"/>
        </w:rPr>
        <w:br w:type="page"/>
      </w:r>
    </w:p>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二、各银行贷款申请条件</w:t>
      </w:r>
    </w:p>
    <w:tbl>
      <w:tblPr>
        <w:tblStyle w:val="4"/>
        <w:tblW w:w="9370" w:type="dxa"/>
        <w:jc w:val="center"/>
        <w:tblInd w:w="-517" w:type="dxa"/>
        <w:shd w:val="clear" w:color="auto" w:fill="auto"/>
        <w:tblLayout w:type="fixed"/>
        <w:tblCellMar>
          <w:top w:w="0" w:type="dxa"/>
          <w:left w:w="0" w:type="dxa"/>
          <w:bottom w:w="0" w:type="dxa"/>
          <w:right w:w="0" w:type="dxa"/>
        </w:tblCellMar>
      </w:tblPr>
      <w:tblGrid>
        <w:gridCol w:w="1305"/>
        <w:gridCol w:w="1240"/>
        <w:gridCol w:w="6825"/>
      </w:tblGrid>
      <w:tr>
        <w:tblPrEx>
          <w:shd w:val="clear" w:color="auto" w:fill="auto"/>
          <w:tblLayout w:type="fixed"/>
          <w:tblCellMar>
            <w:top w:w="0" w:type="dxa"/>
            <w:left w:w="0" w:type="dxa"/>
            <w:bottom w:w="0" w:type="dxa"/>
            <w:right w:w="0" w:type="dxa"/>
          </w:tblCellMar>
        </w:tblPrEx>
        <w:trPr>
          <w:trHeight w:val="285" w:hRule="atLeast"/>
          <w:jc w:val="center"/>
        </w:trPr>
        <w:tc>
          <w:tcPr>
            <w:tcW w:w="1305" w:type="dxa"/>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机构</w:t>
            </w:r>
          </w:p>
        </w:tc>
        <w:tc>
          <w:tcPr>
            <w:tcW w:w="1240" w:type="dxa"/>
            <w:tcBorders>
              <w:top w:val="single" w:color="000000" w:sz="8"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产品类型</w:t>
            </w:r>
          </w:p>
        </w:tc>
        <w:tc>
          <w:tcPr>
            <w:tcW w:w="6825" w:type="dxa"/>
            <w:tcBorders>
              <w:top w:val="single" w:color="000000" w:sz="8" w:space="0"/>
              <w:left w:val="single" w:color="000000" w:sz="4"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申请条件</w:t>
            </w:r>
          </w:p>
        </w:tc>
      </w:tr>
      <w:tr>
        <w:tblPrEx>
          <w:tblLayout w:type="fixed"/>
          <w:tblCellMar>
            <w:top w:w="0" w:type="dxa"/>
            <w:left w:w="0" w:type="dxa"/>
            <w:bottom w:w="0" w:type="dxa"/>
            <w:right w:w="0" w:type="dxa"/>
          </w:tblCellMar>
        </w:tblPrEx>
        <w:trPr>
          <w:trHeight w:val="540" w:hRule="atLeast"/>
          <w:jc w:val="center"/>
        </w:trPr>
        <w:tc>
          <w:tcPr>
            <w:tcW w:w="1305" w:type="dxa"/>
            <w:vMerge w:val="restart"/>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中国银行</w:t>
            </w:r>
          </w:p>
        </w:tc>
        <w:tc>
          <w:tcPr>
            <w:tcW w:w="124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信用贷款</w:t>
            </w:r>
          </w:p>
        </w:tc>
        <w:tc>
          <w:tcPr>
            <w:tcW w:w="6825" w:type="dxa"/>
            <w:vMerge w:val="restart"/>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1.企业营业执照有效。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2.企业的信用等级在CCC（含）以上。</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3.信用记录良好。信用记录良好是指在人民银行或银监征信系统中不存在未结清不良信用记录，且近两年内未有因企业及个人还款能力或还款意愿不足造成的累计六期以上逾期欠息还款记录。</w:t>
            </w:r>
          </w:p>
        </w:tc>
      </w:tr>
      <w:tr>
        <w:tblPrEx>
          <w:tblLayout w:type="fixed"/>
          <w:tblCellMar>
            <w:top w:w="0" w:type="dxa"/>
            <w:left w:w="0" w:type="dxa"/>
            <w:bottom w:w="0" w:type="dxa"/>
            <w:right w:w="0" w:type="dxa"/>
          </w:tblCellMar>
        </w:tblPrEx>
        <w:trPr>
          <w:trHeight w:val="540" w:hRule="atLeast"/>
          <w:jc w:val="center"/>
        </w:trPr>
        <w:tc>
          <w:tcPr>
            <w:tcW w:w="1305" w:type="dxa"/>
            <w:vMerge w:val="continue"/>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抵押贷款</w:t>
            </w:r>
          </w:p>
        </w:tc>
        <w:tc>
          <w:tcPr>
            <w:tcW w:w="6825" w:type="dxa"/>
            <w:vMerge w:val="continue"/>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Layout w:type="fixed"/>
          <w:tblCellMar>
            <w:top w:w="0" w:type="dxa"/>
            <w:left w:w="0" w:type="dxa"/>
            <w:bottom w:w="0" w:type="dxa"/>
            <w:right w:w="0" w:type="dxa"/>
          </w:tblCellMar>
        </w:tblPrEx>
        <w:trPr>
          <w:trHeight w:val="540" w:hRule="atLeast"/>
          <w:jc w:val="center"/>
        </w:trPr>
        <w:tc>
          <w:tcPr>
            <w:tcW w:w="1305" w:type="dxa"/>
            <w:vMerge w:val="continue"/>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4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担保贷款</w:t>
            </w:r>
          </w:p>
        </w:tc>
        <w:tc>
          <w:tcPr>
            <w:tcW w:w="6825" w:type="dxa"/>
            <w:vMerge w:val="continue"/>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Layout w:type="fixed"/>
          <w:tblCellMar>
            <w:top w:w="0" w:type="dxa"/>
            <w:left w:w="0" w:type="dxa"/>
            <w:bottom w:w="0" w:type="dxa"/>
            <w:right w:w="0" w:type="dxa"/>
          </w:tblCellMar>
        </w:tblPrEx>
        <w:trPr>
          <w:trHeight w:val="1020" w:hRule="atLeast"/>
          <w:jc w:val="center"/>
        </w:trPr>
        <w:tc>
          <w:tcPr>
            <w:tcW w:w="1305"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交通银行</w:t>
            </w:r>
          </w:p>
        </w:tc>
        <w:tc>
          <w:tcPr>
            <w:tcW w:w="124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信用贷款</w:t>
            </w:r>
          </w:p>
        </w:tc>
        <w:tc>
          <w:tcPr>
            <w:tcW w:w="6825" w:type="dxa"/>
            <w:vMerge w:val="restart"/>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1.在深圳地区注册的法人企业主体且原则上成立经营满2年，有固定经营场所。</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2.财务信息真实完整，能提供近2年的财务报表，近两年企业现金流及利润稳定增长，有充足的经营性收入和还款来源，还款意愿良好。</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3.服务型企业资产负债率原则上不超过85%，且银行负债总额不超过销售收入30%。</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4.企业信用状况良好，无重大不良信用记录，授信申请时无逾期欠息；企业实际控制人个人征信正常，授信申请企业实际控制人及其配偶近一年个人贷款逾期不超过三次且两年累计逾期不超过六次。</w:t>
            </w:r>
          </w:p>
        </w:tc>
      </w:tr>
      <w:tr>
        <w:tblPrEx>
          <w:tblLayout w:type="fixed"/>
          <w:tblCellMar>
            <w:top w:w="0" w:type="dxa"/>
            <w:left w:w="0" w:type="dxa"/>
            <w:bottom w:w="0" w:type="dxa"/>
            <w:right w:w="0" w:type="dxa"/>
          </w:tblCellMar>
        </w:tblPrEx>
        <w:trPr>
          <w:trHeight w:val="1020" w:hRule="atLeast"/>
          <w:jc w:val="center"/>
        </w:trPr>
        <w:tc>
          <w:tcPr>
            <w:tcW w:w="1305"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抵押贷款</w:t>
            </w:r>
          </w:p>
        </w:tc>
        <w:tc>
          <w:tcPr>
            <w:tcW w:w="6825" w:type="dxa"/>
            <w:vMerge w:val="continue"/>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Layout w:type="fixed"/>
          <w:tblCellMar>
            <w:top w:w="0" w:type="dxa"/>
            <w:left w:w="0" w:type="dxa"/>
            <w:bottom w:w="0" w:type="dxa"/>
            <w:right w:w="0" w:type="dxa"/>
          </w:tblCellMar>
        </w:tblPrEx>
        <w:trPr>
          <w:trHeight w:val="1020" w:hRule="atLeast"/>
          <w:jc w:val="center"/>
        </w:trPr>
        <w:tc>
          <w:tcPr>
            <w:tcW w:w="1305"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4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担保贷款</w:t>
            </w:r>
          </w:p>
        </w:tc>
        <w:tc>
          <w:tcPr>
            <w:tcW w:w="6825" w:type="dxa"/>
            <w:vMerge w:val="continue"/>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r>
        <w:tblPrEx>
          <w:tblLayout w:type="fixed"/>
          <w:tblCellMar>
            <w:top w:w="0" w:type="dxa"/>
            <w:left w:w="0" w:type="dxa"/>
            <w:bottom w:w="0" w:type="dxa"/>
            <w:right w:w="0" w:type="dxa"/>
          </w:tblCellMar>
        </w:tblPrEx>
        <w:trPr>
          <w:trHeight w:val="620" w:hRule="atLeast"/>
          <w:jc w:val="center"/>
        </w:trPr>
        <w:tc>
          <w:tcPr>
            <w:tcW w:w="1305"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工商银行</w:t>
            </w:r>
          </w:p>
        </w:tc>
        <w:tc>
          <w:tcPr>
            <w:tcW w:w="124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信用贷款</w:t>
            </w:r>
          </w:p>
        </w:tc>
        <w:tc>
          <w:tcPr>
            <w:tcW w:w="682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成立满2年，在工行账户有稳定销售现金流，生产经营稳定且信用良好的小微客户。</w:t>
            </w:r>
          </w:p>
        </w:tc>
      </w:tr>
      <w:tr>
        <w:tblPrEx>
          <w:tblLayout w:type="fixed"/>
          <w:tblCellMar>
            <w:top w:w="0" w:type="dxa"/>
            <w:left w:w="0" w:type="dxa"/>
            <w:bottom w:w="0" w:type="dxa"/>
            <w:right w:w="0" w:type="dxa"/>
          </w:tblCellMar>
        </w:tblPrEx>
        <w:trPr>
          <w:trHeight w:val="620" w:hRule="atLeast"/>
          <w:jc w:val="center"/>
        </w:trPr>
        <w:tc>
          <w:tcPr>
            <w:tcW w:w="1305"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抵押贷款</w:t>
            </w:r>
          </w:p>
        </w:tc>
        <w:tc>
          <w:tcPr>
            <w:tcW w:w="68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持续经营满1年；可提供深圳市合格抵（质）押物的小微客户。</w:t>
            </w:r>
          </w:p>
        </w:tc>
      </w:tr>
      <w:tr>
        <w:tblPrEx>
          <w:tblLayout w:type="fixed"/>
          <w:tblCellMar>
            <w:top w:w="0" w:type="dxa"/>
            <w:left w:w="0" w:type="dxa"/>
            <w:bottom w:w="0" w:type="dxa"/>
            <w:right w:w="0" w:type="dxa"/>
          </w:tblCellMar>
        </w:tblPrEx>
        <w:trPr>
          <w:trHeight w:val="620" w:hRule="atLeast"/>
          <w:jc w:val="center"/>
        </w:trPr>
        <w:tc>
          <w:tcPr>
            <w:tcW w:w="1305"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4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担保贷款</w:t>
            </w:r>
          </w:p>
        </w:tc>
        <w:tc>
          <w:tcPr>
            <w:tcW w:w="682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工行准入的深圳市大型融资担保机构提供增信支持的小微客户。</w:t>
            </w:r>
          </w:p>
        </w:tc>
      </w:tr>
      <w:tr>
        <w:tblPrEx>
          <w:tblLayout w:type="fixed"/>
          <w:tblCellMar>
            <w:top w:w="0" w:type="dxa"/>
            <w:left w:w="0" w:type="dxa"/>
            <w:bottom w:w="0" w:type="dxa"/>
            <w:right w:w="0" w:type="dxa"/>
          </w:tblCellMar>
        </w:tblPrEx>
        <w:trPr>
          <w:trHeight w:val="1520" w:hRule="atLeast"/>
          <w:jc w:val="center"/>
        </w:trPr>
        <w:tc>
          <w:tcPr>
            <w:tcW w:w="1305"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建设银行</w:t>
            </w:r>
          </w:p>
        </w:tc>
        <w:tc>
          <w:tcPr>
            <w:tcW w:w="124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信用贷款</w:t>
            </w:r>
          </w:p>
        </w:tc>
        <w:tc>
          <w:tcPr>
            <w:tcW w:w="682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1.企业经营正常，成立满1年，非分公司；</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2.企业主年龄18至60周岁；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3.企业和企业主信用记录良好；</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4.非亏损企业，近3年无司法涉诉信息；</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5.企业注册资金≤5000万元。</w:t>
            </w:r>
          </w:p>
        </w:tc>
      </w:tr>
      <w:tr>
        <w:tblPrEx>
          <w:tblLayout w:type="fixed"/>
          <w:tblCellMar>
            <w:top w:w="0" w:type="dxa"/>
            <w:left w:w="0" w:type="dxa"/>
            <w:bottom w:w="0" w:type="dxa"/>
            <w:right w:w="0" w:type="dxa"/>
          </w:tblCellMar>
        </w:tblPrEx>
        <w:trPr>
          <w:trHeight w:val="1520" w:hRule="atLeast"/>
          <w:jc w:val="center"/>
        </w:trPr>
        <w:tc>
          <w:tcPr>
            <w:tcW w:w="1305"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4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抵押贷款</w:t>
            </w:r>
          </w:p>
        </w:tc>
        <w:tc>
          <w:tcPr>
            <w:tcW w:w="682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1.企业经营正常；</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2.企业主年龄18至60周岁;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3.企业和企业主信用记录良好；</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4.企业成立满1年或能提供实缴税记录等正常经营佐证材料。</w:t>
            </w:r>
          </w:p>
        </w:tc>
      </w:tr>
      <w:tr>
        <w:tblPrEx>
          <w:tblLayout w:type="fixed"/>
          <w:tblCellMar>
            <w:top w:w="0" w:type="dxa"/>
            <w:left w:w="0" w:type="dxa"/>
            <w:bottom w:w="0" w:type="dxa"/>
            <w:right w:w="0" w:type="dxa"/>
          </w:tblCellMar>
        </w:tblPrEx>
        <w:trPr>
          <w:trHeight w:val="1980" w:hRule="atLeast"/>
          <w:jc w:val="center"/>
        </w:trPr>
        <w:tc>
          <w:tcPr>
            <w:tcW w:w="1305"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农业银行</w:t>
            </w:r>
          </w:p>
        </w:tc>
        <w:tc>
          <w:tcPr>
            <w:tcW w:w="124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信用贷款</w:t>
            </w:r>
          </w:p>
        </w:tc>
        <w:tc>
          <w:tcPr>
            <w:tcW w:w="682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1.生产经营稳定、纳税正常；</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2.企业主年龄18-65岁；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3.无不良信用记录；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4.无当前逾期贷款；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5.未列入全国法院失信被执行人名单；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6.我行要求的其它条件。</w:t>
            </w:r>
          </w:p>
        </w:tc>
      </w:tr>
      <w:tr>
        <w:tblPrEx>
          <w:tblLayout w:type="fixed"/>
          <w:tblCellMar>
            <w:top w:w="0" w:type="dxa"/>
            <w:left w:w="0" w:type="dxa"/>
            <w:bottom w:w="0" w:type="dxa"/>
            <w:right w:w="0" w:type="dxa"/>
          </w:tblCellMar>
        </w:tblPrEx>
        <w:trPr>
          <w:trHeight w:val="1980" w:hRule="atLeast"/>
          <w:jc w:val="center"/>
        </w:trPr>
        <w:tc>
          <w:tcPr>
            <w:tcW w:w="1305"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抵押贷款</w:t>
            </w:r>
          </w:p>
        </w:tc>
        <w:tc>
          <w:tcPr>
            <w:tcW w:w="68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1.生产经营正常；</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2.有符合我行要求的房产作为抵押；</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3.企业主年龄18-65岁；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4.无不良信用记录；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5.无当前逾期贷款；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6.未列入全国法院失信被执行人名单；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7.我行要求的其它条件。</w:t>
            </w:r>
          </w:p>
        </w:tc>
      </w:tr>
      <w:tr>
        <w:tblPrEx>
          <w:tblLayout w:type="fixed"/>
          <w:tblCellMar>
            <w:top w:w="0" w:type="dxa"/>
            <w:left w:w="0" w:type="dxa"/>
            <w:bottom w:w="0" w:type="dxa"/>
            <w:right w:w="0" w:type="dxa"/>
          </w:tblCellMar>
        </w:tblPrEx>
        <w:trPr>
          <w:trHeight w:val="1980" w:hRule="atLeast"/>
          <w:jc w:val="center"/>
        </w:trPr>
        <w:tc>
          <w:tcPr>
            <w:tcW w:w="1305"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4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担保贷款</w:t>
            </w:r>
          </w:p>
        </w:tc>
        <w:tc>
          <w:tcPr>
            <w:tcW w:w="682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1.提供合法、足值、有效的担保；</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2.企业主年龄18-65岁；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3.无不良信用记录；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4.无当前逾期贷款；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5.未列入全国法院失信被执行人名单；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6.我行要求的其它条件。</w:t>
            </w:r>
          </w:p>
        </w:tc>
      </w:tr>
    </w:tbl>
    <w:p>
      <w:pPr>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val="1"/>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6B"/>
    <w:rsid w:val="002E376B"/>
    <w:rsid w:val="00641157"/>
    <w:rsid w:val="00EF5374"/>
    <w:rsid w:val="014710CC"/>
    <w:rsid w:val="10A12049"/>
    <w:rsid w:val="33B65F00"/>
    <w:rsid w:val="4D915B05"/>
    <w:rsid w:val="4FAE270B"/>
    <w:rsid w:val="5DF2791A"/>
    <w:rsid w:val="5EA8161E"/>
    <w:rsid w:val="69BD6E01"/>
    <w:rsid w:val="7007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1092</Words>
  <Characters>1161</Characters>
  <Lines>1</Lines>
  <Paragraphs>1</Paragraphs>
  <ScaleCrop>false</ScaleCrop>
  <LinksUpToDate>false</LinksUpToDate>
  <CharactersWithSpaces>1161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2020-03-17T08:57:00Z</dcterms:created>
  <dc:creator>YANG</dc:creator>
  <cp:lastModifiedBy>张立</cp:lastModifiedBy>
  <dcterms:modified xsi:type="dcterms:W3CDTF">2020-03-19T07:10:33Z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