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1C" w:rsidRDefault="00AD411C" w:rsidP="00AD411C">
      <w:pPr>
        <w:widowControl/>
        <w:spacing w:line="60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盐田区第四次全国经济普查公报（第四号）</w:t>
      </w:r>
    </w:p>
    <w:p w:rsidR="00AD411C" w:rsidRDefault="00AD411C" w:rsidP="00AD411C">
      <w:pPr>
        <w:widowControl/>
        <w:spacing w:line="600" w:lineRule="exact"/>
        <w:jc w:val="center"/>
        <w:rPr>
          <w:rFonts w:ascii="楷体_GB2312" w:eastAsia="楷体_GB2312" w:hAnsi="宋体" w:cs="宋体"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Cs/>
          <w:kern w:val="0"/>
          <w:sz w:val="36"/>
          <w:szCs w:val="36"/>
        </w:rPr>
        <w:t>——第三产业基本情况之一</w:t>
      </w:r>
    </w:p>
    <w:p w:rsidR="00AD411C" w:rsidRDefault="00AD411C" w:rsidP="00AD411C"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</w:p>
    <w:p w:rsidR="00AD411C" w:rsidRDefault="00AD411C" w:rsidP="00AD411C">
      <w:pPr>
        <w:widowControl/>
        <w:spacing w:line="600" w:lineRule="exact"/>
        <w:jc w:val="center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盐田区统计局</w:t>
      </w:r>
    </w:p>
    <w:p w:rsidR="00AD411C" w:rsidRDefault="00AD411C" w:rsidP="00AD411C">
      <w:pPr>
        <w:widowControl/>
        <w:spacing w:line="600" w:lineRule="exact"/>
        <w:jc w:val="center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盐田区第四次全国经济普查工作领导小组办公室</w:t>
      </w:r>
    </w:p>
    <w:p w:rsidR="00AD411C" w:rsidRDefault="00AD411C" w:rsidP="00AD411C">
      <w:pPr>
        <w:widowControl/>
        <w:spacing w:line="570" w:lineRule="exact"/>
        <w:jc w:val="center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2020年4月28日</w:t>
      </w:r>
    </w:p>
    <w:p w:rsidR="00AD411C" w:rsidRDefault="00AD411C" w:rsidP="00AD411C"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根据第四次全国经济普查结果，现将全区第三产业中批发和零售业，交通运输、仓储和邮政业，住宿和餐饮业，信息传输、软件和信息技术服务业，金融业，房地产业，租赁和商务服务业的主要数据公布如下：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批发</w:t>
      </w:r>
      <w:r>
        <w:rPr>
          <w:rFonts w:ascii="黑体" w:eastAsia="黑体" w:hAnsi="黑体"/>
          <w:kern w:val="0"/>
          <w:sz w:val="32"/>
          <w:szCs w:val="32"/>
        </w:rPr>
        <w:t>和零售业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（一）企业法人单位数和从业人员。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2018年末，全区共有批发和零售业企业法人单位1875个，从业人员8802人，分别比2013年末增长264.1</w:t>
      </w:r>
      <w:r>
        <w:rPr>
          <w:rFonts w:ascii="仿宋_GB2312" w:eastAsia="仿宋_GB2312" w:cs="仿宋_GB2312" w:hint="eastAsia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和54.1%。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在批发和零售业企业法人单位中，批发业占64.7%，零售业占35.3%。在批发和零售业企业法人单位从业人员中，批发业占65.0%，零售业占35.0%（详见表4-1）。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在批发和零售业企业法人单位中，内资企业占94.8%，港、澳、台商投资企业占4.9%，外商投资企业占0.3%。</w:t>
      </w:r>
    </w:p>
    <w:p w:rsidR="00AD411C" w:rsidRDefault="00AD411C" w:rsidP="00AD41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在批发和零售业企业法人单位从业人员中，内资企业占86.4%，港、澳、台商投资企业占11.6%，外商投资企业占2.0%（详见表4-2）。</w:t>
      </w:r>
    </w:p>
    <w:p w:rsidR="00AD411C" w:rsidRDefault="00AD411C" w:rsidP="00AD41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52"/>
        <w:gridCol w:w="2011"/>
        <w:gridCol w:w="1468"/>
      </w:tblGrid>
      <w:tr w:rsidR="00AD411C" w:rsidTr="003A04A5">
        <w:trPr>
          <w:trHeight w:val="567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表</w:t>
            </w:r>
            <w:r>
              <w:rPr>
                <w:b/>
                <w:bCs/>
                <w:kern w:val="0"/>
                <w:sz w:val="24"/>
              </w:rPr>
              <w:t>4-1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按行业中类分组的批发和零售业企业法人单位和从业人员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（人）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  计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1875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8802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1213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5720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农、林、牧、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产品批发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食品、饮料及烟草制品批发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纺织、服装及家庭用品批发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910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文化、体育用品及器材批发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775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医药及医疗器材批发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63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矿产品、建材及化工产品批发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455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机械设备、五金产品及电子产品批发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1452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贸易经纪与代理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612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其他批发业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346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662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3082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综合零售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384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食品、饮料及烟草制品专门零售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纺织、服装及日用品专门零售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626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文化、体育用品及器材专门零售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336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医药及医疗器材专门零售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汽车、摩托车、零配件和燃料及其他动力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销售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家用电器及电子产品专门零售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319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五金、家具及室内装饰材料专门零售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268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货摊、无店铺及其他零售业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622</w:t>
            </w:r>
          </w:p>
        </w:tc>
      </w:tr>
    </w:tbl>
    <w:p w:rsidR="00AD411C" w:rsidRDefault="00AD411C" w:rsidP="00AD411C">
      <w:pPr>
        <w:rPr>
          <w:vanish/>
        </w:rPr>
      </w:pP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1"/>
        <w:gridCol w:w="2699"/>
        <w:gridCol w:w="2291"/>
      </w:tblGrid>
      <w:tr w:rsidR="00AD411C" w:rsidTr="003A04A5">
        <w:trPr>
          <w:trHeight w:val="567"/>
          <w:jc w:val="center"/>
        </w:trPr>
        <w:tc>
          <w:tcPr>
            <w:tcW w:w="87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按登记注册类型分组的批发和零售业企业法人单位和从业人员</w:t>
            </w:r>
          </w:p>
        </w:tc>
      </w:tr>
      <w:tr w:rsidR="00AD411C" w:rsidTr="003A04A5">
        <w:trPr>
          <w:trHeight w:val="510"/>
          <w:jc w:val="center"/>
        </w:trPr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 w:firstLine="50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（人）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1875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8802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内资企业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1777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7607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国有企业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集体企业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股份合作企业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联营企业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有限责任公司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2388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股份有限公司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36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私营企业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1596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5174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其他企业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港、澳、台商投资企业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92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1017</w:t>
            </w:r>
          </w:p>
        </w:tc>
      </w:tr>
      <w:tr w:rsidR="00AD411C" w:rsidTr="003A04A5">
        <w:trPr>
          <w:trHeight w:hRule="exact" w:val="283"/>
          <w:jc w:val="center"/>
        </w:trPr>
        <w:tc>
          <w:tcPr>
            <w:tcW w:w="37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exac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外商投资企业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178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（二）主要经济指标。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2018年末，批发和零售业企业法人单位资产总计163.19亿元，比2013年末增长113.6%。其中，批发业企业法人单位资产总计145.72亿元，零售业企业法人单位资产总计17.47亿元，分别比2013年末增长115.2%和100.8%。负债合计136.69亿元。全年实现营业收入498.61亿元（详见表4-3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6"/>
        <w:gridCol w:w="1408"/>
        <w:gridCol w:w="1408"/>
        <w:gridCol w:w="1409"/>
      </w:tblGrid>
      <w:tr w:rsidR="00AD411C" w:rsidTr="003A04A5">
        <w:trPr>
          <w:trHeight w:val="567"/>
          <w:jc w:val="center"/>
        </w:trPr>
        <w:tc>
          <w:tcPr>
            <w:tcW w:w="87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按行业中类分组的批发和零售业企业法人单位主要经济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指标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="50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资产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总计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负债合计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营业收入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（亿元）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163.19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136.69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498.61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批发业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145.72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123.58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461.37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农、林、牧、渔产品批发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1.84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食品、饮料及烟草制品批发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7.92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31.88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纺织、服装及家庭用品批发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21.92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19.04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27.46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文化、体育用品及器材批发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45.66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43.48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9.69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医药及医疗器材批发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矿产品、建材及化工产品批发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344.25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机械设备、五金产品及电子产品批发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26.76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23.98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33.02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贸易经纪与代理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11.45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10.04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11.85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其他批发业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1.11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零售业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17.47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13.11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37.24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综合零售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1.91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食品、饮料及烟草制品专门零售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0.89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纺织、服装及日用品专门零售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3.71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文化、体育用品及器材专门零售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0.79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医药及医疗器材专门零售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汽车、摩托车、零配件和燃料及其他动力销售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12.35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家用电器及电子产品专门零售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0.89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五金、家具及室内装饰材料专门零售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0.61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货摊、无店铺及其他零售业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16.08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交通</w:t>
      </w:r>
      <w:r>
        <w:rPr>
          <w:rFonts w:ascii="黑体" w:eastAsia="黑体" w:hAnsi="黑体"/>
          <w:kern w:val="0"/>
          <w:sz w:val="32"/>
          <w:szCs w:val="32"/>
        </w:rPr>
        <w:t>运输、仓储和邮政业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（一）企业法人单位数和从业人员。</w:t>
      </w:r>
    </w:p>
    <w:p w:rsidR="00AD411C" w:rsidRDefault="00AD411C" w:rsidP="00AD41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2018年末，全区共有交通运输、仓储和邮政业企业法人单位2728个，从业人员46319人，分别比2013年末增长140.6%和44.3%（详见表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-4）。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4"/>
        <w:gridCol w:w="2450"/>
        <w:gridCol w:w="2457"/>
      </w:tblGrid>
      <w:tr w:rsidR="00AD411C" w:rsidTr="003A04A5">
        <w:trPr>
          <w:trHeight w:val="567"/>
          <w:jc w:val="center"/>
        </w:trPr>
        <w:tc>
          <w:tcPr>
            <w:tcW w:w="86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表</w:t>
            </w:r>
            <w:r>
              <w:rPr>
                <w:b/>
                <w:bCs/>
                <w:kern w:val="0"/>
                <w:sz w:val="24"/>
              </w:rPr>
              <w:t>4-4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按行业大类分组的交通运输、仓储和邮政业企业法人单位和从业人员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="50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（人）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2728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46319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铁路运输业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道路运输业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1923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26501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水上运输业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2573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航空运输业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管道运输业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多式联运和运输代理业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5353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装卸搬运和仓储业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7039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4823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在交通运输、仓储和邮政业企业法人单位中，内资企业占98.4%，港、澳、台商投资企业占1.4%，外商投资企业占0.3%。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在交通运输、仓储和邮政业企业法人单位从业人员中，内资企业占90.5%，港、澳、台商投资企业占7.9%，外商投资企业占1.6%（详见表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cs="宋体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3"/>
        <w:gridCol w:w="2450"/>
        <w:gridCol w:w="2458"/>
      </w:tblGrid>
      <w:tr w:rsidR="00AD411C" w:rsidTr="003A04A5">
        <w:trPr>
          <w:trHeight w:val="567"/>
          <w:jc w:val="center"/>
        </w:trPr>
        <w:tc>
          <w:tcPr>
            <w:tcW w:w="86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4-5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按登记注册类型分组的交通运输、仓储和邮政业企业法人单位和从业人员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2728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46319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内资企业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2684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41927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国有企业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集体企业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股份合作企业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联营企业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有限责任公司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8602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股份有限公司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1199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私营企业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2543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32106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其他企业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港、澳、台商投资企业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3667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外商投资企业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725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（二）主要经济指标。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2018年末，交通运输、仓储和邮政业企业法人单位资产总计462.45亿元，比2013年末增长37.2%。负债</w:t>
      </w:r>
      <w:r>
        <w:rPr>
          <w:rFonts w:ascii="仿宋_GB2312" w:eastAsia="仿宋_GB2312" w:hAnsi="宋体" w:cs="宋体"/>
          <w:kern w:val="0"/>
          <w:sz w:val="32"/>
          <w:szCs w:val="32"/>
        </w:rPr>
        <w:t>合计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175.43</w:t>
      </w:r>
      <w:r>
        <w:rPr>
          <w:rFonts w:ascii="仿宋_GB2312" w:eastAsia="仿宋_GB2312" w:hAnsi="宋体" w:cs="宋体"/>
          <w:kern w:val="0"/>
          <w:sz w:val="32"/>
          <w:szCs w:val="32"/>
        </w:rPr>
        <w:t>亿元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。全年</w:t>
      </w:r>
      <w:r>
        <w:rPr>
          <w:rFonts w:ascii="仿宋_GB2312" w:eastAsia="仿宋_GB2312" w:hAnsi="宋体" w:cs="宋体"/>
          <w:kern w:val="0"/>
          <w:sz w:val="32"/>
          <w:szCs w:val="32"/>
        </w:rPr>
        <w:t>实现营业收入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242.80</w:t>
      </w:r>
      <w:r>
        <w:rPr>
          <w:rFonts w:ascii="仿宋_GB2312" w:eastAsia="仿宋_GB2312" w:hAnsi="宋体" w:cs="宋体"/>
          <w:kern w:val="0"/>
          <w:sz w:val="32"/>
          <w:szCs w:val="32"/>
        </w:rPr>
        <w:t>亿元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15"/>
        <w:gridCol w:w="1594"/>
        <w:gridCol w:w="1594"/>
        <w:gridCol w:w="1728"/>
      </w:tblGrid>
      <w:tr w:rsidR="00AD411C" w:rsidTr="003A04A5">
        <w:trPr>
          <w:trHeight w:val="567"/>
          <w:jc w:val="center"/>
        </w:trPr>
        <w:tc>
          <w:tcPr>
            <w:tcW w:w="87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4-6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按行业大类分组的交通运输、仓储和邮政业企业法人单位主要经济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指标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资产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总计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负债合计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营业收入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（亿元）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462.45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175.43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242.80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道路运输业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104.33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53.72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109.78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水上运输业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263.10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78.90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64.87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航空运输业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管道运输业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多式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联运和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运输代理业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24.89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11.70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17.08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68.47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30.47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31.97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1.66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0.66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19.09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87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right="57" w:firstLineChars="200" w:firstLine="420"/>
              <w:rPr>
                <w:rFonts w:eastAsia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注：表中数据不包含铁路系统普查数据。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住宿</w:t>
      </w:r>
      <w:r>
        <w:rPr>
          <w:rFonts w:ascii="黑体" w:eastAsia="黑体" w:hAnsi="黑体"/>
          <w:kern w:val="0"/>
          <w:sz w:val="32"/>
          <w:szCs w:val="32"/>
        </w:rPr>
        <w:t>和餐饮业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/>
          <w:kern w:val="0"/>
          <w:sz w:val="32"/>
          <w:szCs w:val="32"/>
        </w:rPr>
      </w:pPr>
      <w:r>
        <w:rPr>
          <w:rFonts w:ascii="楷体_GB2312" w:eastAsia="楷体_GB2312" w:hAnsi="楷体" w:cs="楷体_GB2312" w:hint="eastAsia"/>
          <w:kern w:val="0"/>
          <w:sz w:val="32"/>
          <w:szCs w:val="32"/>
        </w:rPr>
        <w:t>（一）企业法人单位数和从业人员。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年末，全区共有住宿和餐饮业企业法人单位146个，从业人员4125人，分别比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2013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年末增长84.8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和11.7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在住宿和餐饮业企业法人单位中，住宿业占35.6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，餐饮业占64.4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。在住宿和餐饮业企业法人单位从业人员中，住宿业占43.0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，餐饮业占57.0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（详见表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4-7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在住宿和餐饮业企业法人单位中，内资企业占97.3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，港、澳、台商投资企业占2.1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，外商投资企业占0.7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在住宿和餐饮业企业法人单位从业人员中，内资企业占90.9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，港、澳、台商投资企业占5.1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，外商投资企业占4.0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（详见表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4-8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）。</w:t>
      </w:r>
    </w:p>
    <w:p w:rsidR="00AD411C" w:rsidRDefault="00AD411C" w:rsidP="00AD411C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160D9" w:rsidRDefault="006160D9" w:rsidP="00AD411C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3"/>
        <w:gridCol w:w="2797"/>
        <w:gridCol w:w="2031"/>
      </w:tblGrid>
      <w:tr w:rsidR="00AD411C" w:rsidTr="003A04A5">
        <w:trPr>
          <w:trHeight w:val="567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表</w:t>
            </w:r>
            <w:r>
              <w:rPr>
                <w:b/>
                <w:bCs/>
                <w:kern w:val="0"/>
                <w:sz w:val="24"/>
              </w:rPr>
              <w:t>4-7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按行业中类分组的住宿和餐饮业企业法人单位和从业人员</w:t>
            </w:r>
          </w:p>
        </w:tc>
      </w:tr>
      <w:tr w:rsidR="00AD411C" w:rsidTr="003A04A5">
        <w:trPr>
          <w:trHeight w:val="569"/>
          <w:jc w:val="center"/>
        </w:trPr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（人）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4125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住宿业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1774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旅游饭店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1422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一般旅馆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336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服务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露营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地服务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其他住宿业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餐饮业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94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2351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正餐服务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2126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快餐服务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203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饮料及冷饮服务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餐饮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配送及外卖送餐服务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其他餐饮业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</w:tr>
    </w:tbl>
    <w:p w:rsidR="00AD411C" w:rsidRDefault="00AD411C" w:rsidP="00AD411C">
      <w:pPr>
        <w:spacing w:line="20" w:lineRule="exact"/>
        <w:ind w:firstLineChars="200" w:firstLine="200"/>
        <w:rPr>
          <w:rFonts w:ascii="仿宋_GB2312" w:eastAsia="仿宋_GB2312" w:hAnsi="宋体" w:cs="宋体"/>
          <w:kern w:val="0"/>
          <w:sz w:val="10"/>
          <w:szCs w:val="10"/>
        </w:rPr>
      </w:pPr>
    </w:p>
    <w:p w:rsidR="00AD411C" w:rsidRDefault="00AD411C" w:rsidP="00AD411C">
      <w:pPr>
        <w:spacing w:line="20" w:lineRule="exact"/>
        <w:ind w:firstLineChars="200" w:firstLine="200"/>
        <w:rPr>
          <w:rFonts w:ascii="仿宋_GB2312" w:eastAsia="仿宋_GB2312" w:hAnsi="宋体" w:cs="宋体"/>
          <w:kern w:val="0"/>
          <w:sz w:val="10"/>
          <w:szCs w:val="10"/>
        </w:rPr>
      </w:pPr>
    </w:p>
    <w:p w:rsidR="00AD411C" w:rsidRDefault="00AD411C" w:rsidP="00AD411C">
      <w:pPr>
        <w:spacing w:line="20" w:lineRule="exact"/>
        <w:ind w:firstLineChars="200" w:firstLine="200"/>
        <w:rPr>
          <w:rFonts w:ascii="仿宋_GB2312" w:eastAsia="仿宋_GB2312" w:hAnsi="宋体" w:cs="宋体"/>
          <w:kern w:val="0"/>
          <w:sz w:val="10"/>
          <w:szCs w:val="10"/>
        </w:rPr>
      </w:pP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3"/>
        <w:gridCol w:w="2795"/>
        <w:gridCol w:w="2033"/>
      </w:tblGrid>
      <w:tr w:rsidR="00AD411C" w:rsidTr="003A04A5">
        <w:trPr>
          <w:trHeight w:val="567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4-8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按登记注册类型分组的住宿和餐饮业企业法人单位和从业人员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（人）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146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4125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内资企业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142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3751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国有企业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集体企业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53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股份合作企业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联营企业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有限责任公司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831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股份有限公司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私营企业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2720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其他企业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港、澳、台商投资企业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211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外商投资企业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163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（二）主要</w:t>
      </w:r>
      <w:r>
        <w:rPr>
          <w:rFonts w:ascii="楷体_GB2312" w:eastAsia="楷体_GB2312" w:hAnsi="楷体" w:cs="宋体"/>
          <w:kern w:val="0"/>
          <w:sz w:val="32"/>
          <w:szCs w:val="32"/>
        </w:rPr>
        <w:t>经济指标</w:t>
      </w:r>
      <w:r>
        <w:rPr>
          <w:rFonts w:ascii="楷体_GB2312" w:eastAsia="楷体_GB2312" w:hAnsi="楷体" w:cs="宋体" w:hint="eastAsia"/>
          <w:kern w:val="0"/>
          <w:sz w:val="32"/>
          <w:szCs w:val="32"/>
        </w:rPr>
        <w:t>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年末，住宿和餐饮业企业法人单位资产总计24.17亿元，比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2013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年末增长198.4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。其中，住宿业企业法人单位资产总计20.27亿元，餐饮业企业法人单位资产总计3.91亿元，分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别比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2013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年末增长173.9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和458.0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。负债合计22.02亿元。全年实现年营业收入7.61亿元（详见表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4-9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4"/>
        <w:gridCol w:w="1619"/>
        <w:gridCol w:w="1619"/>
        <w:gridCol w:w="1619"/>
      </w:tblGrid>
      <w:tr w:rsidR="00AD411C" w:rsidTr="003A04A5">
        <w:trPr>
          <w:trHeight w:val="567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4-9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按行业中类分组的住宿和餐饮业企业法人单位主要经济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指标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="50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资产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总计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负债合计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营业收入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（亿元）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24.17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22.02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7.61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20.27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18.31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3.87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旅游饭店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19.60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17.84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3.40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一般旅馆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0.44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民宿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服务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露营地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服务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其他住宿业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3.91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3.71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3.74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正餐服务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3.46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快餐服务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饮料及冷饮服务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餐饮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配送及外卖送餐服务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其他餐饮业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</w:tr>
    </w:tbl>
    <w:p w:rsidR="00AD411C" w:rsidRDefault="00AD411C" w:rsidP="00AD41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四、信息传输、软件和信息技术服务业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（一）企业法人单位数和从业人员。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2018年末，全区共有信息传输、软件和信息技术服务业企业法人单位398个，从业人员1760人，分别比2013年末增长975.7%和320.0%（详见表4-</w:t>
      </w:r>
      <w:r>
        <w:rPr>
          <w:rFonts w:ascii="仿宋_GB2312" w:eastAsia="仿宋_GB2312" w:hAnsi="宋体" w:cs="宋体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3"/>
        <w:gridCol w:w="2797"/>
        <w:gridCol w:w="2031"/>
      </w:tblGrid>
      <w:tr w:rsidR="00AD411C" w:rsidTr="003A04A5">
        <w:trPr>
          <w:trHeight w:val="850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4-10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按行业大类分组的信息传输、软件和信息技术服务业</w:t>
            </w:r>
          </w:p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企业法人单位和从业人员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（人）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1760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电信、广播电视和卫星传输服务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互联网和相关服务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right="57"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软件和信息技术服务业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1552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在信息传输、软件和信息技术服务业企业法人单位中，内资企业占74.4%，港、澳、台商投资企业占24.9%，外商投资企业占0.8%。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在信息传输、软件和信息技术服务业企业法人单位从业人员中，内资企业占86.4%，港、澳、台商投资企业占12.2%，外商投资企业占1.4%（详见表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cs="宋体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3"/>
        <w:gridCol w:w="2795"/>
        <w:gridCol w:w="2033"/>
      </w:tblGrid>
      <w:tr w:rsidR="00AD411C" w:rsidTr="003A04A5">
        <w:trPr>
          <w:trHeight w:val="850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4-11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按登记注册类型分组的信息传输、软件和信息技术服务业</w:t>
            </w:r>
          </w:p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企业法人单位和从业人员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398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1760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内资企业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296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1521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国有企业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集体企业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股份合作企业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联营企业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有限责任公司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317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股份有限公司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私营企业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1204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其他企业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港、澳、台商投资企业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99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215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7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外商投资企业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24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（二）主要经济指标。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2018年末，信息传输、软件和信息技术服务业企业法人单位资产总计33.92亿元，比20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年末增长2726.4%。负债</w:t>
      </w:r>
      <w:r>
        <w:rPr>
          <w:rFonts w:ascii="仿宋_GB2312" w:eastAsia="仿宋_GB2312" w:hAnsi="宋体" w:cs="宋体"/>
          <w:kern w:val="0"/>
          <w:sz w:val="32"/>
          <w:szCs w:val="32"/>
        </w:rPr>
        <w:t>合计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23.04</w:t>
      </w:r>
      <w:r>
        <w:rPr>
          <w:rFonts w:ascii="仿宋_GB2312" w:eastAsia="仿宋_GB2312" w:hAnsi="宋体" w:cs="宋体"/>
          <w:kern w:val="0"/>
          <w:sz w:val="32"/>
          <w:szCs w:val="32"/>
        </w:rPr>
        <w:t>亿元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。全年</w:t>
      </w:r>
      <w:r>
        <w:rPr>
          <w:rFonts w:ascii="仿宋_GB2312" w:eastAsia="仿宋_GB2312" w:hAnsi="宋体" w:cs="宋体"/>
          <w:kern w:val="0"/>
          <w:sz w:val="32"/>
          <w:szCs w:val="32"/>
        </w:rPr>
        <w:t>实现营业收入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9.53</w:t>
      </w:r>
      <w:r>
        <w:rPr>
          <w:rFonts w:ascii="仿宋_GB2312" w:eastAsia="仿宋_GB2312" w:hAnsi="宋体" w:cs="宋体"/>
          <w:kern w:val="0"/>
          <w:sz w:val="32"/>
          <w:szCs w:val="32"/>
        </w:rPr>
        <w:t>亿元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-1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4"/>
        <w:gridCol w:w="1619"/>
        <w:gridCol w:w="1619"/>
        <w:gridCol w:w="1619"/>
      </w:tblGrid>
      <w:tr w:rsidR="00AD411C" w:rsidTr="006160D9">
        <w:trPr>
          <w:trHeight w:val="850"/>
          <w:jc w:val="center"/>
        </w:trPr>
        <w:tc>
          <w:tcPr>
            <w:tcW w:w="87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4-12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按行业大类分组的信息传输、软件和信息技术服务业</w:t>
            </w:r>
          </w:p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企业法人单位主要经济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指标</w:t>
            </w:r>
          </w:p>
        </w:tc>
      </w:tr>
      <w:tr w:rsidR="00AD411C" w:rsidTr="006160D9">
        <w:trPr>
          <w:trHeight w:val="567"/>
          <w:jc w:val="center"/>
        </w:trPr>
        <w:tc>
          <w:tcPr>
            <w:tcW w:w="3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320" w:lineRule="exact"/>
              <w:ind w:left="57" w:right="57" w:firstLine="50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资产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总计</w:t>
            </w:r>
          </w:p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负债合计</w:t>
            </w:r>
          </w:p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营业收入</w:t>
            </w:r>
          </w:p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（亿元）</w:t>
            </w:r>
          </w:p>
        </w:tc>
      </w:tr>
      <w:tr w:rsidR="00AD411C" w:rsidTr="006160D9">
        <w:trPr>
          <w:trHeight w:val="283"/>
          <w:jc w:val="center"/>
        </w:trPr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33.92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23.04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9.53</w:t>
            </w:r>
          </w:p>
        </w:tc>
      </w:tr>
      <w:tr w:rsidR="00AD411C" w:rsidTr="006160D9">
        <w:trPr>
          <w:trHeight w:val="283"/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电信、广播电视和卫星传输服务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0.14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0.11</w:t>
            </w:r>
          </w:p>
        </w:tc>
      </w:tr>
      <w:tr w:rsidR="00AD411C" w:rsidTr="006160D9">
        <w:trPr>
          <w:trHeight w:val="283"/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互联网和相关服务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0.89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0.74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0.41</w:t>
            </w:r>
          </w:p>
        </w:tc>
      </w:tr>
      <w:tr w:rsidR="00AD411C" w:rsidTr="006160D9">
        <w:trPr>
          <w:trHeight w:val="283"/>
          <w:jc w:val="center"/>
        </w:trPr>
        <w:tc>
          <w:tcPr>
            <w:tcW w:w="38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软件和信息技术服务业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32.89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22.28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9.01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金融</w:t>
      </w:r>
      <w:r>
        <w:rPr>
          <w:rFonts w:ascii="黑体" w:eastAsia="黑体" w:hAnsi="黑体"/>
          <w:kern w:val="0"/>
          <w:sz w:val="32"/>
          <w:szCs w:val="32"/>
        </w:rPr>
        <w:t>业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（一）企业法人单位数。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2018年末，全区共有金融业企业法人单位41个，从业人员187人。分行业看，法人单位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数主体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集中在资本市场服务，占65.9%，从业人员主要集中在资本市场服务，占50.8%（详见表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-1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35"/>
        <w:gridCol w:w="2813"/>
        <w:gridCol w:w="2683"/>
      </w:tblGrid>
      <w:tr w:rsidR="00AD411C" w:rsidTr="003A04A5">
        <w:trPr>
          <w:trHeight w:val="567"/>
          <w:jc w:val="center"/>
        </w:trPr>
        <w:tc>
          <w:tcPr>
            <w:tcW w:w="87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4-13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按行业大类分组的金融业企业法人单位</w:t>
            </w:r>
          </w:p>
        </w:tc>
      </w:tr>
      <w:tr w:rsidR="00AD411C" w:rsidTr="00D55C47">
        <w:trPr>
          <w:trHeight w:val="421"/>
          <w:jc w:val="center"/>
        </w:trPr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D9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0D9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（人）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187</w:t>
            </w:r>
          </w:p>
        </w:tc>
      </w:tr>
      <w:tr w:rsidR="00AD411C" w:rsidTr="003A04A5">
        <w:trPr>
          <w:trHeight w:val="20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货币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金融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spacing w:line="320" w:lineRule="exac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市场服务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保险业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2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其他金融业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87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 w:firstLineChars="200" w:firstLine="420"/>
              <w:rPr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注</w:t>
            </w:r>
            <w:r>
              <w:rPr>
                <w:rFonts w:ascii="楷体" w:eastAsia="楷体" w:hAnsi="楷体" w:cs="宋体"/>
                <w:kern w:val="0"/>
                <w:szCs w:val="21"/>
              </w:rPr>
              <w:t>：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金融业企业法人单位汇总范围</w:t>
            </w:r>
            <w:r>
              <w:rPr>
                <w:rFonts w:ascii="楷体" w:eastAsia="楷体" w:hAnsi="楷体" w:cs="宋体"/>
                <w:kern w:val="0"/>
                <w:szCs w:val="21"/>
              </w:rPr>
              <w:t>包括人民银行、银保监会、证监会监管的单位和监管范围之外从事金融行业的单位。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（二）主要经济</w:t>
      </w:r>
      <w:r>
        <w:rPr>
          <w:rFonts w:ascii="楷体_GB2312" w:eastAsia="楷体_GB2312" w:hAnsi="楷体" w:cs="宋体"/>
          <w:kern w:val="0"/>
          <w:sz w:val="32"/>
          <w:szCs w:val="32"/>
        </w:rPr>
        <w:t>指标</w:t>
      </w:r>
      <w:r>
        <w:rPr>
          <w:rFonts w:ascii="楷体_GB2312" w:eastAsia="楷体_GB2312" w:hAnsi="楷体" w:cs="宋体" w:hint="eastAsia"/>
          <w:kern w:val="0"/>
          <w:sz w:val="32"/>
          <w:szCs w:val="32"/>
        </w:rPr>
        <w:t>。</w:t>
      </w:r>
    </w:p>
    <w:p w:rsidR="00AD411C" w:rsidRDefault="00AD411C" w:rsidP="006160D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2018年末，全区金融业系统外企业法人单位资产总计6.73亿元，负债</w:t>
      </w:r>
      <w:r>
        <w:rPr>
          <w:rFonts w:ascii="仿宋_GB2312" w:eastAsia="仿宋_GB2312" w:hAnsi="宋体" w:cs="宋体"/>
          <w:kern w:val="0"/>
          <w:sz w:val="32"/>
          <w:szCs w:val="32"/>
        </w:rPr>
        <w:t>合计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1.27</w:t>
      </w:r>
      <w:r>
        <w:rPr>
          <w:rFonts w:ascii="仿宋_GB2312" w:eastAsia="仿宋_GB2312" w:hAnsi="宋体" w:cs="宋体"/>
          <w:kern w:val="0"/>
          <w:sz w:val="32"/>
          <w:szCs w:val="32"/>
        </w:rPr>
        <w:t>亿元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，全年实现营业收入0.50亿元（详见表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-1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4"/>
        <w:gridCol w:w="1619"/>
        <w:gridCol w:w="1619"/>
        <w:gridCol w:w="1619"/>
      </w:tblGrid>
      <w:tr w:rsidR="00AD411C" w:rsidTr="003A04A5">
        <w:trPr>
          <w:trHeight w:val="567"/>
          <w:jc w:val="center"/>
        </w:trPr>
        <w:tc>
          <w:tcPr>
            <w:tcW w:w="87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4-14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按行业大类分组的金融业系统外企业法人单位主要经济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指标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320" w:lineRule="exact"/>
              <w:ind w:left="57" w:right="57" w:firstLine="50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资产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总计</w:t>
            </w:r>
          </w:p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负债合计</w:t>
            </w:r>
          </w:p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营业收入</w:t>
            </w:r>
          </w:p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（亿元）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320" w:lineRule="exac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6.73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1.27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0.50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货币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金融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4.88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0.45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市场服务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0.81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0.63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保险业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8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其他金融业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1.04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0.49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87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 w:firstLineChars="200" w:firstLine="420"/>
              <w:rPr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注：金融业系统外企业法人单位数据为普查平台非一套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Cs w:val="21"/>
              </w:rPr>
              <w:t>表金融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Cs w:val="21"/>
              </w:rPr>
              <w:t>单位调查数（上级统计部门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Cs w:val="21"/>
              </w:rPr>
              <w:t>未发布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Cs w:val="21"/>
              </w:rPr>
              <w:t>盐田区金融业系统内资产、负债指标，故未提供相关数据）。</w:t>
            </w:r>
          </w:p>
        </w:tc>
      </w:tr>
    </w:tbl>
    <w:p w:rsidR="00AD411C" w:rsidRDefault="00AD411C" w:rsidP="007210ED">
      <w:pPr>
        <w:widowControl/>
        <w:spacing w:line="54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房地产</w:t>
      </w:r>
      <w:r>
        <w:rPr>
          <w:rFonts w:ascii="黑体" w:eastAsia="黑体" w:hAnsi="黑体"/>
          <w:kern w:val="0"/>
          <w:sz w:val="32"/>
          <w:szCs w:val="32"/>
        </w:rPr>
        <w:t>业</w:t>
      </w:r>
    </w:p>
    <w:p w:rsidR="00AD411C" w:rsidRDefault="00AD411C" w:rsidP="007210ED">
      <w:pPr>
        <w:widowControl/>
        <w:spacing w:line="54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（一）企业法人单位数和从业人员。</w:t>
      </w:r>
    </w:p>
    <w:p w:rsidR="00AD411C" w:rsidRDefault="00AD411C" w:rsidP="007210ED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2018年末，全区共有房地产业企业法人单位376个，比2013年末增长141.0%。其中，房地产开发经营企业103个，物业管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理企业128个，房地产中介服务企业59个，分别比20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年末增长164.1%、161.2%和247.1%。</w:t>
      </w:r>
    </w:p>
    <w:p w:rsidR="00AD411C" w:rsidRDefault="00AD411C" w:rsidP="007210ED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2018年末，全区房地产业企业法人单位的从业人员为5111人，比20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年末下降31.3%。其中，房地产开发经营企业1005人，比20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年末下降74.8%；物业管理企业2966人，房地产中介服务企业274人，分别比20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年末增长33.3%和130.3%（详见表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-15）。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35"/>
        <w:gridCol w:w="2813"/>
        <w:gridCol w:w="2683"/>
      </w:tblGrid>
      <w:tr w:rsidR="00AD411C" w:rsidTr="003A04A5">
        <w:trPr>
          <w:trHeight w:val="567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4-1</w:t>
            </w:r>
            <w:r>
              <w:rPr>
                <w:rFonts w:hint="eastAsia"/>
                <w:b/>
                <w:bCs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按行业中类分组的房地产业企业法人单位和从业人员</w:t>
            </w:r>
          </w:p>
        </w:tc>
      </w:tr>
      <w:tr w:rsidR="00AD411C" w:rsidTr="00D55C47">
        <w:trPr>
          <w:trHeight w:val="161"/>
          <w:jc w:val="center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7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C47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（人）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5111</w:t>
            </w:r>
          </w:p>
        </w:tc>
      </w:tr>
      <w:tr w:rsidR="00AD411C" w:rsidTr="003A04A5">
        <w:trPr>
          <w:trHeight w:val="208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房地产开发经营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物业管理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2966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房地产中介服务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房地产租赁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经营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862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其他房地产业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</w:tr>
    </w:tbl>
    <w:p w:rsidR="00AD411C" w:rsidRDefault="00AD411C" w:rsidP="007210ED">
      <w:pPr>
        <w:widowControl/>
        <w:spacing w:line="54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（二）主要经济指标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。</w:t>
      </w:r>
    </w:p>
    <w:p w:rsidR="00AD411C" w:rsidRDefault="00AD411C" w:rsidP="007210ED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2018年末，全区房地产业企业法人单位的资产总计为1002.91亿元，比20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年末增长81.3%。其中，房地产开发经营企业832.72亿元，物业管理企业49.51亿元，房地产中介服务企业11.49亿元，分别比20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年末增长63.4%，309.2%和38197.5%。负债</w:t>
      </w:r>
      <w:r>
        <w:rPr>
          <w:rFonts w:ascii="仿宋_GB2312" w:eastAsia="仿宋_GB2312" w:hAnsi="宋体" w:cs="宋体"/>
          <w:kern w:val="0"/>
          <w:sz w:val="32"/>
          <w:szCs w:val="32"/>
        </w:rPr>
        <w:t>合计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802.88</w:t>
      </w:r>
      <w:r>
        <w:rPr>
          <w:rFonts w:ascii="仿宋_GB2312" w:eastAsia="仿宋_GB2312" w:hAnsi="宋体" w:cs="宋体"/>
          <w:kern w:val="0"/>
          <w:sz w:val="32"/>
          <w:szCs w:val="32"/>
        </w:rPr>
        <w:t>亿元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。全年实现</w:t>
      </w:r>
      <w:r>
        <w:rPr>
          <w:rFonts w:ascii="仿宋_GB2312" w:eastAsia="仿宋_GB2312" w:hAnsi="宋体" w:cs="宋体"/>
          <w:kern w:val="0"/>
          <w:sz w:val="32"/>
          <w:szCs w:val="32"/>
        </w:rPr>
        <w:t>营业收入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103.44</w:t>
      </w:r>
      <w:r>
        <w:rPr>
          <w:rFonts w:ascii="仿宋_GB2312" w:eastAsia="仿宋_GB2312" w:hAnsi="宋体" w:cs="宋体"/>
          <w:kern w:val="0"/>
          <w:sz w:val="32"/>
          <w:szCs w:val="32"/>
        </w:rPr>
        <w:t>亿元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-16）。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4"/>
        <w:gridCol w:w="1619"/>
        <w:gridCol w:w="1619"/>
        <w:gridCol w:w="1619"/>
      </w:tblGrid>
      <w:tr w:rsidR="00AD411C" w:rsidTr="003A04A5">
        <w:trPr>
          <w:trHeight w:val="567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4-1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按行业中类分组的房地产业企业法人单位主要经济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指标</w:t>
            </w:r>
          </w:p>
        </w:tc>
      </w:tr>
      <w:tr w:rsidR="00AD411C" w:rsidTr="00D55C47">
        <w:trPr>
          <w:trHeight w:val="65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="50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资产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总计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负债合计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营业收入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（亿元）</w:t>
            </w:r>
          </w:p>
        </w:tc>
      </w:tr>
      <w:tr w:rsidR="00AD411C" w:rsidTr="003A04A5">
        <w:trPr>
          <w:trHeight w:val="90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1002.91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802.88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103.44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房地产开发经营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832.72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684.44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89.35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物业管理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49.51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38.31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9.74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房地产中介服务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11.49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9.67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房地产租赁经营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109.20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70.45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4.14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其他房地产业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七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租赁和商务</w:t>
      </w:r>
      <w:r>
        <w:rPr>
          <w:rFonts w:ascii="黑体" w:eastAsia="黑体" w:hAnsi="黑体"/>
          <w:kern w:val="0"/>
          <w:sz w:val="32"/>
          <w:szCs w:val="32"/>
        </w:rPr>
        <w:t>服务业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（一）企业法人单位数和从业人员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。</w:t>
      </w:r>
    </w:p>
    <w:p w:rsidR="00AD411C" w:rsidRDefault="00AD411C" w:rsidP="00AD41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2018年末，全区共有租赁和商务服务业企业法人单位1452个，从业人员11118人，分别比20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年末增长640.8%和189.4%。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在租赁和商务服务业企业法人单位中，租赁业占6.1%，商务服务业占93.9%。在租赁和商务服务业企业法人单位从业人员中，租赁业占4.2%，商务服务业占95.8%（详见表4-17）。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3"/>
        <w:gridCol w:w="2690"/>
        <w:gridCol w:w="2475"/>
        <w:gridCol w:w="13"/>
      </w:tblGrid>
      <w:tr w:rsidR="00AD411C" w:rsidTr="003A04A5">
        <w:trPr>
          <w:gridAfter w:val="1"/>
          <w:wAfter w:w="12" w:type="dxa"/>
          <w:trHeight w:val="567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4-1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按行业大类分组的租赁和商务服务业企业法人单位和从业人员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DD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DD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（人）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1452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11118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租赁业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465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商务服务业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1363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10653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在租赁和商务服务业企业法人单位中，内资企业占87.1%，港、澳、台商投资企业占12.4%，外商投资企业占0.5%。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在租赁和商务服务业企业法人单位从业人员中，内资企业占95.8%，港、澳、台商投资企业占3.9%，外商投资企业占0.2%（详见表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-18）。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3"/>
        <w:gridCol w:w="2689"/>
        <w:gridCol w:w="2473"/>
        <w:gridCol w:w="16"/>
      </w:tblGrid>
      <w:tr w:rsidR="00AD411C" w:rsidTr="003A04A5">
        <w:trPr>
          <w:gridAfter w:val="1"/>
          <w:wAfter w:w="15" w:type="dxa"/>
          <w:trHeight w:val="567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4-1</w:t>
            </w:r>
            <w:r>
              <w:rPr>
                <w:rFonts w:hint="eastAsia"/>
                <w:b/>
                <w:bCs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按登记注册类型分组的租赁和商务服务业企业法人单位和从业人员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DD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企业法人单位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DD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从业人员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1452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11118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内资企业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1265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10656</w:t>
            </w:r>
          </w:p>
        </w:tc>
      </w:tr>
      <w:tr w:rsidR="00AD411C" w:rsidTr="003A04A5">
        <w:trPr>
          <w:trHeight w:val="90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right="57"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3019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集体企业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股份合作企业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联营企业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1284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346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私营企业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1102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5990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其他企业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港、澳、台商投资企业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180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438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3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外商投资企业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24</w:t>
            </w:r>
          </w:p>
        </w:tc>
      </w:tr>
    </w:tbl>
    <w:p w:rsidR="00AD411C" w:rsidRDefault="00AD411C" w:rsidP="00AD411C">
      <w:pPr>
        <w:widowControl/>
        <w:spacing w:line="560" w:lineRule="exact"/>
        <w:ind w:firstLineChars="200" w:firstLine="640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lastRenderedPageBreak/>
        <w:t>（二）主要经济指标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。</w:t>
      </w:r>
    </w:p>
    <w:p w:rsidR="00AD411C" w:rsidRDefault="00AD411C" w:rsidP="00AD411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2018年末，租赁和商务服务业企业法人单位资产总计5460.01亿元，比20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年末增长486.0</w:t>
      </w:r>
      <w:r>
        <w:rPr>
          <w:rFonts w:ascii="仿宋_GB2312" w:eastAsia="仿宋_GB2312" w:cs="仿宋_GB2312" w:hint="eastAsia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。其中，租赁业企业法人单位资产总计1.31亿元，商务服务业企业法人单位资产总计5458.70亿元，分别比2013年末增长141.9%和486.2%。负债</w:t>
      </w:r>
      <w:r>
        <w:rPr>
          <w:rFonts w:ascii="仿宋_GB2312" w:eastAsia="仿宋_GB2312" w:hAnsi="宋体" w:cs="宋体"/>
          <w:kern w:val="0"/>
          <w:sz w:val="32"/>
          <w:szCs w:val="32"/>
        </w:rPr>
        <w:t>合计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4209.57</w:t>
      </w:r>
      <w:r>
        <w:rPr>
          <w:rFonts w:ascii="仿宋_GB2312" w:eastAsia="仿宋_GB2312" w:hAnsi="宋体" w:cs="宋体"/>
          <w:kern w:val="0"/>
          <w:sz w:val="32"/>
          <w:szCs w:val="32"/>
        </w:rPr>
        <w:t>亿元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。全年</w:t>
      </w:r>
      <w:r>
        <w:rPr>
          <w:rFonts w:ascii="仿宋_GB2312" w:eastAsia="仿宋_GB2312" w:hAnsi="宋体" w:cs="宋体"/>
          <w:kern w:val="0"/>
          <w:sz w:val="32"/>
          <w:szCs w:val="32"/>
        </w:rPr>
        <w:t>实现营业收入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64.49</w:t>
      </w:r>
      <w:r>
        <w:rPr>
          <w:rFonts w:ascii="仿宋_GB2312" w:eastAsia="仿宋_GB2312" w:hAnsi="宋体" w:cs="宋体"/>
          <w:kern w:val="0"/>
          <w:sz w:val="32"/>
          <w:szCs w:val="32"/>
        </w:rPr>
        <w:t>亿元。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（详见表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4"/>
        <w:gridCol w:w="1619"/>
        <w:gridCol w:w="1619"/>
        <w:gridCol w:w="1619"/>
      </w:tblGrid>
      <w:tr w:rsidR="00AD411C" w:rsidTr="003A04A5">
        <w:trPr>
          <w:trHeight w:val="567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D411C" w:rsidRDefault="00AD411C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4-19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按行业大类分组的租赁和商务服务业企业法人单位主要经济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指标</w:t>
            </w:r>
          </w:p>
        </w:tc>
      </w:tr>
      <w:tr w:rsidR="00AD411C" w:rsidTr="003A04A5">
        <w:trPr>
          <w:trHeight w:val="567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 w:firstLine="50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资产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总计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负债合计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亿元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营业收入</w:t>
            </w:r>
          </w:p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（亿元）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　计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5460.01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4209.57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64.49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租赁业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0.87</w:t>
            </w:r>
          </w:p>
        </w:tc>
      </w:tr>
      <w:tr w:rsidR="00AD411C" w:rsidTr="003A04A5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D411C" w:rsidRDefault="00AD411C" w:rsidP="003A04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商务服务业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5458.70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4208.72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411C" w:rsidRDefault="00AD411C" w:rsidP="003A04A5">
            <w:pPr>
              <w:widowControl/>
              <w:spacing w:line="240" w:lineRule="atLeast"/>
              <w:ind w:left="57" w:right="57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63.62</w:t>
            </w:r>
          </w:p>
        </w:tc>
      </w:tr>
    </w:tbl>
    <w:p w:rsidR="00782680" w:rsidRDefault="00782680" w:rsidP="00AD411C">
      <w:pPr>
        <w:widowControl/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</w:p>
    <w:p w:rsidR="00782680" w:rsidRDefault="00782680" w:rsidP="00AD411C">
      <w:pPr>
        <w:widowControl/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</w:p>
    <w:p w:rsidR="00AD411C" w:rsidRDefault="00AD411C" w:rsidP="00AD411C">
      <w:pPr>
        <w:widowControl/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注释：</w:t>
      </w:r>
    </w:p>
    <w:p w:rsidR="00AD411C" w:rsidRDefault="00AD411C" w:rsidP="00AD411C">
      <w:pPr>
        <w:widowControl/>
        <w:spacing w:line="5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[1]本公报</w:t>
      </w:r>
      <w:r>
        <w:rPr>
          <w:rFonts w:ascii="仿宋_GB2312" w:eastAsia="仿宋_GB2312" w:hAnsi="宋体" w:cs="宋体"/>
          <w:kern w:val="0"/>
          <w:sz w:val="28"/>
          <w:szCs w:val="28"/>
        </w:rPr>
        <w:t>中的企业法人单位，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包括机构类型为企业的法人单位，以及执行</w:t>
      </w:r>
      <w:r>
        <w:rPr>
          <w:rFonts w:ascii="仿宋_GB2312" w:eastAsia="仿宋_GB2312" w:hAnsi="宋体" w:cs="宋体"/>
          <w:kern w:val="0"/>
          <w:sz w:val="28"/>
          <w:szCs w:val="28"/>
        </w:rPr>
        <w:t>企业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会计</w:t>
      </w:r>
      <w:r>
        <w:rPr>
          <w:rFonts w:ascii="仿宋_GB2312" w:eastAsia="仿宋_GB2312" w:hAnsi="宋体" w:cs="宋体"/>
          <w:kern w:val="0"/>
          <w:sz w:val="28"/>
          <w:szCs w:val="28"/>
        </w:rPr>
        <w:t>制度的事业法人单位、民办非企业法人单位和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基金会，</w:t>
      </w:r>
      <w:r>
        <w:rPr>
          <w:rFonts w:ascii="仿宋_GB2312" w:eastAsia="仿宋_GB2312" w:hAnsi="宋体" w:cs="宋体"/>
          <w:kern w:val="0"/>
          <w:sz w:val="28"/>
          <w:szCs w:val="28"/>
        </w:rPr>
        <w:t>农民专业合作社，农村集体经济组织和除宗教活动场所以外的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机构</w:t>
      </w:r>
      <w:r>
        <w:rPr>
          <w:rFonts w:ascii="仿宋_GB2312" w:eastAsia="仿宋_GB2312" w:hAnsi="宋体" w:cs="宋体"/>
          <w:kern w:val="0"/>
          <w:sz w:val="28"/>
          <w:szCs w:val="28"/>
        </w:rPr>
        <w:t>类型为其他组织机构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>
        <w:rPr>
          <w:rFonts w:ascii="仿宋_GB2312" w:eastAsia="仿宋_GB2312" w:hAnsi="宋体" w:cs="宋体"/>
          <w:kern w:val="0"/>
          <w:sz w:val="28"/>
          <w:szCs w:val="28"/>
        </w:rPr>
        <w:t>法人单位。</w:t>
      </w:r>
    </w:p>
    <w:p w:rsidR="0071660F" w:rsidRPr="00AD411C" w:rsidRDefault="00AD411C" w:rsidP="00AD411C">
      <w:pPr>
        <w:rPr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[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]表中</w:t>
      </w:r>
      <w:r>
        <w:rPr>
          <w:rFonts w:ascii="仿宋_GB2312" w:eastAsia="仿宋_GB2312" w:hAnsi="宋体" w:cs="宋体"/>
          <w:kern w:val="0"/>
          <w:sz w:val="28"/>
          <w:szCs w:val="28"/>
        </w:rPr>
        <w:t>的合计数和部分计算数据因小数取舍而产生的误差，均未作机械调整。</w:t>
      </w:r>
    </w:p>
    <w:sectPr w:rsidR="0071660F" w:rsidRPr="00AD411C" w:rsidSect="00040C7D">
      <w:footerReference w:type="even" r:id="rId7"/>
      <w:footerReference w:type="default" r:id="rId8"/>
      <w:pgSz w:w="11906" w:h="16838"/>
      <w:pgMar w:top="1440" w:right="1474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82" w:rsidRDefault="00AE5482" w:rsidP="00FA1357">
      <w:r>
        <w:separator/>
      </w:r>
    </w:p>
  </w:endnote>
  <w:endnote w:type="continuationSeparator" w:id="0">
    <w:p w:rsidR="00AE5482" w:rsidRDefault="00AE5482" w:rsidP="00FA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60651238"/>
      <w:docPartObj>
        <w:docPartGallery w:val="Page Numbers (Bottom of Page)"/>
        <w:docPartUnique/>
      </w:docPartObj>
    </w:sdtPr>
    <w:sdtContent>
      <w:p w:rsidR="00040C7D" w:rsidRPr="00040C7D" w:rsidRDefault="00767AFE">
        <w:pPr>
          <w:pStyle w:val="a4"/>
          <w:rPr>
            <w:rFonts w:ascii="宋体" w:hAnsi="宋体"/>
            <w:sz w:val="28"/>
            <w:szCs w:val="28"/>
          </w:rPr>
        </w:pPr>
        <w:r w:rsidRPr="00040C7D">
          <w:rPr>
            <w:rFonts w:ascii="宋体" w:hAnsi="宋体"/>
            <w:sz w:val="28"/>
            <w:szCs w:val="28"/>
          </w:rPr>
          <w:fldChar w:fldCharType="begin"/>
        </w:r>
        <w:r w:rsidR="00040C7D" w:rsidRPr="00040C7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040C7D">
          <w:rPr>
            <w:rFonts w:ascii="宋体" w:hAnsi="宋体"/>
            <w:sz w:val="28"/>
            <w:szCs w:val="28"/>
          </w:rPr>
          <w:fldChar w:fldCharType="separate"/>
        </w:r>
        <w:r w:rsidR="00F923DD" w:rsidRPr="00F923D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F923DD">
          <w:rPr>
            <w:rFonts w:ascii="宋体" w:hAnsi="宋体"/>
            <w:noProof/>
            <w:sz w:val="28"/>
            <w:szCs w:val="28"/>
          </w:rPr>
          <w:t xml:space="preserve"> 12 -</w:t>
        </w:r>
        <w:r w:rsidRPr="00040C7D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60651229"/>
      <w:docPartObj>
        <w:docPartGallery w:val="Page Numbers (Bottom of Page)"/>
        <w:docPartUnique/>
      </w:docPartObj>
    </w:sdtPr>
    <w:sdtContent>
      <w:p w:rsidR="006C221E" w:rsidRPr="006C221E" w:rsidRDefault="00767AFE" w:rsidP="006C221E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6C221E">
          <w:rPr>
            <w:rFonts w:ascii="宋体" w:hAnsi="宋体"/>
            <w:sz w:val="28"/>
            <w:szCs w:val="28"/>
          </w:rPr>
          <w:fldChar w:fldCharType="begin"/>
        </w:r>
        <w:r w:rsidR="006C221E" w:rsidRPr="006C221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6C221E">
          <w:rPr>
            <w:rFonts w:ascii="宋体" w:hAnsi="宋体"/>
            <w:sz w:val="28"/>
            <w:szCs w:val="28"/>
          </w:rPr>
          <w:fldChar w:fldCharType="separate"/>
        </w:r>
        <w:r w:rsidR="00F923DD" w:rsidRPr="00F923D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F923DD">
          <w:rPr>
            <w:rFonts w:ascii="宋体" w:hAnsi="宋体"/>
            <w:noProof/>
            <w:sz w:val="28"/>
            <w:szCs w:val="28"/>
          </w:rPr>
          <w:t xml:space="preserve"> 11 -</w:t>
        </w:r>
        <w:r w:rsidRPr="006C221E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82" w:rsidRDefault="00AE5482" w:rsidP="00FA1357">
      <w:r>
        <w:separator/>
      </w:r>
    </w:p>
  </w:footnote>
  <w:footnote w:type="continuationSeparator" w:id="0">
    <w:p w:rsidR="00AE5482" w:rsidRDefault="00AE5482" w:rsidP="00FA1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357"/>
    <w:rsid w:val="00040C7D"/>
    <w:rsid w:val="00084E9F"/>
    <w:rsid w:val="001A4A9A"/>
    <w:rsid w:val="003642C0"/>
    <w:rsid w:val="003C699B"/>
    <w:rsid w:val="003D2755"/>
    <w:rsid w:val="0042195A"/>
    <w:rsid w:val="006160D9"/>
    <w:rsid w:val="00621A35"/>
    <w:rsid w:val="006C221E"/>
    <w:rsid w:val="0071660F"/>
    <w:rsid w:val="007210ED"/>
    <w:rsid w:val="00767AFE"/>
    <w:rsid w:val="00782680"/>
    <w:rsid w:val="00927EC8"/>
    <w:rsid w:val="0094665F"/>
    <w:rsid w:val="00AB3F0C"/>
    <w:rsid w:val="00AD411C"/>
    <w:rsid w:val="00AE5482"/>
    <w:rsid w:val="00D31C11"/>
    <w:rsid w:val="00D55C47"/>
    <w:rsid w:val="00E23AFB"/>
    <w:rsid w:val="00EB2A1E"/>
    <w:rsid w:val="00F14893"/>
    <w:rsid w:val="00F551B3"/>
    <w:rsid w:val="00F923DD"/>
    <w:rsid w:val="00FA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Body Text Indent 2" w:uiPriority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D411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D411C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A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A1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1357"/>
    <w:rPr>
      <w:sz w:val="18"/>
      <w:szCs w:val="18"/>
    </w:rPr>
  </w:style>
  <w:style w:type="paragraph" w:styleId="a5">
    <w:name w:val="List Paragraph"/>
    <w:basedOn w:val="a"/>
    <w:uiPriority w:val="99"/>
    <w:qFormat/>
    <w:rsid w:val="00FA1357"/>
    <w:pPr>
      <w:widowControl/>
      <w:spacing w:line="560" w:lineRule="exact"/>
      <w:ind w:firstLineChars="200" w:firstLine="420"/>
      <w:jc w:val="left"/>
    </w:pPr>
  </w:style>
  <w:style w:type="character" w:customStyle="1" w:styleId="1Char">
    <w:name w:val="标题 1 Char"/>
    <w:basedOn w:val="a0"/>
    <w:link w:val="1"/>
    <w:qFormat/>
    <w:rsid w:val="00AD411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AD411C"/>
    <w:rPr>
      <w:rFonts w:ascii="Calibri Light" w:eastAsia="宋体" w:hAnsi="Calibri Light" w:cs="Times New Roman"/>
      <w:b/>
      <w:bCs/>
      <w:kern w:val="0"/>
      <w:sz w:val="32"/>
      <w:szCs w:val="32"/>
    </w:rPr>
  </w:style>
  <w:style w:type="character" w:customStyle="1" w:styleId="font41">
    <w:name w:val="font41"/>
    <w:rsid w:val="00AD411C"/>
    <w:rPr>
      <w:rFonts w:ascii="Times New Roman" w:hAnsi="Times New Roman" w:cs="Times New Roman" w:hint="default"/>
      <w:b/>
      <w:i w:val="0"/>
      <w:color w:val="000000"/>
      <w:sz w:val="21"/>
      <w:szCs w:val="21"/>
      <w:u w:val="none"/>
    </w:rPr>
  </w:style>
  <w:style w:type="character" w:styleId="a6">
    <w:name w:val="Strong"/>
    <w:uiPriority w:val="99"/>
    <w:qFormat/>
    <w:rsid w:val="00AD411C"/>
    <w:rPr>
      <w:rFonts w:cs="Times New Roman"/>
      <w:b/>
    </w:rPr>
  </w:style>
  <w:style w:type="character" w:customStyle="1" w:styleId="font31">
    <w:name w:val="font31"/>
    <w:rsid w:val="00AD411C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character" w:customStyle="1" w:styleId="Char1">
    <w:name w:val="日期 Char"/>
    <w:link w:val="a7"/>
    <w:uiPriority w:val="99"/>
    <w:qFormat/>
    <w:rsid w:val="00AD411C"/>
    <w:rPr>
      <w:rFonts w:ascii="Calibri" w:hAnsi="Calibri"/>
    </w:rPr>
  </w:style>
  <w:style w:type="character" w:styleId="a8">
    <w:name w:val="endnote reference"/>
    <w:qFormat/>
    <w:rsid w:val="00AD411C"/>
    <w:rPr>
      <w:vertAlign w:val="superscript"/>
    </w:rPr>
  </w:style>
  <w:style w:type="character" w:customStyle="1" w:styleId="Char2">
    <w:name w:val="标题 Char"/>
    <w:link w:val="a9"/>
    <w:qFormat/>
    <w:locked/>
    <w:rsid w:val="00AD411C"/>
    <w:rPr>
      <w:rFonts w:ascii="Calibri Light" w:eastAsia="宋体" w:hAnsi="Calibri Light"/>
      <w:b/>
      <w:bCs/>
      <w:sz w:val="32"/>
      <w:szCs w:val="32"/>
    </w:rPr>
  </w:style>
  <w:style w:type="character" w:styleId="aa">
    <w:name w:val="page number"/>
    <w:basedOn w:val="a0"/>
    <w:qFormat/>
    <w:rsid w:val="00AD411C"/>
  </w:style>
  <w:style w:type="character" w:customStyle="1" w:styleId="2Char0">
    <w:name w:val="正文文本缩进 2 Char"/>
    <w:link w:val="20"/>
    <w:semiHidden/>
    <w:qFormat/>
    <w:locked/>
    <w:rsid w:val="00AD411C"/>
    <w:rPr>
      <w:rFonts w:eastAsia="宋体"/>
      <w:color w:val="FF0000"/>
      <w:szCs w:val="24"/>
    </w:rPr>
  </w:style>
  <w:style w:type="character" w:styleId="ab">
    <w:name w:val="FollowedHyperlink"/>
    <w:uiPriority w:val="99"/>
    <w:qFormat/>
    <w:rsid w:val="00AD411C"/>
    <w:rPr>
      <w:rFonts w:cs="Times New Roman"/>
      <w:color w:val="800080"/>
      <w:u w:val="single"/>
    </w:rPr>
  </w:style>
  <w:style w:type="character" w:customStyle="1" w:styleId="font71">
    <w:name w:val="font71"/>
    <w:rsid w:val="00AD411C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Char3">
    <w:name w:val="尾注文本 Char"/>
    <w:link w:val="ac"/>
    <w:qFormat/>
    <w:rsid w:val="00AD411C"/>
    <w:rPr>
      <w:szCs w:val="24"/>
    </w:rPr>
  </w:style>
  <w:style w:type="character" w:styleId="ad">
    <w:name w:val="footnote reference"/>
    <w:uiPriority w:val="99"/>
    <w:semiHidden/>
    <w:qFormat/>
    <w:rsid w:val="00AD411C"/>
    <w:rPr>
      <w:vertAlign w:val="superscript"/>
    </w:rPr>
  </w:style>
  <w:style w:type="character" w:styleId="ae">
    <w:name w:val="Hyperlink"/>
    <w:uiPriority w:val="99"/>
    <w:unhideWhenUsed/>
    <w:qFormat/>
    <w:rsid w:val="00AD411C"/>
    <w:rPr>
      <w:color w:val="0563C1"/>
      <w:u w:val="single"/>
    </w:rPr>
  </w:style>
  <w:style w:type="character" w:customStyle="1" w:styleId="font61">
    <w:name w:val="font61"/>
    <w:rsid w:val="00AD411C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character" w:customStyle="1" w:styleId="yjsong1">
    <w:name w:val="yjsong1"/>
    <w:qFormat/>
    <w:rsid w:val="00AD411C"/>
  </w:style>
  <w:style w:type="character" w:customStyle="1" w:styleId="font21">
    <w:name w:val="font21"/>
    <w:rsid w:val="00AD411C"/>
    <w:rPr>
      <w:rFonts w:ascii="Times New Roman" w:hAnsi="Times New Roman" w:cs="Times New Roman" w:hint="default"/>
      <w:b/>
      <w:i w:val="0"/>
      <w:color w:val="000000"/>
      <w:sz w:val="21"/>
      <w:szCs w:val="21"/>
      <w:u w:val="none"/>
    </w:rPr>
  </w:style>
  <w:style w:type="character" w:customStyle="1" w:styleId="Char4">
    <w:name w:val="脚注文本 Char"/>
    <w:link w:val="af"/>
    <w:uiPriority w:val="99"/>
    <w:semiHidden/>
    <w:qFormat/>
    <w:locked/>
    <w:rsid w:val="00AD411C"/>
    <w:rPr>
      <w:rFonts w:ascii="Calibri" w:eastAsia="宋体" w:hAnsi="Calibri"/>
      <w:sz w:val="18"/>
      <w:szCs w:val="18"/>
    </w:rPr>
  </w:style>
  <w:style w:type="character" w:customStyle="1" w:styleId="Char5">
    <w:name w:val="副标题 Char"/>
    <w:link w:val="af0"/>
    <w:qFormat/>
    <w:rsid w:val="00AD411C"/>
    <w:rPr>
      <w:rFonts w:ascii="Cambria" w:hAnsi="Cambria"/>
      <w:b/>
      <w:bCs/>
      <w:kern w:val="28"/>
      <w:sz w:val="32"/>
      <w:szCs w:val="32"/>
    </w:rPr>
  </w:style>
  <w:style w:type="character" w:customStyle="1" w:styleId="font11">
    <w:name w:val="font11"/>
    <w:rsid w:val="00AD411C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AD411C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Char6">
    <w:name w:val="纯文本 Char"/>
    <w:link w:val="af1"/>
    <w:uiPriority w:val="99"/>
    <w:qFormat/>
    <w:locked/>
    <w:rsid w:val="00AD411C"/>
    <w:rPr>
      <w:rFonts w:ascii="宋体" w:eastAsia="宋体" w:hAnsi="Courier New" w:cs="Courier New"/>
      <w:szCs w:val="21"/>
    </w:rPr>
  </w:style>
  <w:style w:type="character" w:styleId="af2">
    <w:name w:val="Placeholder Text"/>
    <w:uiPriority w:val="99"/>
    <w:semiHidden/>
    <w:qFormat/>
    <w:rsid w:val="00AD411C"/>
    <w:rPr>
      <w:color w:val="808080"/>
    </w:rPr>
  </w:style>
  <w:style w:type="character" w:customStyle="1" w:styleId="Char7">
    <w:name w:val="批注框文本 Char"/>
    <w:link w:val="af3"/>
    <w:uiPriority w:val="99"/>
    <w:qFormat/>
    <w:rsid w:val="00AD411C"/>
    <w:rPr>
      <w:sz w:val="18"/>
      <w:szCs w:val="18"/>
    </w:rPr>
  </w:style>
  <w:style w:type="paragraph" w:styleId="af0">
    <w:name w:val="Subtitle"/>
    <w:basedOn w:val="a"/>
    <w:next w:val="a"/>
    <w:link w:val="Char5"/>
    <w:qFormat/>
    <w:rsid w:val="00AD411C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f0"/>
    <w:uiPriority w:val="11"/>
    <w:rsid w:val="00AD411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4">
    <w:name w:val="Normal (Web)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3">
    <w:name w:val="Balloon Text"/>
    <w:basedOn w:val="a"/>
    <w:link w:val="Char7"/>
    <w:uiPriority w:val="99"/>
    <w:qFormat/>
    <w:rsid w:val="00AD411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f3"/>
    <w:uiPriority w:val="99"/>
    <w:semiHidden/>
    <w:rsid w:val="00AD411C"/>
    <w:rPr>
      <w:rFonts w:ascii="Times New Roman" w:eastAsia="宋体" w:hAnsi="Times New Roman" w:cs="Times New Roman"/>
      <w:sz w:val="18"/>
      <w:szCs w:val="18"/>
    </w:rPr>
  </w:style>
  <w:style w:type="paragraph" w:styleId="af1">
    <w:name w:val="Plain Text"/>
    <w:basedOn w:val="a"/>
    <w:link w:val="Char6"/>
    <w:uiPriority w:val="99"/>
    <w:qFormat/>
    <w:rsid w:val="00AD411C"/>
    <w:rPr>
      <w:rFonts w:ascii="宋体" w:hAnsi="Courier New" w:cs="Courier New"/>
      <w:szCs w:val="21"/>
    </w:rPr>
  </w:style>
  <w:style w:type="character" w:customStyle="1" w:styleId="Char12">
    <w:name w:val="纯文本 Char1"/>
    <w:basedOn w:val="a0"/>
    <w:link w:val="af1"/>
    <w:uiPriority w:val="99"/>
    <w:semiHidden/>
    <w:rsid w:val="00AD411C"/>
    <w:rPr>
      <w:rFonts w:ascii="宋体" w:eastAsia="宋体" w:hAnsi="Courier New" w:cs="Courier New"/>
      <w:szCs w:val="21"/>
    </w:rPr>
  </w:style>
  <w:style w:type="paragraph" w:styleId="ac">
    <w:name w:val="endnote text"/>
    <w:basedOn w:val="a"/>
    <w:link w:val="Char3"/>
    <w:qFormat/>
    <w:rsid w:val="00AD411C"/>
    <w:pPr>
      <w:snapToGrid w:val="0"/>
      <w:jc w:val="left"/>
    </w:pPr>
    <w:rPr>
      <w:rFonts w:asciiTheme="minorHAnsi" w:eastAsiaTheme="minorEastAsia" w:hAnsiTheme="minorHAnsi" w:cstheme="minorBidi"/>
    </w:rPr>
  </w:style>
  <w:style w:type="character" w:customStyle="1" w:styleId="Char13">
    <w:name w:val="尾注文本 Char1"/>
    <w:basedOn w:val="a0"/>
    <w:link w:val="ac"/>
    <w:uiPriority w:val="99"/>
    <w:semiHidden/>
    <w:rsid w:val="00AD411C"/>
    <w:rPr>
      <w:rFonts w:ascii="Times New Roman" w:eastAsia="宋体" w:hAnsi="Times New Roman" w:cs="Times New Roman"/>
      <w:szCs w:val="24"/>
    </w:rPr>
  </w:style>
  <w:style w:type="paragraph" w:styleId="af">
    <w:name w:val="footnote text"/>
    <w:basedOn w:val="a"/>
    <w:link w:val="Char4"/>
    <w:uiPriority w:val="99"/>
    <w:semiHidden/>
    <w:qFormat/>
    <w:rsid w:val="00AD411C"/>
    <w:pPr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14">
    <w:name w:val="脚注文本 Char1"/>
    <w:basedOn w:val="a0"/>
    <w:link w:val="af"/>
    <w:uiPriority w:val="99"/>
    <w:semiHidden/>
    <w:rsid w:val="00AD411C"/>
    <w:rPr>
      <w:rFonts w:ascii="Times New Roman" w:eastAsia="宋体" w:hAnsi="Times New Roman" w:cs="Times New Roman"/>
      <w:sz w:val="18"/>
      <w:szCs w:val="18"/>
    </w:rPr>
  </w:style>
  <w:style w:type="paragraph" w:customStyle="1" w:styleId="xl123">
    <w:name w:val="xl123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24"/>
    </w:rPr>
  </w:style>
  <w:style w:type="paragraph" w:styleId="20">
    <w:name w:val="Body Text Indent 2"/>
    <w:basedOn w:val="a"/>
    <w:link w:val="2Char0"/>
    <w:semiHidden/>
    <w:qFormat/>
    <w:rsid w:val="00AD411C"/>
    <w:pPr>
      <w:spacing w:after="120" w:line="480" w:lineRule="auto"/>
      <w:ind w:leftChars="200" w:left="420"/>
    </w:pPr>
    <w:rPr>
      <w:rFonts w:asciiTheme="minorHAnsi" w:hAnsiTheme="minorHAnsi" w:cstheme="minorBidi"/>
      <w:color w:val="FF0000"/>
    </w:rPr>
  </w:style>
  <w:style w:type="character" w:customStyle="1" w:styleId="2Char1">
    <w:name w:val="正文文本缩进 2 Char1"/>
    <w:basedOn w:val="a0"/>
    <w:link w:val="20"/>
    <w:uiPriority w:val="99"/>
    <w:semiHidden/>
    <w:rsid w:val="00AD411C"/>
    <w:rPr>
      <w:rFonts w:ascii="Times New Roman" w:eastAsia="宋体" w:hAnsi="Times New Roman" w:cs="Times New Roman"/>
      <w:szCs w:val="24"/>
    </w:rPr>
  </w:style>
  <w:style w:type="paragraph" w:styleId="a9">
    <w:name w:val="Title"/>
    <w:basedOn w:val="a"/>
    <w:next w:val="a"/>
    <w:link w:val="Char2"/>
    <w:qFormat/>
    <w:rsid w:val="00AD411C"/>
    <w:pPr>
      <w:spacing w:before="240" w:after="60"/>
      <w:jc w:val="center"/>
      <w:outlineLvl w:val="0"/>
    </w:pPr>
    <w:rPr>
      <w:rFonts w:ascii="Calibri Light" w:hAnsi="Calibri Light" w:cstheme="minorBidi"/>
      <w:b/>
      <w:bCs/>
      <w:sz w:val="32"/>
      <w:szCs w:val="32"/>
    </w:rPr>
  </w:style>
  <w:style w:type="character" w:customStyle="1" w:styleId="Char15">
    <w:name w:val="标题 Char1"/>
    <w:basedOn w:val="a0"/>
    <w:link w:val="a9"/>
    <w:uiPriority w:val="10"/>
    <w:rsid w:val="00AD411C"/>
    <w:rPr>
      <w:rFonts w:asciiTheme="majorHAnsi" w:eastAsia="宋体" w:hAnsiTheme="majorHAnsi" w:cstheme="majorBidi"/>
      <w:b/>
      <w:bCs/>
      <w:sz w:val="32"/>
      <w:szCs w:val="32"/>
    </w:rPr>
  </w:style>
  <w:style w:type="paragraph" w:styleId="21">
    <w:name w:val="toc 2"/>
    <w:basedOn w:val="a"/>
    <w:next w:val="a"/>
    <w:uiPriority w:val="39"/>
    <w:qFormat/>
    <w:rsid w:val="00AD411C"/>
    <w:pPr>
      <w:ind w:leftChars="200" w:left="420"/>
    </w:pPr>
  </w:style>
  <w:style w:type="paragraph" w:styleId="a7">
    <w:name w:val="Date"/>
    <w:basedOn w:val="a"/>
    <w:next w:val="a"/>
    <w:link w:val="Char1"/>
    <w:uiPriority w:val="99"/>
    <w:unhideWhenUsed/>
    <w:qFormat/>
    <w:rsid w:val="00AD411C"/>
    <w:pPr>
      <w:ind w:leftChars="2500" w:left="100"/>
    </w:pPr>
    <w:rPr>
      <w:rFonts w:ascii="Calibri" w:eastAsiaTheme="minorEastAsia" w:hAnsi="Calibri" w:cstheme="minorBidi"/>
      <w:szCs w:val="22"/>
    </w:rPr>
  </w:style>
  <w:style w:type="character" w:customStyle="1" w:styleId="Char16">
    <w:name w:val="日期 Char1"/>
    <w:basedOn w:val="a0"/>
    <w:link w:val="a7"/>
    <w:uiPriority w:val="99"/>
    <w:semiHidden/>
    <w:rsid w:val="00AD411C"/>
    <w:rPr>
      <w:rFonts w:ascii="Times New Roman" w:eastAsia="宋体" w:hAnsi="Times New Roman" w:cs="Times New Roman"/>
      <w:szCs w:val="24"/>
    </w:rPr>
  </w:style>
  <w:style w:type="paragraph" w:styleId="10">
    <w:name w:val="toc 1"/>
    <w:basedOn w:val="a"/>
    <w:next w:val="a"/>
    <w:uiPriority w:val="39"/>
    <w:qFormat/>
    <w:rsid w:val="00AD411C"/>
  </w:style>
  <w:style w:type="paragraph" w:customStyle="1" w:styleId="font5">
    <w:name w:val="font5"/>
    <w:basedOn w:val="a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0">
    <w:name w:val="xl100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32"/>
      <w:szCs w:val="32"/>
    </w:rPr>
  </w:style>
  <w:style w:type="paragraph" w:customStyle="1" w:styleId="xl103">
    <w:name w:val="xl103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font7">
    <w:name w:val="font7"/>
    <w:basedOn w:val="a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5">
    <w:name w:val="xl105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uiPriority w:val="99"/>
    <w:qFormat/>
    <w:rsid w:val="00AD411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font9">
    <w:name w:val="font9"/>
    <w:basedOn w:val="a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12">
    <w:name w:val="xl112"/>
    <w:basedOn w:val="a"/>
    <w:uiPriority w:val="99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116">
    <w:name w:val="xl116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78">
    <w:name w:val="xl78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24"/>
    </w:rPr>
  </w:style>
  <w:style w:type="paragraph" w:customStyle="1" w:styleId="font0">
    <w:name w:val="font0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2">
    <w:name w:val="xl82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CharChar2">
    <w:name w:val="Char Char2"/>
    <w:basedOn w:val="a"/>
    <w:rsid w:val="00AD411C"/>
    <w:pPr>
      <w:tabs>
        <w:tab w:val="left" w:pos="1682"/>
      </w:tabs>
      <w:ind w:left="1682" w:hanging="1080"/>
    </w:pPr>
    <w:rPr>
      <w:sz w:val="24"/>
    </w:rPr>
  </w:style>
  <w:style w:type="paragraph" w:customStyle="1" w:styleId="xl79">
    <w:name w:val="xl79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02">
    <w:name w:val="xl102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24"/>
    </w:rPr>
  </w:style>
  <w:style w:type="paragraph" w:customStyle="1" w:styleId="xl132">
    <w:name w:val="xl132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-GB2312">
    <w:name w:val="标准-仿宋GB2312"/>
    <w:basedOn w:val="a"/>
    <w:qFormat/>
    <w:rsid w:val="00AD411C"/>
    <w:rPr>
      <w:rFonts w:ascii="仿宋_GB2312" w:eastAsia="仿宋_GB2312" w:hAnsi="Calibri"/>
      <w:sz w:val="30"/>
      <w:szCs w:val="30"/>
    </w:rPr>
  </w:style>
  <w:style w:type="paragraph" w:customStyle="1" w:styleId="xl125">
    <w:name w:val="xl125"/>
    <w:basedOn w:val="a"/>
    <w:uiPriority w:val="99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color w:val="FF0000"/>
      <w:kern w:val="0"/>
      <w:sz w:val="24"/>
    </w:rPr>
  </w:style>
  <w:style w:type="paragraph" w:customStyle="1" w:styleId="xl138">
    <w:name w:val="xl138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xl119">
    <w:name w:val="xl119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rsid w:val="00AD411C"/>
    <w:pPr>
      <w:ind w:firstLineChars="200" w:firstLine="420"/>
    </w:pPr>
    <w:rPr>
      <w:rFonts w:ascii="Calibri" w:hAnsi="Calibri" w:cs="Calibri"/>
      <w:szCs w:val="21"/>
    </w:rPr>
  </w:style>
  <w:style w:type="paragraph" w:customStyle="1" w:styleId="font8">
    <w:name w:val="font8"/>
    <w:basedOn w:val="a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5">
    <w:name w:val="Revision"/>
    <w:uiPriority w:val="99"/>
    <w:semiHidden/>
    <w:rsid w:val="00AD411C"/>
    <w:rPr>
      <w:rFonts w:ascii="Times New Roman" w:eastAsia="宋体" w:hAnsi="Times New Roman" w:cs="Times New Roman"/>
      <w:szCs w:val="24"/>
    </w:rPr>
  </w:style>
  <w:style w:type="paragraph" w:customStyle="1" w:styleId="xl128">
    <w:name w:val="xl128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31">
    <w:name w:val="xl131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15">
    <w:name w:val="xl115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Char8">
    <w:name w:val="Char"/>
    <w:basedOn w:val="a"/>
    <w:rsid w:val="00AD411C"/>
    <w:rPr>
      <w:rFonts w:ascii="Tahoma" w:hAnsi="Tahoma"/>
      <w:sz w:val="24"/>
      <w:szCs w:val="20"/>
    </w:rPr>
  </w:style>
  <w:style w:type="paragraph" w:customStyle="1" w:styleId="font6">
    <w:name w:val="font6"/>
    <w:basedOn w:val="a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1">
    <w:name w:val="xl121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1">
    <w:name w:val="xl81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xl87">
    <w:name w:val="xl87"/>
    <w:basedOn w:val="a"/>
    <w:uiPriority w:val="99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22">
    <w:name w:val="xl122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xl110">
    <w:name w:val="xl110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xl97">
    <w:name w:val="xl97"/>
    <w:basedOn w:val="a"/>
    <w:uiPriority w:val="99"/>
    <w:qFormat/>
    <w:rsid w:val="00AD411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uiPriority w:val="99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AD411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CharChar3">
    <w:name w:val="Char Char3"/>
    <w:basedOn w:val="a"/>
    <w:qFormat/>
    <w:rsid w:val="00AD411C"/>
    <w:pPr>
      <w:tabs>
        <w:tab w:val="left" w:pos="432"/>
      </w:tabs>
      <w:spacing w:line="400" w:lineRule="exact"/>
      <w:ind w:left="432" w:hanging="432"/>
    </w:pPr>
  </w:style>
  <w:style w:type="paragraph" w:customStyle="1" w:styleId="xl101">
    <w:name w:val="xl101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Calibri" w:hAnsi="Calibri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qFormat/>
    <w:rsid w:val="00AD411C"/>
    <w:pPr>
      <w:widowControl/>
      <w:spacing w:before="240" w:after="0" w:line="259" w:lineRule="auto"/>
      <w:ind w:firstLineChars="200" w:firstLine="562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xl66">
    <w:name w:val="xl66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30">
    <w:name w:val="xl130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17">
    <w:name w:val="xl117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p0">
    <w:name w:val="p0"/>
    <w:basedOn w:val="a"/>
    <w:qFormat/>
    <w:rsid w:val="00AD411C"/>
    <w:pPr>
      <w:widowControl/>
      <w:adjustRightInd w:val="0"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CharChar1">
    <w:name w:val="Char Char1"/>
    <w:basedOn w:val="a"/>
    <w:next w:val="a"/>
    <w:rsid w:val="00AD411C"/>
    <w:pPr>
      <w:widowControl/>
      <w:spacing w:after="160" w:line="240" w:lineRule="exact"/>
      <w:jc w:val="left"/>
    </w:pPr>
  </w:style>
  <w:style w:type="paragraph" w:customStyle="1" w:styleId="xl109">
    <w:name w:val="xl109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24"/>
    </w:rPr>
  </w:style>
  <w:style w:type="paragraph" w:customStyle="1" w:styleId="xl126">
    <w:name w:val="xl126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22">
    <w:name w:val="封面标准号2"/>
    <w:basedOn w:val="a"/>
    <w:qFormat/>
    <w:rsid w:val="00AD411C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xl98">
    <w:name w:val="xl98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6">
    <w:name w:val="局发文正文"/>
    <w:basedOn w:val="a"/>
    <w:qFormat/>
    <w:rsid w:val="00AD411C"/>
    <w:pPr>
      <w:adjustRightInd w:val="0"/>
      <w:spacing w:line="600" w:lineRule="atLeast"/>
      <w:ind w:firstLineChars="200" w:firstLine="200"/>
    </w:pPr>
    <w:rPr>
      <w:rFonts w:ascii="仿宋_GB2312" w:eastAsia="仿宋_GB2312"/>
      <w:caps/>
      <w:spacing w:val="6"/>
      <w:kern w:val="0"/>
      <w:sz w:val="30"/>
      <w:szCs w:val="20"/>
    </w:rPr>
  </w:style>
  <w:style w:type="paragraph" w:customStyle="1" w:styleId="xl95">
    <w:name w:val="xl95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uiPriority w:val="99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11">
    <w:name w:val="xl111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color w:val="FF0000"/>
      <w:kern w:val="0"/>
      <w:sz w:val="24"/>
    </w:rPr>
  </w:style>
  <w:style w:type="table" w:styleId="af7">
    <w:name w:val="Table Grid"/>
    <w:basedOn w:val="a1"/>
    <w:uiPriority w:val="39"/>
    <w:qFormat/>
    <w:rsid w:val="00AD41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CFA5-A7E3-4319-8C52-4697B66D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1173</Words>
  <Characters>6690</Characters>
  <Application>Microsoft Office Word</Application>
  <DocSecurity>0</DocSecurity>
  <Lines>55</Lines>
  <Paragraphs>15</Paragraphs>
  <ScaleCrop>false</ScaleCrop>
  <Company>盐田区政府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陈光平</dc:creator>
  <cp:keywords/>
  <dc:description/>
  <cp:lastModifiedBy>陈光平</cp:lastModifiedBy>
  <cp:revision>16</cp:revision>
  <dcterms:created xsi:type="dcterms:W3CDTF">2020-04-29T01:31:00Z</dcterms:created>
  <dcterms:modified xsi:type="dcterms:W3CDTF">2020-04-29T01:58:00Z</dcterms:modified>
</cp:coreProperties>
</file>