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795"/>
        <w:gridCol w:w="570"/>
        <w:gridCol w:w="960"/>
        <w:gridCol w:w="1650"/>
        <w:gridCol w:w="1214"/>
        <w:gridCol w:w="1111"/>
        <w:gridCol w:w="1335"/>
        <w:gridCol w:w="1515"/>
        <w:gridCol w:w="1065"/>
        <w:gridCol w:w="1095"/>
        <w:gridCol w:w="900"/>
        <w:gridCol w:w="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637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8"/>
                <w:szCs w:val="3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盐田区民政局第二批社工人才保障性住房排名信息表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所在项目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职级情况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住房需求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在盐专业服务时长（年）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获奖加分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彭洋福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无邪和谐社区社工服务项目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社工5级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2018年优秀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梁孝宁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民政岗位社工服务项目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社工5级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2018年优秀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36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申请人在申请材料提交截至日期前，需符合相关要求。不符条件的，不列入排名，符合条件后，可申请下一批次排位选房。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06D75"/>
    <w:rsid w:val="218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2020-07-13T06:51:00Z</dcterms:created>
  <dc:creator>胡津诚</dc:creator>
  <cp:lastModifiedBy>胡津诚</cp:lastModifiedBy>
  <dcterms:modified xsi:type="dcterms:W3CDTF">2020-07-13T06:51:57Z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