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lang w:eastAsia="zh-CN"/>
        </w:rPr>
      </w:pPr>
      <w:bookmarkStart w:id="0" w:name="_GoBack"/>
      <w:r>
        <w:rPr>
          <w:rFonts w:hint="eastAsia" w:ascii="黑体" w:hAnsi="宋体" w:eastAsia="黑体" w:cs="黑体"/>
          <w:lang w:bidi="ar"/>
        </w:rPr>
        <w:t>附件</w:t>
      </w:r>
      <w:r>
        <w:rPr>
          <w:rFonts w:hint="eastAsia" w:ascii="黑体" w:hAnsi="宋体" w:eastAsia="黑体" w:cs="黑体"/>
          <w:lang w:val="en-US" w:eastAsia="zh-CN" w:bidi="ar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季度行业部门隐患排查治理体系建设工作考核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情况汇总表</w:t>
      </w:r>
    </w:p>
    <w:bookmarkEnd w:id="0"/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60960</wp:posOffset>
            </wp:positionV>
            <wp:extent cx="8185785" cy="4377055"/>
            <wp:effectExtent l="0" t="0" r="5715" b="4445"/>
            <wp:wrapNone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5785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2021-11-30T06:17:27Z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