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r>
        <w:rPr>
          <w:rFonts w:hint="eastAsia" w:ascii="黑体" w:hAnsi="宋体" w:eastAsia="黑体" w:cs="黑体"/>
          <w:lang w:bidi="ar"/>
        </w:rPr>
        <w:t>附件2</w:t>
      </w:r>
    </w:p>
    <w:p>
      <w:pPr>
        <w:spacing w:line="560" w:lineRule="exact"/>
        <w:jc w:val="center"/>
      </w:pPr>
      <w:r>
        <w:rPr>
          <w:rFonts w:hint="eastAsia" w:ascii="方正小标宋简体" w:hAnsi="方正小标宋简体" w:eastAsia="方正小标宋简体" w:cs="方正小标宋简体"/>
          <w:sz w:val="44"/>
          <w:szCs w:val="44"/>
          <w:lang w:bidi="ar"/>
        </w:rPr>
        <w:t>2021年第二季度巡查隐患数量情况表</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715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tcPr>
          <w:p>
            <w:pPr>
              <w:spacing w:line="540" w:lineRule="exact"/>
              <w:jc w:val="center"/>
              <w:rPr>
                <w:rFonts w:ascii="楷体" w:hAnsi="楷体" w:eastAsia="楷体" w:cs="黑体"/>
                <w:kern w:val="0"/>
                <w:lang w:bidi="ar"/>
              </w:rPr>
            </w:pPr>
            <w:r>
              <w:rPr>
                <w:rFonts w:hint="eastAsia" w:ascii="楷体" w:hAnsi="楷体" w:eastAsia="楷体" w:cs="黑体"/>
                <w:kern w:val="0"/>
                <w:lang w:bidi="ar"/>
              </w:rPr>
              <w:t>序号</w:t>
            </w:r>
          </w:p>
        </w:tc>
        <w:tc>
          <w:tcPr>
            <w:tcW w:w="7150" w:type="dxa"/>
          </w:tcPr>
          <w:p>
            <w:pPr>
              <w:spacing w:line="540" w:lineRule="exact"/>
              <w:jc w:val="center"/>
              <w:rPr>
                <w:rFonts w:ascii="楷体" w:hAnsi="楷体" w:eastAsia="楷体" w:cs="黑体"/>
                <w:kern w:val="0"/>
                <w:lang w:bidi="ar"/>
              </w:rPr>
            </w:pPr>
            <w:r>
              <w:rPr>
                <w:rFonts w:hint="eastAsia" w:ascii="楷体" w:hAnsi="楷体" w:eastAsia="楷体" w:cs="黑体"/>
                <w:kern w:val="0"/>
                <w:lang w:bidi="ar"/>
              </w:rPr>
              <w:t>隐患内容</w:t>
            </w:r>
          </w:p>
        </w:tc>
        <w:tc>
          <w:tcPr>
            <w:tcW w:w="1023" w:type="dxa"/>
          </w:tcPr>
          <w:p>
            <w:pPr>
              <w:spacing w:line="540" w:lineRule="exact"/>
              <w:jc w:val="center"/>
              <w:rPr>
                <w:rFonts w:ascii="楷体" w:hAnsi="楷体" w:eastAsia="楷体" w:cs="黑体"/>
                <w:kern w:val="0"/>
                <w:lang w:bidi="ar"/>
              </w:rPr>
            </w:pPr>
            <w:r>
              <w:rPr>
                <w:rFonts w:hint="eastAsia" w:ascii="楷体" w:hAnsi="楷体" w:eastAsia="楷体" w:cs="黑体"/>
                <w:kern w:val="0"/>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w:t>
            </w:r>
          </w:p>
        </w:tc>
        <w:tc>
          <w:tcPr>
            <w:tcW w:w="7150" w:type="dxa"/>
          </w:tcPr>
          <w:p>
            <w:pPr>
              <w:spacing w:line="540" w:lineRule="exact"/>
              <w:rPr>
                <w:kern w:val="0"/>
              </w:rPr>
            </w:pPr>
            <w:r>
              <w:rPr>
                <w:rFonts w:hint="eastAsia"/>
                <w:kern w:val="0"/>
              </w:rPr>
              <w:t>按规定配备消防设施器材，并设置在明显易取的位置，不能被遮挡影响或者被挪作他用；消防设施器材要定期检查，确保在位完整可用；</w:t>
            </w:r>
          </w:p>
        </w:tc>
        <w:tc>
          <w:tcPr>
            <w:tcW w:w="1023" w:type="dxa"/>
            <w:vAlign w:val="center"/>
          </w:tcPr>
          <w:p>
            <w:pPr>
              <w:spacing w:line="540" w:lineRule="exact"/>
              <w:jc w:val="center"/>
              <w:rPr>
                <w:rFonts w:ascii="仿宋_GB2312"/>
                <w:kern w:val="0"/>
              </w:rPr>
            </w:pPr>
            <w:r>
              <w:rPr>
                <w:rFonts w:hint="eastAsia" w:ascii="仿宋_GB2312"/>
                <w:kern w:val="0"/>
              </w:rPr>
              <w:t>10512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2</w:t>
            </w:r>
          </w:p>
        </w:tc>
        <w:tc>
          <w:tcPr>
            <w:tcW w:w="7150" w:type="dxa"/>
          </w:tcPr>
          <w:p>
            <w:pPr>
              <w:spacing w:line="540" w:lineRule="exact"/>
              <w:rPr>
                <w:kern w:val="0"/>
              </w:rPr>
            </w:pPr>
            <w:r>
              <w:rPr>
                <w:rFonts w:hint="eastAsia"/>
                <w:kern w:val="0"/>
              </w:rPr>
              <w:t>电气线路应连接可靠牢固，采取穿管保护，外皮无破损；用电设备应按规定采取接地保护、漏电保护、过载保护等措施；</w:t>
            </w:r>
          </w:p>
        </w:tc>
        <w:tc>
          <w:tcPr>
            <w:tcW w:w="1023" w:type="dxa"/>
            <w:vAlign w:val="center"/>
          </w:tcPr>
          <w:p>
            <w:pPr>
              <w:spacing w:line="540" w:lineRule="exact"/>
              <w:jc w:val="center"/>
              <w:rPr>
                <w:rFonts w:ascii="仿宋_GB2312"/>
                <w:kern w:val="0"/>
              </w:rPr>
            </w:pPr>
            <w:r>
              <w:rPr>
                <w:rFonts w:hint="eastAsia" w:ascii="仿宋_GB2312"/>
                <w:kern w:val="0"/>
              </w:rPr>
              <w:t>9278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3</w:t>
            </w:r>
          </w:p>
        </w:tc>
        <w:tc>
          <w:tcPr>
            <w:tcW w:w="7150" w:type="dxa"/>
          </w:tcPr>
          <w:p>
            <w:pPr>
              <w:spacing w:line="540" w:lineRule="exact"/>
              <w:rPr>
                <w:kern w:val="0"/>
              </w:rPr>
            </w:pPr>
            <w:r>
              <w:rPr>
                <w:rFonts w:hint="eastAsia"/>
                <w:kern w:val="0"/>
              </w:rPr>
              <w:t>企业内道路及车间、仓库内通道平整、干净、畅通；通道和安全出口严禁堆货、堆物、停车、临时搭建；车辆停放指定位置，电动自行车集中室外存放；</w:t>
            </w:r>
          </w:p>
        </w:tc>
        <w:tc>
          <w:tcPr>
            <w:tcW w:w="1023" w:type="dxa"/>
            <w:vAlign w:val="center"/>
          </w:tcPr>
          <w:p>
            <w:pPr>
              <w:spacing w:line="540" w:lineRule="exact"/>
              <w:jc w:val="center"/>
              <w:rPr>
                <w:rFonts w:ascii="仿宋_GB2312"/>
                <w:kern w:val="0"/>
              </w:rPr>
            </w:pPr>
            <w:r>
              <w:rPr>
                <w:rFonts w:hint="eastAsia" w:ascii="仿宋_GB2312"/>
                <w:kern w:val="0"/>
              </w:rPr>
              <w:t>8672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4</w:t>
            </w:r>
          </w:p>
        </w:tc>
        <w:tc>
          <w:tcPr>
            <w:tcW w:w="7150" w:type="dxa"/>
          </w:tcPr>
          <w:p>
            <w:pPr>
              <w:spacing w:line="540" w:lineRule="exact"/>
              <w:rPr>
                <w:kern w:val="0"/>
              </w:rPr>
            </w:pPr>
            <w:r>
              <w:rPr>
                <w:rFonts w:hint="eastAsia"/>
                <w:kern w:val="0"/>
              </w:rPr>
              <w:t>配电室采取防雨水和防止小动物进入的措施，配备绝缘手套、绝缘靴等安全工具；配电柜操作地面应铺设绝缘胶垫；配电箱内应安装防止操作时触电的隔绝板，箱门与箱体接地完好；配电箱等电器设备周围不得堆放可燃物品；</w:t>
            </w:r>
          </w:p>
        </w:tc>
        <w:tc>
          <w:tcPr>
            <w:tcW w:w="1023" w:type="dxa"/>
            <w:vAlign w:val="center"/>
          </w:tcPr>
          <w:p>
            <w:pPr>
              <w:spacing w:line="540" w:lineRule="exact"/>
              <w:jc w:val="center"/>
              <w:rPr>
                <w:rFonts w:ascii="仿宋_GB2312"/>
                <w:kern w:val="0"/>
              </w:rPr>
            </w:pPr>
            <w:r>
              <w:rPr>
                <w:rFonts w:hint="eastAsia" w:ascii="仿宋_GB2312"/>
                <w:kern w:val="0"/>
              </w:rPr>
              <w:t>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5</w:t>
            </w:r>
          </w:p>
        </w:tc>
        <w:tc>
          <w:tcPr>
            <w:tcW w:w="7150" w:type="dxa"/>
          </w:tcPr>
          <w:p>
            <w:pPr>
              <w:spacing w:line="540" w:lineRule="exact"/>
              <w:rPr>
                <w:kern w:val="0"/>
              </w:rPr>
            </w:pPr>
            <w:r>
              <w:rPr>
                <w:rFonts w:hint="eastAsia"/>
                <w:kern w:val="0"/>
              </w:rPr>
              <w:t>未建立事故隐患排查治理档案；</w:t>
            </w:r>
          </w:p>
        </w:tc>
        <w:tc>
          <w:tcPr>
            <w:tcW w:w="1023" w:type="dxa"/>
            <w:vAlign w:val="center"/>
          </w:tcPr>
          <w:p>
            <w:pPr>
              <w:spacing w:line="540" w:lineRule="exact"/>
              <w:jc w:val="center"/>
              <w:rPr>
                <w:rFonts w:ascii="仿宋_GB2312"/>
                <w:kern w:val="0"/>
              </w:rPr>
            </w:pPr>
            <w:r>
              <w:rPr>
                <w:rFonts w:hint="eastAsia" w:ascii="仿宋_GB2312"/>
                <w:kern w:val="0"/>
              </w:rPr>
              <w:t>6964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6</w:t>
            </w:r>
          </w:p>
        </w:tc>
        <w:tc>
          <w:tcPr>
            <w:tcW w:w="7150" w:type="dxa"/>
          </w:tcPr>
          <w:p>
            <w:pPr>
              <w:spacing w:line="540" w:lineRule="exact"/>
              <w:rPr>
                <w:kern w:val="0"/>
              </w:rPr>
            </w:pPr>
            <w:r>
              <w:rPr>
                <w:rFonts w:hint="eastAsia"/>
                <w:kern w:val="0"/>
              </w:rPr>
              <w:t>在有较大危险因素的机械设备、高温场所、电气设施、危化品使用和储存场所设置安全警示标志。</w:t>
            </w:r>
          </w:p>
        </w:tc>
        <w:tc>
          <w:tcPr>
            <w:tcW w:w="1023" w:type="dxa"/>
            <w:vAlign w:val="center"/>
          </w:tcPr>
          <w:p>
            <w:pPr>
              <w:spacing w:line="540" w:lineRule="exact"/>
              <w:jc w:val="center"/>
              <w:rPr>
                <w:rFonts w:ascii="仿宋_GB2312"/>
                <w:kern w:val="0"/>
              </w:rPr>
            </w:pPr>
            <w:r>
              <w:rPr>
                <w:rFonts w:hint="eastAsia" w:ascii="仿宋_GB2312"/>
                <w:kern w:val="0"/>
              </w:rPr>
              <w:t>6267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7</w:t>
            </w:r>
          </w:p>
        </w:tc>
        <w:tc>
          <w:tcPr>
            <w:tcW w:w="7150" w:type="dxa"/>
          </w:tcPr>
          <w:p>
            <w:pPr>
              <w:spacing w:line="540" w:lineRule="exact"/>
              <w:rPr>
                <w:kern w:val="0"/>
              </w:rPr>
            </w:pPr>
            <w:r>
              <w:rPr>
                <w:rFonts w:hint="eastAsia"/>
                <w:kern w:val="0"/>
              </w:rPr>
              <w:t>配电箱、开关箱内不得放置任何杂物，电器元件不可安装在可燃材料上；</w:t>
            </w:r>
          </w:p>
        </w:tc>
        <w:tc>
          <w:tcPr>
            <w:tcW w:w="1023" w:type="dxa"/>
            <w:vAlign w:val="center"/>
          </w:tcPr>
          <w:p>
            <w:pPr>
              <w:spacing w:line="540" w:lineRule="exact"/>
              <w:jc w:val="center"/>
              <w:rPr>
                <w:rFonts w:ascii="仿宋_GB2312"/>
                <w:kern w:val="0"/>
              </w:rPr>
            </w:pPr>
            <w:r>
              <w:rPr>
                <w:rFonts w:hint="eastAsia" w:ascii="仿宋_GB2312"/>
                <w:kern w:val="0"/>
              </w:rPr>
              <w:t>6434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8</w:t>
            </w:r>
          </w:p>
        </w:tc>
        <w:tc>
          <w:tcPr>
            <w:tcW w:w="7150" w:type="dxa"/>
          </w:tcPr>
          <w:p>
            <w:pPr>
              <w:spacing w:line="540" w:lineRule="exact"/>
              <w:rPr>
                <w:kern w:val="0"/>
              </w:rPr>
            </w:pPr>
            <w:r>
              <w:rPr>
                <w:rFonts w:hint="eastAsia"/>
                <w:kern w:val="0"/>
              </w:rPr>
              <w:t>未组织制定并实施本单位安全教育和培训计划；</w:t>
            </w:r>
          </w:p>
        </w:tc>
        <w:tc>
          <w:tcPr>
            <w:tcW w:w="1023" w:type="dxa"/>
            <w:vAlign w:val="center"/>
          </w:tcPr>
          <w:p>
            <w:pPr>
              <w:spacing w:line="540" w:lineRule="exact"/>
              <w:jc w:val="center"/>
              <w:rPr>
                <w:rFonts w:ascii="仿宋_GB2312"/>
                <w:kern w:val="0"/>
              </w:rPr>
            </w:pPr>
            <w:r>
              <w:rPr>
                <w:rFonts w:hint="eastAsia" w:ascii="仿宋_GB2312"/>
                <w:kern w:val="0"/>
              </w:rPr>
              <w:t>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9</w:t>
            </w:r>
          </w:p>
        </w:tc>
        <w:tc>
          <w:tcPr>
            <w:tcW w:w="7150" w:type="dxa"/>
          </w:tcPr>
          <w:p>
            <w:pPr>
              <w:spacing w:line="540" w:lineRule="exact"/>
              <w:rPr>
                <w:kern w:val="0"/>
              </w:rPr>
            </w:pPr>
            <w:r>
              <w:rPr>
                <w:rFonts w:hint="eastAsia"/>
                <w:kern w:val="0"/>
              </w:rPr>
              <w:t>未建立、健全本单位安全管理责任制；</w:t>
            </w:r>
          </w:p>
        </w:tc>
        <w:tc>
          <w:tcPr>
            <w:tcW w:w="1023" w:type="dxa"/>
            <w:vAlign w:val="center"/>
          </w:tcPr>
          <w:p>
            <w:pPr>
              <w:spacing w:line="540" w:lineRule="exact"/>
              <w:jc w:val="center"/>
              <w:rPr>
                <w:rFonts w:ascii="仿宋_GB2312"/>
                <w:kern w:val="0"/>
              </w:rPr>
            </w:pPr>
            <w:r>
              <w:rPr>
                <w:rFonts w:hint="eastAsia" w:ascii="仿宋_GB2312"/>
                <w:kern w:val="0"/>
              </w:rPr>
              <w:t>5996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10</w:t>
            </w:r>
          </w:p>
        </w:tc>
        <w:tc>
          <w:tcPr>
            <w:tcW w:w="7150" w:type="dxa"/>
          </w:tcPr>
          <w:p>
            <w:pPr>
              <w:spacing w:line="540" w:lineRule="exact"/>
              <w:rPr>
                <w:kern w:val="0"/>
              </w:rPr>
            </w:pPr>
            <w:r>
              <w:rPr>
                <w:rFonts w:hint="eastAsia"/>
                <w:kern w:val="0"/>
              </w:rPr>
              <w:t>设备设施操作岗位应张贴安全操作规程、检维修记录等；</w:t>
            </w:r>
          </w:p>
        </w:tc>
        <w:tc>
          <w:tcPr>
            <w:tcW w:w="1023" w:type="dxa"/>
            <w:vAlign w:val="center"/>
          </w:tcPr>
          <w:p>
            <w:pPr>
              <w:spacing w:line="540" w:lineRule="exact"/>
              <w:jc w:val="center"/>
              <w:rPr>
                <w:rFonts w:ascii="仿宋_GB2312"/>
                <w:kern w:val="0"/>
              </w:rPr>
            </w:pPr>
            <w:r>
              <w:rPr>
                <w:rFonts w:hint="eastAsia" w:ascii="仿宋_GB2312"/>
                <w:kern w:val="0"/>
              </w:rPr>
              <w:t>5955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11</w:t>
            </w:r>
          </w:p>
        </w:tc>
        <w:tc>
          <w:tcPr>
            <w:tcW w:w="7150" w:type="dxa"/>
          </w:tcPr>
          <w:p>
            <w:pPr>
              <w:spacing w:line="540" w:lineRule="exact"/>
              <w:rPr>
                <w:kern w:val="0"/>
              </w:rPr>
            </w:pPr>
            <w:r>
              <w:rPr>
                <w:rFonts w:hint="eastAsia"/>
                <w:kern w:val="0"/>
              </w:rPr>
              <w:t>生产、办公场所及食堂、宿舍等配套设施现场物品摆放整齐，地面清洁，无积水积尘，杂物垃圾等及时清理；</w:t>
            </w:r>
          </w:p>
        </w:tc>
        <w:tc>
          <w:tcPr>
            <w:tcW w:w="1023" w:type="dxa"/>
            <w:vAlign w:val="center"/>
          </w:tcPr>
          <w:p>
            <w:pPr>
              <w:spacing w:line="540" w:lineRule="exact"/>
              <w:jc w:val="center"/>
              <w:rPr>
                <w:rFonts w:ascii="仿宋_GB2312"/>
                <w:kern w:val="0"/>
              </w:rPr>
            </w:pPr>
            <w:r>
              <w:rPr>
                <w:rFonts w:hint="eastAsia" w:ascii="仿宋_GB2312"/>
                <w:kern w:val="0"/>
              </w:rPr>
              <w:t>4230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12</w:t>
            </w:r>
          </w:p>
        </w:tc>
        <w:tc>
          <w:tcPr>
            <w:tcW w:w="7150" w:type="dxa"/>
          </w:tcPr>
          <w:p>
            <w:pPr>
              <w:spacing w:line="540" w:lineRule="exact"/>
              <w:rPr>
                <w:kern w:val="0"/>
              </w:rPr>
            </w:pPr>
            <w:r>
              <w:rPr>
                <w:rFonts w:hint="eastAsia"/>
                <w:kern w:val="0"/>
              </w:rPr>
              <w:t>公共通道、车间、仓库等区域根据不同要求进行划线，划线应清晰规范；</w:t>
            </w:r>
          </w:p>
        </w:tc>
        <w:tc>
          <w:tcPr>
            <w:tcW w:w="1023" w:type="dxa"/>
            <w:vAlign w:val="center"/>
          </w:tcPr>
          <w:p>
            <w:pPr>
              <w:spacing w:line="540" w:lineRule="exact"/>
              <w:jc w:val="center"/>
              <w:rPr>
                <w:rFonts w:ascii="仿宋_GB2312"/>
                <w:kern w:val="0"/>
              </w:rPr>
            </w:pPr>
            <w:r>
              <w:rPr>
                <w:rFonts w:hint="eastAsia" w:ascii="仿宋_GB2312"/>
                <w:kern w:val="0"/>
              </w:rPr>
              <w:t>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13</w:t>
            </w:r>
          </w:p>
        </w:tc>
        <w:tc>
          <w:tcPr>
            <w:tcW w:w="7150" w:type="dxa"/>
          </w:tcPr>
          <w:p>
            <w:pPr>
              <w:spacing w:line="540" w:lineRule="exact"/>
              <w:rPr>
                <w:kern w:val="0"/>
              </w:rPr>
            </w:pPr>
            <w:r>
              <w:rPr>
                <w:rFonts w:hint="eastAsia"/>
                <w:kern w:val="0"/>
              </w:rPr>
              <w:t>未组织制定本单位安全管理规章制度和操作规程；</w:t>
            </w:r>
          </w:p>
        </w:tc>
        <w:tc>
          <w:tcPr>
            <w:tcW w:w="1023" w:type="dxa"/>
            <w:vAlign w:val="center"/>
          </w:tcPr>
          <w:p>
            <w:pPr>
              <w:spacing w:line="540" w:lineRule="exact"/>
              <w:jc w:val="center"/>
              <w:rPr>
                <w:rFonts w:ascii="仿宋_GB2312"/>
                <w:kern w:val="0"/>
              </w:rPr>
            </w:pPr>
            <w:r>
              <w:rPr>
                <w:rFonts w:hint="eastAsia" w:ascii="仿宋_GB2312"/>
                <w:kern w:val="0"/>
              </w:rPr>
              <w:t>3449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14</w:t>
            </w:r>
          </w:p>
        </w:tc>
        <w:tc>
          <w:tcPr>
            <w:tcW w:w="7150" w:type="dxa"/>
          </w:tcPr>
          <w:p>
            <w:pPr>
              <w:spacing w:line="540" w:lineRule="exact"/>
              <w:rPr>
                <w:kern w:val="0"/>
              </w:rPr>
            </w:pPr>
            <w:r>
              <w:rPr>
                <w:rFonts w:hint="eastAsia"/>
                <w:kern w:val="0"/>
              </w:rPr>
              <w:t>危险化学品包装物上应粘贴安全标签，应提供对应品种的安全技术说明书；</w:t>
            </w:r>
          </w:p>
        </w:tc>
        <w:tc>
          <w:tcPr>
            <w:tcW w:w="1023" w:type="dxa"/>
            <w:vAlign w:val="center"/>
          </w:tcPr>
          <w:p>
            <w:pPr>
              <w:spacing w:line="540" w:lineRule="exact"/>
              <w:jc w:val="center"/>
              <w:rPr>
                <w:rFonts w:ascii="仿宋_GB2312"/>
                <w:kern w:val="0"/>
              </w:rPr>
            </w:pPr>
            <w:r>
              <w:rPr>
                <w:rFonts w:hint="eastAsia" w:ascii="仿宋_GB2312"/>
                <w:kern w:val="0"/>
              </w:rPr>
              <w:t>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15</w:t>
            </w:r>
          </w:p>
        </w:tc>
        <w:tc>
          <w:tcPr>
            <w:tcW w:w="7150" w:type="dxa"/>
          </w:tcPr>
          <w:p>
            <w:pPr>
              <w:spacing w:line="540" w:lineRule="exact"/>
              <w:rPr>
                <w:kern w:val="0"/>
              </w:rPr>
            </w:pPr>
            <w:r>
              <w:rPr>
                <w:rFonts w:hint="eastAsia"/>
                <w:kern w:val="0"/>
              </w:rPr>
              <w:t>从业人员正确佩戴和使用与岗位安全风险相适应的个人防护装备和用品；</w:t>
            </w:r>
          </w:p>
        </w:tc>
        <w:tc>
          <w:tcPr>
            <w:tcW w:w="1023" w:type="dxa"/>
            <w:vAlign w:val="center"/>
          </w:tcPr>
          <w:p>
            <w:pPr>
              <w:spacing w:line="540" w:lineRule="exact"/>
              <w:jc w:val="center"/>
              <w:rPr>
                <w:rFonts w:ascii="仿宋_GB2312"/>
                <w:kern w:val="0"/>
              </w:rPr>
            </w:pPr>
            <w:r>
              <w:rPr>
                <w:rFonts w:hint="eastAsia" w:ascii="仿宋_GB2312"/>
                <w:kern w:val="0"/>
              </w:rPr>
              <w:t>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16</w:t>
            </w:r>
          </w:p>
        </w:tc>
        <w:tc>
          <w:tcPr>
            <w:tcW w:w="7150" w:type="dxa"/>
          </w:tcPr>
          <w:p>
            <w:pPr>
              <w:spacing w:line="540" w:lineRule="exact"/>
              <w:rPr>
                <w:kern w:val="0"/>
              </w:rPr>
            </w:pPr>
            <w:r>
              <w:rPr>
                <w:rFonts w:hint="eastAsia"/>
                <w:kern w:val="0"/>
              </w:rPr>
              <w:t>冲、剪、压机械、木工机械、砂轮机、注塑机械、压痕机、粉碎机、抛光机等危险设备的安全防护装置完好齐全；</w:t>
            </w:r>
          </w:p>
        </w:tc>
        <w:tc>
          <w:tcPr>
            <w:tcW w:w="1023" w:type="dxa"/>
            <w:vAlign w:val="center"/>
          </w:tcPr>
          <w:p>
            <w:pPr>
              <w:spacing w:line="540" w:lineRule="exact"/>
              <w:jc w:val="center"/>
              <w:rPr>
                <w:rFonts w:ascii="仿宋_GB2312"/>
                <w:kern w:val="0"/>
              </w:rPr>
            </w:pPr>
            <w:r>
              <w:rPr>
                <w:rFonts w:hint="eastAsia" w:ascii="仿宋_GB2312"/>
                <w:kern w:val="0"/>
              </w:rPr>
              <w:t>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17</w:t>
            </w:r>
          </w:p>
        </w:tc>
        <w:tc>
          <w:tcPr>
            <w:tcW w:w="7150" w:type="dxa"/>
          </w:tcPr>
          <w:p>
            <w:pPr>
              <w:spacing w:line="540" w:lineRule="exact"/>
              <w:rPr>
                <w:kern w:val="0"/>
              </w:rPr>
            </w:pPr>
            <w:r>
              <w:rPr>
                <w:rFonts w:hint="eastAsia"/>
                <w:kern w:val="0"/>
              </w:rPr>
              <w:t>对有较大危险因素的生产经营场所和有关设施、设备进行辨识，设置明显的安全警示标志，制定防范措施；</w:t>
            </w:r>
          </w:p>
        </w:tc>
        <w:tc>
          <w:tcPr>
            <w:tcW w:w="1023" w:type="dxa"/>
            <w:vAlign w:val="center"/>
          </w:tcPr>
          <w:p>
            <w:pPr>
              <w:spacing w:line="540" w:lineRule="exact"/>
              <w:jc w:val="center"/>
              <w:rPr>
                <w:rFonts w:ascii="仿宋_GB2312"/>
                <w:kern w:val="0"/>
              </w:rPr>
            </w:pPr>
            <w:r>
              <w:rPr>
                <w:rFonts w:hint="eastAsia" w:ascii="仿宋_GB2312"/>
                <w:kern w:val="0"/>
              </w:rPr>
              <w:t>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18</w:t>
            </w:r>
          </w:p>
        </w:tc>
        <w:tc>
          <w:tcPr>
            <w:tcW w:w="7150" w:type="dxa"/>
          </w:tcPr>
          <w:p>
            <w:pPr>
              <w:spacing w:line="540" w:lineRule="exact"/>
              <w:rPr>
                <w:kern w:val="0"/>
              </w:rPr>
            </w:pPr>
            <w:r>
              <w:rPr>
                <w:rFonts w:hint="eastAsia"/>
                <w:kern w:val="0"/>
              </w:rPr>
              <w:t>仓库不符合“五距”要求</w:t>
            </w:r>
          </w:p>
        </w:tc>
        <w:tc>
          <w:tcPr>
            <w:tcW w:w="1023" w:type="dxa"/>
            <w:vAlign w:val="center"/>
          </w:tcPr>
          <w:p>
            <w:pPr>
              <w:spacing w:line="540" w:lineRule="exact"/>
              <w:jc w:val="center"/>
              <w:rPr>
                <w:rFonts w:ascii="仿宋_GB2312"/>
                <w:kern w:val="0"/>
              </w:rPr>
            </w:pPr>
            <w:r>
              <w:rPr>
                <w:rFonts w:hint="eastAsia" w:ascii="仿宋_GB2312"/>
                <w:kern w:val="0"/>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Align w:val="center"/>
          </w:tcPr>
          <w:p>
            <w:pPr>
              <w:spacing w:line="540" w:lineRule="exact"/>
              <w:jc w:val="center"/>
              <w:rPr>
                <w:rFonts w:ascii="仿宋_GB2312" w:hAnsi="宋体" w:cs="黑体"/>
                <w:kern w:val="0"/>
                <w:lang w:bidi="ar"/>
              </w:rPr>
            </w:pPr>
            <w:r>
              <w:rPr>
                <w:rFonts w:hint="eastAsia" w:ascii="仿宋_GB2312" w:hAnsi="宋体" w:cs="黑体"/>
                <w:kern w:val="0"/>
                <w:lang w:bidi="ar"/>
              </w:rPr>
              <w:t>19</w:t>
            </w:r>
          </w:p>
        </w:tc>
        <w:tc>
          <w:tcPr>
            <w:tcW w:w="7150" w:type="dxa"/>
          </w:tcPr>
          <w:p>
            <w:pPr>
              <w:spacing w:line="540" w:lineRule="exact"/>
              <w:rPr>
                <w:kern w:val="0"/>
              </w:rPr>
            </w:pPr>
            <w:r>
              <w:rPr>
                <w:rFonts w:hint="eastAsia"/>
                <w:kern w:val="0"/>
              </w:rPr>
              <w:t>设备设施及其附件、配件应定期检查、维护完好，无破损，无严重锈蚀，严禁存在“跑冒滴漏”现象；</w:t>
            </w:r>
          </w:p>
        </w:tc>
        <w:tc>
          <w:tcPr>
            <w:tcW w:w="1023" w:type="dxa"/>
            <w:vAlign w:val="center"/>
          </w:tcPr>
          <w:p>
            <w:pPr>
              <w:spacing w:line="540" w:lineRule="exact"/>
              <w:jc w:val="center"/>
              <w:rPr>
                <w:rFonts w:ascii="仿宋_GB2312"/>
                <w:kern w:val="0"/>
              </w:rPr>
            </w:pPr>
            <w:r>
              <w:rPr>
                <w:rFonts w:hint="eastAsia" w:ascii="仿宋_GB2312"/>
                <w:kern w:val="0"/>
              </w:rPr>
              <w:t>1974</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EE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ys3</dc:creator>
  <cp:lastModifiedBy>蒋东霖</cp:lastModifiedBy>
  <dcterms:modified xsi:type="dcterms:W3CDTF">2021-08-20T04:11:03Z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