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bookmarkStart w:id="0" w:name="_GoBack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交运保障支持项目</w:t>
      </w:r>
      <w:bookmarkEnd w:id="0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z w:val="28"/>
          <w:szCs w:val="28"/>
          <w:highlight w:val="none"/>
          <w:lang w:val="en-US" w:eastAsia="zh-CN"/>
        </w:rPr>
        <w:t>交运保障支持项目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4"/>
        <w:gridCol w:w="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交运保障支持项目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鼓励运输业企业营业收入增长，在1-5月实现正增长基础上，对2022年3-5月企业营业收入较去年同期增长的商务服务业企业予以奖励，营业收入每增加100万元，奖励0.5万元，最高20万元。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2021年1-5月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2022年1-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2021年3-5月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2022年3-5月营业收入较去年同期增长（万元）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 w:val="21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3AEA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