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（商贸发展支持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&lt;批发业、零售业、餐饮业企业&gt;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w w:val="85"/>
          <w:sz w:val="28"/>
          <w:szCs w:val="28"/>
          <w:highlight w:val="none"/>
          <w:lang w:val="en-US" w:eastAsia="zh-CN"/>
        </w:rPr>
        <w:t>商贸发展支持（批发业、零售业、餐饮业企业）项目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4"/>
        <w:gridCol w:w="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商贸发展支持（批发业、零售业、餐饮业企业）项目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在上半年实现正增长基础上，对2022年二季度企业销售额较去年同期增长的批发业企业予以奖励，销售额每增加1000万元，奖励0.5万元，最高50万元；在上半年实现正增长基础上，对2022年二季度企业销售额较去年同期增长的零售业企业予以奖励，销售额每增加100万元，奖励0.5万元，最高20万元；对2022年二季度企业营业额达到去年同期水平80%以上的餐饮业企业予以奖励，营业额每增加100万元，奖励1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2021年1-3月销售额/营业收入（万元）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2022年1-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销售额/营业收入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2021年1-6月销售额/营业收入（万元）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1-6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销售额/营业收入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批发业或零售业企业2022年4-6月销售额较去年同期增长额（万元）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批发业或零售业企业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餐饮业企业2022年4-6月销售额较去年同期水平的80%增长额（万元）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餐饮业企业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 w:val="21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D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