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8" w:lineRule="exact"/>
        <w:ind w:firstLine="0" w:firstLineChars="0"/>
        <w:textAlignment w:val="auto"/>
        <w:rPr>
          <w:rFonts w:hint="eastAsia" w:ascii="黑体" w:hAnsi="黑体" w:eastAsia="黑体"/>
          <w:color w:val="auto"/>
          <w:sz w:val="32"/>
          <w:szCs w:val="32"/>
          <w:highlight w:val="none"/>
          <w:u w:val="none"/>
          <w:lang w:val="en-US" w:eastAsia="zh-CN"/>
        </w:rPr>
      </w:pPr>
      <w:bookmarkStart w:id="0" w:name="_Hlk17792905"/>
      <w:bookmarkStart w:id="1" w:name="_Hlk22399405"/>
      <w:bookmarkStart w:id="25" w:name="_GoBack"/>
      <w:bookmarkEnd w:id="25"/>
      <w:r>
        <w:rPr>
          <w:rFonts w:hint="eastAsia" w:ascii="黑体" w:hAnsi="黑体" w:eastAsia="黑体"/>
          <w:color w:val="auto"/>
          <w:sz w:val="32"/>
          <w:szCs w:val="32"/>
          <w:highlight w:val="none"/>
          <w:u w:val="none"/>
        </w:rPr>
        <w:t>附件</w:t>
      </w:r>
      <w:r>
        <w:rPr>
          <w:rFonts w:hint="eastAsia" w:ascii="黑体" w:hAnsi="黑体" w:eastAsia="黑体"/>
          <w:color w:val="auto"/>
          <w:sz w:val="32"/>
          <w:szCs w:val="32"/>
          <w:highlight w:val="none"/>
          <w:u w:val="none"/>
          <w:lang w:val="en-US" w:eastAsia="zh-CN"/>
        </w:rPr>
        <w:t>3</w:t>
      </w:r>
    </w:p>
    <w:p>
      <w:pPr>
        <w:pStyle w:val="3"/>
        <w:keepNext w:val="0"/>
        <w:keepLines w:val="0"/>
        <w:pageBreakBefore w:val="0"/>
        <w:widowControl w:val="0"/>
        <w:kinsoku/>
        <w:wordWrap/>
        <w:overflowPunct/>
        <w:topLinePunct w:val="0"/>
        <w:autoSpaceDE/>
        <w:autoSpaceDN/>
        <w:bidi w:val="0"/>
        <w:spacing w:after="0" w:line="578" w:lineRule="exact"/>
        <w:ind w:firstLine="0" w:firstLineChars="0"/>
        <w:textAlignment w:val="auto"/>
        <w:rPr>
          <w:rFonts w:hint="eastAsia" w:ascii="黑体" w:hAnsi="黑体" w:eastAsia="黑体"/>
          <w:color w:val="000000" w:themeColor="text1"/>
          <w:sz w:val="44"/>
          <w:szCs w:val="44"/>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578" w:lineRule="exact"/>
        <w:ind w:firstLine="0" w:firstLineChars="0"/>
        <w:jc w:val="center"/>
        <w:textAlignment w:val="auto"/>
        <w:rPr>
          <w:rFonts w:ascii="宋体" w:hAnsi="宋体" w:eastAsia="宋体"/>
          <w:b/>
          <w:bCs/>
          <w:color w:val="000000" w:themeColor="text1"/>
          <w:sz w:val="44"/>
          <w:szCs w:val="44"/>
          <w:highlight w:val="none"/>
          <w:u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u w:val="none"/>
          <w14:textFill>
            <w14:solidFill>
              <w14:schemeClr w14:val="tx1"/>
            </w14:solidFill>
          </w14:textFill>
        </w:rPr>
        <w:t>深圳市公共租赁住房管理办法</w:t>
      </w:r>
    </w:p>
    <w:p>
      <w:pPr>
        <w:keepNext w:val="0"/>
        <w:keepLines w:val="0"/>
        <w:pageBreakBefore w:val="0"/>
        <w:widowControl w:val="0"/>
        <w:kinsoku/>
        <w:wordWrap/>
        <w:overflowPunct/>
        <w:topLinePunct w:val="0"/>
        <w:autoSpaceDE/>
        <w:autoSpaceDN/>
        <w:bidi w:val="0"/>
        <w:spacing w:line="578" w:lineRule="exact"/>
        <w:ind w:firstLine="0" w:firstLineChars="0"/>
        <w:jc w:val="center"/>
        <w:textAlignment w:val="auto"/>
        <w:rPr>
          <w:rFonts w:ascii="楷体_GB2312" w:hAnsi="楷体_GB2312" w:eastAsia="楷体_GB2312"/>
          <w:color w:val="000000" w:themeColor="text1"/>
          <w:szCs w:val="32"/>
          <w:highlight w:val="none"/>
          <w:u w:val="none"/>
          <w14:textFill>
            <w14:solidFill>
              <w14:schemeClr w14:val="tx1"/>
            </w14:solidFill>
          </w14:textFill>
        </w:rPr>
      </w:pPr>
      <w:r>
        <w:rPr>
          <w:rFonts w:hint="eastAsia" w:ascii="楷体_GB2312" w:hAnsi="楷体_GB2312" w:eastAsia="楷体_GB2312"/>
          <w:color w:val="000000" w:themeColor="text1"/>
          <w:szCs w:val="32"/>
          <w:highlight w:val="none"/>
          <w:u w:val="none"/>
          <w14:textFill>
            <w14:solidFill>
              <w14:schemeClr w14:val="tx1"/>
            </w14:solidFill>
          </w14:textFill>
        </w:rPr>
        <w:t>（</w:t>
      </w:r>
      <w:r>
        <w:rPr>
          <w:rFonts w:hint="eastAsia" w:ascii="楷体_GB2312" w:hAnsi="楷体_GB2312" w:eastAsia="楷体_GB2312"/>
          <w:color w:val="000000" w:themeColor="text1"/>
          <w:szCs w:val="32"/>
          <w:highlight w:val="none"/>
          <w:u w:val="none"/>
          <w:lang w:val="en-US" w:eastAsia="zh-CN"/>
          <w14:textFill>
            <w14:solidFill>
              <w14:schemeClr w14:val="tx1"/>
            </w14:solidFill>
          </w14:textFill>
        </w:rPr>
        <w:t>征求意见稿</w:t>
      </w:r>
      <w:r>
        <w:rPr>
          <w:rFonts w:hint="eastAsia" w:ascii="楷体_GB2312" w:hAnsi="楷体_GB2312" w:eastAsia="楷体_GB2312"/>
          <w:color w:val="000000" w:themeColor="text1"/>
          <w:szCs w:val="32"/>
          <w:highlight w:val="none"/>
          <w:u w:val="none"/>
          <w14:textFill>
            <w14:solidFill>
              <w14:schemeClr w14:val="tx1"/>
            </w14:solidFill>
          </w14:textFill>
        </w:rPr>
        <w:t>）</w:t>
      </w:r>
    </w:p>
    <w:bookmarkEnd w:id="0"/>
    <w:p>
      <w:pPr>
        <w:keepNext w:val="0"/>
        <w:keepLines w:val="0"/>
        <w:pageBreakBefore w:val="0"/>
        <w:widowControl w:val="0"/>
        <w:kinsoku/>
        <w:wordWrap/>
        <w:overflowPunct/>
        <w:topLinePunct w:val="0"/>
        <w:autoSpaceDE/>
        <w:autoSpaceDN/>
        <w:bidi w:val="0"/>
        <w:spacing w:line="578" w:lineRule="exact"/>
        <w:ind w:firstLine="422"/>
        <w:jc w:val="left"/>
        <w:textAlignment w:val="auto"/>
        <w:rPr>
          <w:rStyle w:val="10"/>
          <w:rFonts w:ascii="仿宋_GB2312" w:hAnsi="仿宋_GB2312" w:eastAsia="仿宋_GB2312" w:cs="仿宋_GB2312"/>
          <w:color w:val="000000" w:themeColor="text1"/>
          <w:sz w:val="21"/>
          <w:szCs w:val="32"/>
          <w:highlight w:val="none"/>
          <w:u w:val="none"/>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before="0" w:after="0" w:line="578" w:lineRule="exact"/>
        <w:ind w:firstLine="0" w:firstLineChars="0"/>
        <w:textAlignment w:val="auto"/>
        <w:rPr>
          <w:rFonts w:hint="eastAsia" w:ascii="黑体" w:hAnsi="黑体"/>
          <w:b w:val="0"/>
          <w:bCs w:val="0"/>
          <w:color w:val="000000" w:themeColor="text1"/>
          <w:highlight w:val="none"/>
          <w:u w:val="none"/>
          <w14:textFill>
            <w14:solidFill>
              <w14:schemeClr w14:val="tx1"/>
            </w14:solidFill>
          </w14:textFill>
        </w:rPr>
      </w:pPr>
      <w:r>
        <w:rPr>
          <w:rFonts w:hint="eastAsia" w:ascii="黑体" w:hAnsi="黑体"/>
          <w:b w:val="0"/>
          <w:bCs w:val="0"/>
          <w:color w:val="000000" w:themeColor="text1"/>
          <w:highlight w:val="none"/>
          <w:u w:val="none"/>
          <w14:textFill>
            <w14:solidFill>
              <w14:schemeClr w14:val="tx1"/>
            </w14:solidFill>
          </w14:textFill>
        </w:rPr>
        <w:t>第一章</w:t>
      </w:r>
      <w:r>
        <w:rPr>
          <w:rFonts w:ascii="黑体" w:hAnsi="黑体"/>
          <w:b w:val="0"/>
          <w:bCs w:val="0"/>
          <w:color w:val="000000" w:themeColor="text1"/>
          <w:highlight w:val="none"/>
          <w:u w:val="none"/>
          <w14:textFill>
            <w14:solidFill>
              <w14:schemeClr w14:val="tx1"/>
            </w14:solidFill>
          </w14:textFill>
        </w:rPr>
        <w:t xml:space="preserve"> </w:t>
      </w:r>
      <w:r>
        <w:rPr>
          <w:rFonts w:hint="eastAsia" w:ascii="黑体" w:hAnsi="黑体"/>
          <w:b w:val="0"/>
          <w:bCs w:val="0"/>
          <w:color w:val="000000" w:themeColor="text1"/>
          <w:highlight w:val="none"/>
          <w:u w:val="none"/>
          <w14:textFill>
            <w14:solidFill>
              <w14:schemeClr w14:val="tx1"/>
            </w14:solidFill>
          </w14:textFill>
        </w:rPr>
        <w:t>总则</w:t>
      </w:r>
    </w:p>
    <w:p>
      <w:pPr>
        <w:keepNext w:val="0"/>
        <w:keepLines w:val="0"/>
        <w:pageBreakBefore w:val="0"/>
        <w:widowControl w:val="0"/>
        <w:kinsoku/>
        <w:wordWrap/>
        <w:overflowPunct/>
        <w:topLinePunct w:val="0"/>
        <w:autoSpaceDE/>
        <w:autoSpaceDN/>
        <w:bidi w:val="0"/>
        <w:spacing w:line="578" w:lineRule="exact"/>
        <w:textAlignment w:val="auto"/>
        <w:rPr>
          <w:color w:val="000000" w:themeColor="text1"/>
          <w:u w:val="none"/>
          <w14:textFill>
            <w14:solidFill>
              <w14:schemeClr w14:val="tx1"/>
            </w14:solidFill>
          </w14:textFill>
        </w:rPr>
      </w:pP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立法目的</w:t>
      </w:r>
      <w:r>
        <w:rPr>
          <w:rStyle w:val="11"/>
          <w:rFonts w:hint="eastAsia" w:ascii="仿宋_GB2312" w:eastAsia="仿宋_GB2312"/>
          <w:color w:val="000000" w:themeColor="text1"/>
          <w:highlight w:val="none"/>
          <w:u w:val="none"/>
          <w14:textFill>
            <w14:solidFill>
              <w14:schemeClr w14:val="tx1"/>
            </w14:solidFill>
          </w14:textFill>
        </w:rPr>
        <w:t>】</w:t>
      </w:r>
      <w:bookmarkStart w:id="2" w:name="_Hlk17793259"/>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s="仿宋_GB2312"/>
          <w:color w:val="000000" w:themeColor="text1"/>
          <w:szCs w:val="32"/>
          <w:highlight w:val="none"/>
          <w:u w:val="none"/>
          <w14:textFill>
            <w14:solidFill>
              <w14:schemeClr w14:val="tx1"/>
            </w14:solidFill>
          </w14:textFill>
        </w:rPr>
        <w:t>为了规范公共租赁住房的租赁管理，根据</w:t>
      </w:r>
      <w:r>
        <w:rPr>
          <w:rFonts w:hint="eastAsia" w:ascii="仿宋_GB2312" w:hAnsi="仿宋_GB2312" w:eastAsia="仿宋_GB2312" w:cs="仿宋_GB2312"/>
          <w:color w:val="000000" w:themeColor="text1"/>
          <w:sz w:val="32"/>
          <w:szCs w:val="32"/>
          <w:u w:val="none"/>
          <w14:textFill>
            <w14:solidFill>
              <w14:schemeClr w14:val="tx1"/>
            </w14:solidFill>
          </w14:textFill>
        </w:rPr>
        <w:t>《公共租赁住房管理办法》</w:t>
      </w:r>
      <w:r>
        <w:rPr>
          <w:rFonts w:hint="eastAsia" w:ascii="仿宋_GB2312" w:hAnsi="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住房和城乡建设部令第11号</w:t>
      </w:r>
      <w:r>
        <w:rPr>
          <w:rFonts w:hint="eastAsia" w:ascii="仿宋_GB2312" w:hAnsi="仿宋_GB2312" w:cs="仿宋_GB2312"/>
          <w:color w:val="000000" w:themeColor="text1"/>
          <w:sz w:val="32"/>
          <w:szCs w:val="32"/>
          <w:u w:val="none"/>
          <w:lang w:eastAsia="zh-CN"/>
          <w14:textFill>
            <w14:solidFill>
              <w14:schemeClr w14:val="tx1"/>
            </w14:solidFill>
          </w14:textFill>
        </w:rPr>
        <w:t>）、</w:t>
      </w:r>
      <w:r>
        <w:rPr>
          <w:rFonts w:hint="eastAsia" w:ascii="仿宋_GB2312" w:hAnsi="仿宋_GB2312" w:cs="仿宋_GB2312"/>
          <w:color w:val="000000" w:themeColor="text1"/>
          <w:szCs w:val="32"/>
          <w:highlight w:val="none"/>
          <w:u w:val="none"/>
          <w14:textFill>
            <w14:solidFill>
              <w14:schemeClr w14:val="tx1"/>
            </w14:solidFill>
          </w14:textFill>
        </w:rPr>
        <w:t>《深圳市保障性住房条例》等规定，结合本市实际，制定本办法。</w:t>
      </w:r>
      <w:bookmarkEnd w:id="2"/>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适用范围</w:t>
      </w:r>
      <w:r>
        <w:rPr>
          <w:rStyle w:val="11"/>
          <w:rFonts w:hint="eastAsia" w:ascii="仿宋_GB2312" w:eastAsia="仿宋_GB2312"/>
          <w:color w:val="000000" w:themeColor="text1"/>
          <w:highlight w:val="none"/>
          <w:u w:val="none"/>
          <w14:textFill>
            <w14:solidFill>
              <w14:schemeClr w14:val="tx1"/>
            </w14:solidFill>
          </w14:textFill>
        </w:rPr>
        <w:t>】</w:t>
      </w:r>
      <w:bookmarkStart w:id="3" w:name="_Hlk17793310"/>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color w:val="000000" w:themeColor="text1"/>
          <w:highlight w:val="none"/>
          <w:u w:val="none"/>
          <w14:textFill>
            <w14:solidFill>
              <w14:schemeClr w14:val="tx1"/>
            </w14:solidFill>
          </w14:textFill>
        </w:rPr>
        <w:t>本办法适用于本市公共租赁住房的供应分配、</w:t>
      </w:r>
      <w:r>
        <w:rPr>
          <w:rFonts w:hint="eastAsia" w:ascii="仿宋_GB2312"/>
          <w:color w:val="000000" w:themeColor="text1"/>
          <w:highlight w:val="none"/>
          <w:u w:val="none"/>
          <w:lang w:val="en-US" w:eastAsia="zh-CN"/>
          <w14:textFill>
            <w14:solidFill>
              <w14:schemeClr w14:val="tx1"/>
            </w14:solidFill>
          </w14:textFill>
        </w:rPr>
        <w:t>使用、</w:t>
      </w:r>
      <w:r>
        <w:rPr>
          <w:rFonts w:hint="eastAsia" w:ascii="仿宋_GB2312"/>
          <w:color w:val="000000" w:themeColor="text1"/>
          <w:highlight w:val="none"/>
          <w:u w:val="none"/>
          <w14:textFill>
            <w14:solidFill>
              <w14:schemeClr w14:val="tx1"/>
            </w14:solidFill>
          </w14:textFill>
        </w:rPr>
        <w:t>监督管理等活动。</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color w:val="000000" w:themeColor="text1"/>
          <w:highlight w:val="none"/>
          <w:u w:val="none"/>
          <w14:textFill>
            <w14:solidFill>
              <w14:schemeClr w14:val="tx1"/>
            </w14:solidFill>
          </w14:textFill>
        </w:rPr>
      </w:pPr>
      <w:r>
        <w:rPr>
          <w:rFonts w:hint="eastAsia" w:ascii="黑体" w:hAnsi="黑体" w:cs="黑体"/>
          <w:color w:val="000000" w:themeColor="text1"/>
          <w:highlight w:val="none"/>
          <w:u w:val="none"/>
          <w14:textFill>
            <w14:solidFill>
              <w14:schemeClr w14:val="tx1"/>
            </w14:solidFill>
          </w14:textFill>
        </w:rPr>
        <w:t>【</w:t>
      </w:r>
      <w:r>
        <w:rPr>
          <w:rFonts w:hint="eastAsia" w:ascii="黑体" w:hAnsi="黑体" w:eastAsia="黑体" w:cs="黑体"/>
          <w:color w:val="000000" w:themeColor="text1"/>
          <w:highlight w:val="none"/>
          <w:u w:val="none"/>
          <w14:textFill>
            <w14:solidFill>
              <w14:schemeClr w14:val="tx1"/>
            </w14:solidFill>
          </w14:textFill>
        </w:rPr>
        <w:t>定义</w:t>
      </w:r>
      <w:r>
        <w:rPr>
          <w:rFonts w:hint="eastAsia" w:ascii="黑体" w:hAnsi="黑体" w:cs="黑体"/>
          <w:color w:val="000000" w:themeColor="text1"/>
          <w:highlight w:val="none"/>
          <w:u w:val="none"/>
          <w14:textFill>
            <w14:solidFill>
              <w14:schemeClr w14:val="tx1"/>
            </w14:solidFill>
          </w14:textFill>
        </w:rPr>
        <w:t>】</w:t>
      </w:r>
      <w:r>
        <w:rPr>
          <w:rFonts w:hint="eastAsia" w:ascii="黑体" w:hAnsi="黑体" w:cs="黑体"/>
          <w:color w:val="000000" w:themeColor="text1"/>
          <w:highlight w:val="none"/>
          <w:u w:val="none"/>
          <w:lang w:val="en-US" w:eastAsia="zh-CN"/>
          <w14:textFill>
            <w14:solidFill>
              <w14:schemeClr w14:val="tx1"/>
            </w14:solidFill>
          </w14:textFill>
        </w:rPr>
        <w:t xml:space="preserve">  </w:t>
      </w:r>
      <w:r>
        <w:rPr>
          <w:rFonts w:hint="eastAsia" w:ascii="仿宋_GB2312"/>
          <w:color w:val="000000" w:themeColor="text1"/>
          <w:highlight w:val="none"/>
          <w:u w:val="none"/>
          <w14:textFill>
            <w14:solidFill>
              <w14:schemeClr w14:val="tx1"/>
            </w14:solidFill>
          </w14:textFill>
        </w:rPr>
        <w:t>本办法所称公共租赁住房，是指政府提供政策优惠，限定建设标准和租金水平，面向符合条件的住房困难户籍居民和为社会提供基本公共服务的一线职工出租的住房。</w:t>
      </w:r>
    </w:p>
    <w:bookmarkEnd w:id="3"/>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Style w:val="11"/>
          <w:rFonts w:asci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基本原则</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Style w:val="11"/>
          <w:rFonts w:hint="eastAsia" w:ascii="仿宋_GB2312" w:eastAsia="仿宋_GB2312"/>
          <w:color w:val="000000" w:themeColor="text1"/>
          <w:highlight w:val="none"/>
          <w:u w:val="none"/>
          <w14:textFill>
            <w14:solidFill>
              <w14:schemeClr w14:val="tx1"/>
            </w14:solidFill>
          </w14:textFill>
        </w:rPr>
        <w:t>公共租赁住房租赁管理遵循政府主导、属地负责、公开透明和诚实信用的原则。</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市级部门职责</w:t>
      </w:r>
      <w:r>
        <w:rPr>
          <w:rFonts w:hint="eastAsia" w:ascii="仿宋_GB2312"/>
          <w:color w:val="000000" w:themeColor="text1"/>
          <w:highlight w:val="none"/>
          <w:u w:val="none"/>
          <w14:textFill>
            <w14:solidFill>
              <w14:schemeClr w14:val="tx1"/>
            </w14:solidFill>
          </w14:textFill>
        </w:rPr>
        <w:t>】</w:t>
      </w:r>
      <w:bookmarkStart w:id="4" w:name="_Hlk17793461"/>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color w:val="000000" w:themeColor="text1"/>
          <w:highlight w:val="none"/>
          <w:u w:val="none"/>
          <w14:textFill>
            <w14:solidFill>
              <w14:schemeClr w14:val="tx1"/>
            </w14:solidFill>
          </w14:textFill>
        </w:rPr>
        <w:t>市住房主管部门（以下简称市主管部门）是本市公共租赁住房租赁管理工作的行政主管部门，</w:t>
      </w:r>
      <w:r>
        <w:rPr>
          <w:rFonts w:hint="eastAsia" w:ascii="仿宋_GB2312"/>
          <w:color w:val="000000" w:themeColor="text1"/>
          <w:highlight w:val="none"/>
          <w:u w:val="none"/>
          <w:lang w:val="en-US" w:eastAsia="zh-CN"/>
          <w14:textFill>
            <w14:solidFill>
              <w14:schemeClr w14:val="tx1"/>
            </w14:solidFill>
          </w14:textFill>
        </w:rPr>
        <w:t>制定</w:t>
      </w:r>
      <w:r>
        <w:rPr>
          <w:rFonts w:hint="eastAsia" w:ascii="仿宋_GB2312"/>
          <w:color w:val="000000" w:themeColor="text1"/>
          <w:highlight w:val="none"/>
          <w:u w:val="none"/>
          <w14:textFill>
            <w14:solidFill>
              <w14:schemeClr w14:val="tx1"/>
            </w14:solidFill>
          </w14:textFill>
        </w:rPr>
        <w:t>配套政策</w:t>
      </w:r>
      <w:r>
        <w:rPr>
          <w:rFonts w:hint="eastAsia" w:ascii="仿宋_GB2312"/>
          <w:color w:val="000000" w:themeColor="text1"/>
          <w:highlight w:val="none"/>
          <w:u w:val="none"/>
          <w:lang w:eastAsia="zh-CN"/>
          <w14:textFill>
            <w14:solidFill>
              <w14:schemeClr w14:val="tx1"/>
            </w14:solidFill>
          </w14:textFill>
        </w:rPr>
        <w:t>，</w:t>
      </w:r>
      <w:r>
        <w:rPr>
          <w:rFonts w:hint="eastAsia" w:ascii="仿宋_GB2312"/>
          <w:color w:val="000000" w:themeColor="text1"/>
          <w:highlight w:val="none"/>
          <w:u w:val="none"/>
          <w14:textFill>
            <w14:solidFill>
              <w14:schemeClr w14:val="tx1"/>
            </w14:solidFill>
          </w14:textFill>
        </w:rPr>
        <w:t>拟定全市公共租赁住房供应计划；统筹调配全市公共租赁住房房源；指导、监督</w:t>
      </w:r>
      <w:r>
        <w:rPr>
          <w:rFonts w:hint="eastAsia" w:ascii="仿宋_GB2312"/>
          <w:color w:val="000000" w:themeColor="text1"/>
          <w:highlight w:val="none"/>
          <w:u w:val="none"/>
          <w:lang w:val="en-US" w:eastAsia="zh-CN"/>
          <w14:textFill>
            <w14:solidFill>
              <w14:schemeClr w14:val="tx1"/>
            </w14:solidFill>
          </w14:textFill>
        </w:rPr>
        <w:t>全市开展公共租赁住房供应分配</w:t>
      </w:r>
      <w:r>
        <w:rPr>
          <w:rFonts w:hint="eastAsia" w:ascii="仿宋_GB2312"/>
          <w:color w:val="000000" w:themeColor="text1"/>
          <w:highlight w:val="none"/>
          <w:u w:val="none"/>
          <w14:textFill>
            <w14:solidFill>
              <w14:schemeClr w14:val="tx1"/>
            </w14:solidFill>
          </w14:textFill>
        </w:rPr>
        <w:t>相关工作</w:t>
      </w:r>
      <w:r>
        <w:rPr>
          <w:rFonts w:hint="eastAsia" w:ascii="仿宋_GB2312"/>
          <w:color w:val="000000" w:themeColor="text1"/>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市发展改革部门负责划定申请家庭和单身居民的收入财产限额</w:t>
      </w:r>
      <w:r>
        <w:rPr>
          <w:rFonts w:hint="eastAsia" w:ascii="仿宋_GB2312" w:hAnsi="仿宋_GB2312" w:cs="仿宋_GB2312"/>
          <w:color w:val="000000" w:themeColor="text1"/>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市民政部门负责核对和认定申请家庭和单身居民的收入财产状况。</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市公安、财政、人力资源保障、</w:t>
      </w:r>
      <w:bookmarkStart w:id="5" w:name="_Hlk22114035"/>
      <w:r>
        <w:rPr>
          <w:rFonts w:hint="eastAsia" w:ascii="仿宋_GB2312" w:hAnsi="仿宋_GB2312"/>
          <w:color w:val="000000" w:themeColor="text1"/>
          <w:highlight w:val="none"/>
          <w:u w:val="none"/>
          <w14:textFill>
            <w14:solidFill>
              <w14:schemeClr w14:val="tx1"/>
            </w14:solidFill>
          </w14:textFill>
        </w:rPr>
        <w:t>规划和自然资源</w:t>
      </w:r>
      <w:bookmarkEnd w:id="5"/>
      <w:bookmarkStart w:id="6" w:name="_Hlk22115341"/>
      <w:r>
        <w:rPr>
          <w:rFonts w:hint="eastAsia" w:ascii="仿宋_GB2312" w:hAnsi="仿宋_GB2312"/>
          <w:color w:val="000000" w:themeColor="text1"/>
          <w:highlight w:val="none"/>
          <w:u w:val="none"/>
          <w14:textFill>
            <w14:solidFill>
              <w14:schemeClr w14:val="tx1"/>
            </w14:solidFill>
          </w14:textFill>
        </w:rPr>
        <w:t>、市场监督管理</w:t>
      </w:r>
      <w:bookmarkEnd w:id="6"/>
      <w:r>
        <w:rPr>
          <w:rFonts w:hint="eastAsia" w:ascii="仿宋_GB2312" w:hAnsi="仿宋_GB2312"/>
          <w:color w:val="000000" w:themeColor="text1"/>
          <w:highlight w:val="none"/>
          <w:u w:val="none"/>
          <w14:textFill>
            <w14:solidFill>
              <w14:schemeClr w14:val="tx1"/>
            </w14:solidFill>
          </w14:textFill>
        </w:rPr>
        <w:t>等部门应当在各自职责范围内做好公共租赁住房的租赁管理相关工作。</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s="仿宋_GB2312"/>
          <w:color w:val="000000" w:themeColor="text1"/>
          <w:highlight w:val="none"/>
          <w:u w:val="none"/>
          <w14:textFill>
            <w14:solidFill>
              <w14:schemeClr w14:val="tx1"/>
            </w14:solidFill>
          </w14:textFill>
        </w:rPr>
      </w:pPr>
      <w:r>
        <w:rPr>
          <w:rFonts w:hint="eastAsia" w:ascii="黑体" w:hAnsi="黑体" w:eastAsia="黑体" w:cs="黑体"/>
          <w:color w:val="000000" w:themeColor="text1"/>
          <w:highlight w:val="none"/>
          <w:u w:val="none"/>
          <w14:textFill>
            <w14:solidFill>
              <w14:schemeClr w14:val="tx1"/>
            </w14:solidFill>
          </w14:textFill>
        </w:rPr>
        <w:t>【区政府及部门职责】</w:t>
      </w:r>
      <w:bookmarkStart w:id="7" w:name="_Hlk22311338"/>
      <w:r>
        <w:rPr>
          <w:rFonts w:hint="eastAsia" w:ascii="黑体" w:hAnsi="黑体" w:eastAsia="黑体" w:cs="黑体"/>
          <w:color w:val="000000" w:themeColor="text1"/>
          <w:highlight w:val="none"/>
          <w:u w:val="none"/>
          <w:lang w:val="en-US" w:eastAsia="zh-CN"/>
          <w14:textFill>
            <w14:solidFill>
              <w14:schemeClr w14:val="tx1"/>
            </w14:solidFill>
          </w14:textFill>
        </w:rPr>
        <w:t xml:space="preserve">  </w:t>
      </w:r>
      <w:r>
        <w:rPr>
          <w:rFonts w:hint="eastAsia" w:ascii="仿宋_GB2312" w:hAnsi="仿宋_GB2312" w:cs="仿宋_GB2312"/>
          <w:color w:val="000000" w:themeColor="text1"/>
          <w:highlight w:val="none"/>
          <w:u w:val="none"/>
          <w14:textFill>
            <w14:solidFill>
              <w14:schemeClr w14:val="tx1"/>
            </w14:solidFill>
          </w14:textFill>
        </w:rPr>
        <w:t>区政府</w:t>
      </w:r>
      <w:bookmarkEnd w:id="7"/>
      <w:r>
        <w:rPr>
          <w:rFonts w:hint="eastAsia" w:ascii="仿宋_GB2312" w:hAnsi="仿宋_GB2312" w:cs="仿宋_GB2312"/>
          <w:color w:val="000000" w:themeColor="text1"/>
          <w:highlight w:val="none"/>
          <w:u w:val="none"/>
          <w14:textFill>
            <w14:solidFill>
              <w14:schemeClr w14:val="tx1"/>
            </w14:solidFill>
          </w14:textFill>
        </w:rPr>
        <w:t>（含新区管理机构，下同）负责组织实施本区公共租赁住房租赁管理工作。</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区住房主管部门（以下简称区主管部门）负责本区公共租赁住房的供应分配、监督管理等工作</w:t>
      </w:r>
      <w:r>
        <w:rPr>
          <w:rFonts w:hint="eastAsia" w:ascii="仿宋_GB2312" w:hAnsi="仿宋_GB2312"/>
          <w:color w:val="000000" w:themeColor="text1"/>
          <w:highlight w:val="none"/>
          <w:u w:val="none"/>
          <w:lang w:eastAsia="zh-CN"/>
          <w14:textFill>
            <w14:solidFill>
              <w14:schemeClr w14:val="tx1"/>
            </w14:solidFill>
          </w14:textFill>
        </w:rPr>
        <w:t>，</w:t>
      </w:r>
      <w:r>
        <w:rPr>
          <w:rFonts w:hint="eastAsia" w:ascii="仿宋_GB2312" w:hAnsi="仿宋_GB2312"/>
          <w:color w:val="000000" w:themeColor="text1"/>
          <w:highlight w:val="none"/>
          <w:u w:val="none"/>
          <w:lang w:val="en-US" w:eastAsia="zh-CN"/>
          <w14:textFill>
            <w14:solidFill>
              <w14:schemeClr w14:val="tx1"/>
            </w14:solidFill>
          </w14:textFill>
        </w:rPr>
        <w:t>可以委托区住房保障实施机构开展行政执法及其他事务性工作</w:t>
      </w:r>
      <w:r>
        <w:rPr>
          <w:rFonts w:hint="eastAsia" w:ascii="仿宋_GB2312" w:hAnsi="仿宋_GB2312"/>
          <w:color w:val="000000" w:themeColor="text1"/>
          <w:highlight w:val="none"/>
          <w:u w:val="none"/>
          <w14:textFill>
            <w14:solidFill>
              <w14:schemeClr w14:val="tx1"/>
            </w14:solidFill>
          </w14:textFill>
        </w:rPr>
        <w:t>。区相关部门按照职责分工做好相关工作。</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Fonts w:hint="eastAsia" w:ascii="仿宋_GB2312"/>
          <w:bCs/>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信息平台</w:t>
      </w:r>
      <w:r>
        <w:rPr>
          <w:rFonts w:hint="eastAsia" w:ascii="仿宋_GB2312"/>
          <w:bCs/>
          <w:color w:val="000000" w:themeColor="text1"/>
          <w:highlight w:val="none"/>
          <w:u w:val="none"/>
          <w14:textFill>
            <w14:solidFill>
              <w14:schemeClr w14:val="tx1"/>
            </w14:solidFill>
          </w14:textFill>
        </w:rPr>
        <w:t>】</w:t>
      </w:r>
      <w:r>
        <w:rPr>
          <w:rFonts w:hint="eastAsia" w:ascii="仿宋_GB2312"/>
          <w:bCs/>
          <w:color w:val="000000" w:themeColor="text1"/>
          <w:highlight w:val="none"/>
          <w:u w:val="none"/>
          <w:lang w:val="en-US" w:eastAsia="zh-CN"/>
          <w14:textFill>
            <w14:solidFill>
              <w14:schemeClr w14:val="tx1"/>
            </w14:solidFill>
          </w14:textFill>
        </w:rPr>
        <w:t xml:space="preserve">  </w:t>
      </w:r>
      <w:r>
        <w:rPr>
          <w:rFonts w:hint="eastAsia" w:ascii="仿宋_GB2312"/>
          <w:color w:val="000000" w:themeColor="text1"/>
          <w:highlight w:val="none"/>
          <w:u w:val="none"/>
          <w14:textFill>
            <w14:solidFill>
              <w14:schemeClr w14:val="tx1"/>
            </w14:solidFill>
          </w14:textFill>
        </w:rPr>
        <w:t>市主管部门统筹建立和完善全市统一的住房信息平台（以下简称信息平台），公共租赁住房的租赁管理活动应当纳入信息平台管理。</w:t>
      </w:r>
    </w:p>
    <w:p>
      <w:pPr>
        <w:keepNext w:val="0"/>
        <w:keepLines w:val="0"/>
        <w:pageBreakBefore w:val="0"/>
        <w:widowControl w:val="0"/>
        <w:kinsoku/>
        <w:wordWrap/>
        <w:overflowPunct/>
        <w:topLinePunct w:val="0"/>
        <w:autoSpaceDE/>
        <w:autoSpaceDN/>
        <w:bidi w:val="0"/>
        <w:spacing w:line="578" w:lineRule="exact"/>
        <w:ind w:firstLine="640"/>
        <w:textAlignment w:val="auto"/>
        <w:rPr>
          <w:rFonts w:hint="eastAsia" w:ascii="仿宋_GB2312"/>
          <w:bCs/>
          <w:color w:val="000000" w:themeColor="text1"/>
          <w:highlight w:val="none"/>
          <w:u w:val="none"/>
          <w14:textFill>
            <w14:solidFill>
              <w14:schemeClr w14:val="tx1"/>
            </w14:solidFill>
          </w14:textFill>
        </w:rPr>
      </w:pPr>
      <w:r>
        <w:rPr>
          <w:rFonts w:hint="eastAsia" w:ascii="仿宋_GB2312"/>
          <w:bCs/>
          <w:color w:val="000000" w:themeColor="text1"/>
          <w:highlight w:val="none"/>
          <w:u w:val="none"/>
          <w14:textFill>
            <w14:solidFill>
              <w14:schemeClr w14:val="tx1"/>
            </w14:solidFill>
          </w14:textFill>
        </w:rPr>
        <w:t>公安、民政、人力资源保障、规划和自然资源、退役军人事务、市场监督管理、税务等部门应当协同配合，实现信息平台与户籍、婚姻、居民收入财产状况核对、学历、技术技能水平、社会保险、不动产登记、退役军人、征信、税收等信息化平台互联互通，信息共享。</w:t>
      </w:r>
      <w:bookmarkEnd w:id="4"/>
    </w:p>
    <w:p>
      <w:pPr>
        <w:pStyle w:val="2"/>
        <w:keepNext w:val="0"/>
        <w:keepLines w:val="0"/>
        <w:pageBreakBefore w:val="0"/>
        <w:widowControl w:val="0"/>
        <w:kinsoku/>
        <w:wordWrap/>
        <w:overflowPunct/>
        <w:topLinePunct w:val="0"/>
        <w:autoSpaceDE/>
        <w:autoSpaceDN/>
        <w:bidi w:val="0"/>
        <w:spacing w:after="0" w:line="578" w:lineRule="exact"/>
        <w:textAlignment w:val="auto"/>
        <w:rPr>
          <w:color w:val="000000" w:themeColor="text1"/>
          <w:u w:val="none"/>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before="0" w:after="0" w:line="578" w:lineRule="exact"/>
        <w:ind w:firstLine="0" w:firstLineChars="0"/>
        <w:textAlignment w:val="auto"/>
        <w:rPr>
          <w:rFonts w:hint="eastAsia" w:ascii="黑体" w:hAnsi="黑体"/>
          <w:b w:val="0"/>
          <w:bCs w:val="0"/>
          <w:color w:val="000000" w:themeColor="text1"/>
          <w:highlight w:val="none"/>
          <w:u w:val="none"/>
          <w14:textFill>
            <w14:solidFill>
              <w14:schemeClr w14:val="tx1"/>
            </w14:solidFill>
          </w14:textFill>
        </w:rPr>
      </w:pPr>
      <w:r>
        <w:rPr>
          <w:rFonts w:hint="eastAsia" w:ascii="黑体" w:hAnsi="黑体"/>
          <w:b w:val="0"/>
          <w:bCs w:val="0"/>
          <w:color w:val="000000" w:themeColor="text1"/>
          <w:highlight w:val="none"/>
          <w:u w:val="none"/>
          <w14:textFill>
            <w14:solidFill>
              <w14:schemeClr w14:val="tx1"/>
            </w14:solidFill>
          </w14:textFill>
        </w:rPr>
        <w:t>第二章</w:t>
      </w:r>
      <w:r>
        <w:rPr>
          <w:rFonts w:ascii="黑体" w:hAnsi="黑体"/>
          <w:b w:val="0"/>
          <w:bCs w:val="0"/>
          <w:color w:val="000000" w:themeColor="text1"/>
          <w:highlight w:val="none"/>
          <w:u w:val="none"/>
          <w14:textFill>
            <w14:solidFill>
              <w14:schemeClr w14:val="tx1"/>
            </w14:solidFill>
          </w14:textFill>
        </w:rPr>
        <w:t xml:space="preserve"> </w:t>
      </w:r>
      <w:r>
        <w:rPr>
          <w:rFonts w:hint="eastAsia" w:ascii="黑体" w:hAnsi="黑体"/>
          <w:b w:val="0"/>
          <w:bCs w:val="0"/>
          <w:color w:val="000000" w:themeColor="text1"/>
          <w:highlight w:val="none"/>
          <w:u w:val="none"/>
          <w14:textFill>
            <w14:solidFill>
              <w14:schemeClr w14:val="tx1"/>
            </w14:solidFill>
          </w14:textFill>
        </w:rPr>
        <w:t>轮候与配租</w:t>
      </w:r>
    </w:p>
    <w:p>
      <w:pPr>
        <w:keepNext w:val="0"/>
        <w:keepLines w:val="0"/>
        <w:pageBreakBefore w:val="0"/>
        <w:widowControl w:val="0"/>
        <w:kinsoku/>
        <w:wordWrap/>
        <w:overflowPunct/>
        <w:topLinePunct w:val="0"/>
        <w:autoSpaceDE/>
        <w:autoSpaceDN/>
        <w:bidi w:val="0"/>
        <w:spacing w:line="578" w:lineRule="exact"/>
        <w:textAlignment w:val="auto"/>
        <w:rPr>
          <w:color w:val="000000" w:themeColor="text1"/>
          <w:u w:val="none"/>
          <w14:textFill>
            <w14:solidFill>
              <w14:schemeClr w14:val="tx1"/>
            </w14:solidFill>
          </w14:textFill>
        </w:rPr>
      </w:pP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color w:val="000000" w:themeColor="text1"/>
          <w:highlight w:val="none"/>
          <w:u w:val="none"/>
          <w14:textFill>
            <w14:solidFill>
              <w14:schemeClr w14:val="tx1"/>
            </w14:solidFill>
          </w14:textFill>
        </w:rPr>
      </w:pPr>
      <w:r>
        <w:rPr>
          <w:rStyle w:val="11"/>
          <w:rFonts w:hint="eastAsia" w:ascii="仿宋_GB2312"/>
          <w:color w:val="000000" w:themeColor="text1"/>
          <w:highlight w:val="none"/>
          <w:u w:val="none"/>
          <w14:textFill>
            <w14:solidFill>
              <w14:schemeClr w14:val="tx1"/>
            </w14:solidFill>
          </w14:textFill>
        </w:rPr>
        <w:t>【配租计划】</w:t>
      </w:r>
      <w:r>
        <w:rPr>
          <w:rStyle w:val="11"/>
          <w:rFonts w:hint="eastAsia" w:ascii="仿宋_GB2312" w:eastAsia="黑体"/>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区主管部门应当根据全市年度实施计划，结合本区公共租赁住房房源和住房需求等情况，制定本区公共租赁住房年度配租计划，经区政府批准后报市主管部门备案，并通过政府网站和信息平台发布。</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textAlignment w:val="auto"/>
        <w:outlineLvl w:val="9"/>
        <w:rPr>
          <w:rStyle w:val="11"/>
          <w:rFonts w:ascii="仿宋_GB2312" w:eastAsia="仿宋_GB2312"/>
          <w:color w:val="000000" w:themeColor="text1"/>
          <w:highlight w:val="none"/>
          <w:u w:val="none"/>
          <w14:textFill>
            <w14:solidFill>
              <w14:schemeClr w14:val="tx1"/>
            </w14:solidFill>
          </w14:textFill>
        </w:rPr>
      </w:pPr>
      <w:r>
        <w:rPr>
          <w:rFonts w:hint="eastAsia" w:ascii="仿宋_GB2312" w:hAnsi="仿宋_GB2312" w:eastAsia="仿宋_GB2312"/>
          <w:bCs w:val="0"/>
          <w:color w:val="000000" w:themeColor="text1"/>
          <w:szCs w:val="22"/>
          <w:highlight w:val="none"/>
          <w:u w:val="none"/>
          <w14:textFill>
            <w14:solidFill>
              <w14:schemeClr w14:val="tx1"/>
            </w14:solidFill>
          </w14:textFill>
        </w:rPr>
        <w:t>鼓励房源充足的区面向本区以外的在册轮候人配租。</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Style w:val="11"/>
          <w:rFonts w:ascii="仿宋_GB2312" w:eastAsia="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分配方式</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lang w:eastAsia="zh-CN"/>
          <w14:textFill>
            <w14:solidFill>
              <w14:schemeClr w14:val="tx1"/>
            </w14:solidFill>
          </w14:textFill>
        </w:rPr>
        <w:t>公共租赁住房采取日常轮候</w:t>
      </w:r>
      <w:r>
        <w:rPr>
          <w:rFonts w:hint="eastAsia" w:ascii="仿宋_GB2312" w:hAnsi="仿宋_GB2312"/>
          <w:color w:val="000000" w:themeColor="text1"/>
          <w:highlight w:val="none"/>
          <w:u w:val="none"/>
          <w:lang w:val="en-US" w:eastAsia="zh-CN"/>
          <w14:textFill>
            <w14:solidFill>
              <w14:schemeClr w14:val="tx1"/>
            </w14:solidFill>
          </w14:textFill>
        </w:rPr>
        <w:t>和定向配租方式分配</w:t>
      </w:r>
      <w:r>
        <w:rPr>
          <w:rFonts w:hint="eastAsia" w:ascii="仿宋_GB2312" w:hAnsi="仿宋_GB2312"/>
          <w:color w:val="000000" w:themeColor="text1"/>
          <w:highlight w:val="none"/>
          <w:u w:val="none"/>
          <w14:textFill>
            <w14:solidFill>
              <w14:schemeClr w14:val="tx1"/>
            </w14:solidFill>
          </w14:textFill>
        </w:rPr>
        <w:t>。</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firstLineChars="200"/>
        <w:textAlignment w:val="auto"/>
        <w:outlineLvl w:val="2"/>
        <w:rPr>
          <w:rFonts w:hint="eastAsia" w:ascii="仿宋_GB2312" w:hAnsi="黑体"/>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Fonts w:hint="eastAsia" w:ascii="黑体" w:hAnsi="黑体" w:eastAsia="黑体" w:cs="黑体"/>
          <w:color w:val="000000" w:themeColor="text1"/>
          <w:highlight w:val="none"/>
          <w:u w:val="none"/>
          <w14:textFill>
            <w14:solidFill>
              <w14:schemeClr w14:val="tx1"/>
            </w14:solidFill>
          </w14:textFill>
        </w:rPr>
        <w:t>轮候申请主体</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黑体"/>
          <w:color w:val="000000" w:themeColor="text1"/>
          <w:highlight w:val="none"/>
          <w:u w:val="none"/>
          <w14:textFill>
            <w14:solidFill>
              <w14:schemeClr w14:val="tx1"/>
            </w14:solidFill>
          </w14:textFill>
        </w:rPr>
        <w:t>申请人已经组建家庭的，应当以家庭为单位提出轮候申请，申请人配偶、未满十八周岁的子女应当列为共同申请人。申请人父母、申请人配偶父母、年满十八周岁的子女可以作为共同申请人。未满十八周岁的子女列为共同申请人的，不影响其达到规定年龄后享受住房保障优惠政策。</w:t>
      </w:r>
    </w:p>
    <w:p>
      <w:pPr>
        <w:keepNext w:val="0"/>
        <w:keepLines w:val="0"/>
        <w:pageBreakBefore w:val="0"/>
        <w:widowControl w:val="0"/>
        <w:numPr>
          <w:ilvl w:val="0"/>
          <w:numId w:val="0"/>
        </w:numPr>
        <w:tabs>
          <w:tab w:val="left" w:pos="0"/>
        </w:tabs>
        <w:kinsoku/>
        <w:wordWrap/>
        <w:overflowPunct/>
        <w:topLinePunct w:val="0"/>
        <w:autoSpaceDE/>
        <w:autoSpaceDN/>
        <w:bidi w:val="0"/>
        <w:spacing w:line="578" w:lineRule="exact"/>
        <w:ind w:left="0" w:leftChars="0" w:firstLine="640" w:firstLineChars="200"/>
        <w:textAlignment w:val="auto"/>
        <w:outlineLvl w:val="2"/>
        <w:rPr>
          <w:color w:val="000000" w:themeColor="text1"/>
          <w:u w:val="none"/>
          <w14:textFill>
            <w14:solidFill>
              <w14:schemeClr w14:val="tx1"/>
            </w14:solidFill>
          </w14:textFill>
        </w:rPr>
      </w:pPr>
      <w:r>
        <w:rPr>
          <w:rFonts w:hint="eastAsia" w:ascii="仿宋_GB2312" w:hAnsi="黑体"/>
          <w:color w:val="000000" w:themeColor="text1"/>
          <w:highlight w:val="none"/>
          <w:u w:val="none"/>
          <w14:textFill>
            <w14:solidFill>
              <w14:schemeClr w14:val="tx1"/>
            </w14:solidFill>
          </w14:textFill>
        </w:rPr>
        <w:t>申请人年满十八周岁未组建家庭的，可以个人名义提出轮候申请。申请人父母可以作为共同申请人。</w:t>
      </w:r>
    </w:p>
    <w:p>
      <w:pPr>
        <w:keepNext w:val="0"/>
        <w:keepLines w:val="0"/>
        <w:pageBreakBefore w:val="0"/>
        <w:widowControl w:val="0"/>
        <w:numPr>
          <w:ilvl w:val="255"/>
          <w:numId w:val="0"/>
        </w:numPr>
        <w:tabs>
          <w:tab w:val="left" w:pos="0"/>
        </w:tabs>
        <w:kinsoku/>
        <w:wordWrap/>
        <w:overflowPunct/>
        <w:topLinePunct w:val="0"/>
        <w:autoSpaceDE/>
        <w:autoSpaceDN/>
        <w:bidi w:val="0"/>
        <w:spacing w:line="578" w:lineRule="exact"/>
        <w:ind w:left="0" w:leftChars="0" w:firstLine="640" w:firstLineChars="200"/>
        <w:textAlignment w:val="auto"/>
        <w:outlineLvl w:val="2"/>
        <w:rPr>
          <w:color w:val="000000" w:themeColor="text1"/>
          <w:highlight w:val="none"/>
          <w:u w:val="none"/>
          <w14:textFill>
            <w14:solidFill>
              <w14:schemeClr w14:val="tx1"/>
            </w14:solidFill>
          </w14:textFill>
        </w:rPr>
      </w:pPr>
      <w:r>
        <w:rPr>
          <w:rFonts w:hint="eastAsia" w:ascii="仿宋_GB2312" w:hAnsi="黑体"/>
          <w:color w:val="000000" w:themeColor="text1"/>
          <w:highlight w:val="none"/>
          <w:u w:val="none"/>
          <w14:textFill>
            <w14:solidFill>
              <w14:schemeClr w14:val="tx1"/>
            </w14:solidFill>
          </w14:textFill>
        </w:rPr>
        <w:t>投靠子女取得本市户籍的居民，不能作为申请人</w:t>
      </w:r>
      <w:r>
        <w:rPr>
          <w:rFonts w:hint="eastAsia" w:ascii="仿宋_GB2312" w:hAnsi="仿宋_GB2312"/>
          <w:color w:val="000000" w:themeColor="text1"/>
          <w:highlight w:val="none"/>
          <w:u w:val="none"/>
          <w14:textFill>
            <w14:solidFill>
              <w14:schemeClr w14:val="tx1"/>
            </w14:solidFill>
          </w14:textFill>
        </w:rPr>
        <w:t>。</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轮候申请条件</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申请轮候公共租赁住房的，应当同时符合以下条件：</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（一）申请人及共同申请人均未在本市拥有自有住房（含住房建设用地，下同），在申请受理日之前三年</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内未在本市转让过或者因离婚分割过自有住房；</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申请人年满十八周岁，且具有本市户籍；作为共同申请人的年满十八周岁的子女、申请人父母、申请人配偶父母，具有本市户籍，但现役军人或者就读全日制学校期间将户籍迁出本市的年满十八周岁的子女，不受户籍限制；</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（三）申请人在本市符合</w:t>
      </w:r>
      <w:r>
        <w:rPr>
          <w:rFonts w:hint="eastAsia" w:ascii="仿宋_GB2312" w:hAnsi="仿宋_GB2312"/>
          <w:color w:val="000000" w:themeColor="text1"/>
          <w:highlight w:val="none"/>
          <w:u w:val="none"/>
          <w:lang w:val="en-US" w:eastAsia="zh-CN"/>
          <w14:textFill>
            <w14:solidFill>
              <w14:schemeClr w14:val="tx1"/>
            </w14:solidFill>
          </w14:textFill>
        </w:rPr>
        <w:t>社会保险</w:t>
      </w:r>
      <w:r>
        <w:rPr>
          <w:rFonts w:hint="eastAsia" w:ascii="仿宋_GB2312" w:hAnsi="仿宋_GB2312"/>
          <w:color w:val="000000" w:themeColor="text1"/>
          <w:highlight w:val="none"/>
          <w:u w:val="none"/>
          <w14:textFill>
            <w14:solidFill>
              <w14:schemeClr w14:val="tx1"/>
            </w14:solidFill>
          </w14:textFill>
        </w:rPr>
        <w:t>规定并正常缴纳（不含少儿医疗保险，下同），但在本市退休的除外；申请人参加本市社会保险累计缴费三年以上，</w:t>
      </w:r>
      <w:r>
        <w:rPr>
          <w:rFonts w:ascii="仿宋_GB2312" w:hAnsi="仿宋_GB2312"/>
          <w:color w:val="000000" w:themeColor="text1"/>
          <w:highlight w:val="none"/>
          <w:u w:val="none"/>
          <w14:textFill>
            <w14:solidFill>
              <w14:schemeClr w14:val="tx1"/>
            </w14:solidFill>
          </w14:textFill>
        </w:rPr>
        <w:t>属于</w:t>
      </w:r>
      <w:r>
        <w:rPr>
          <w:rFonts w:hint="eastAsia" w:ascii="仿宋_GB2312" w:hAnsi="仿宋_GB2312"/>
          <w:color w:val="000000" w:themeColor="text1"/>
          <w:highlight w:val="none"/>
          <w:u w:val="none"/>
          <w14:textFill>
            <w14:solidFill>
              <w14:schemeClr w14:val="tx1"/>
            </w14:solidFill>
          </w14:textFill>
        </w:rPr>
        <w:t>特殊家庭</w:t>
      </w:r>
      <w:r>
        <w:rPr>
          <w:rFonts w:hint="eastAsia" w:ascii="仿宋_GB2312" w:hAnsi="仿宋_GB2312"/>
          <w:color w:val="000000" w:themeColor="text1"/>
          <w:highlight w:val="none"/>
          <w:u w:val="none"/>
          <w:lang w:val="en-US" w:eastAsia="zh-CN"/>
          <w14:textFill>
            <w14:solidFill>
              <w14:schemeClr w14:val="tx1"/>
            </w14:solidFill>
          </w14:textFill>
        </w:rPr>
        <w:t>或者有三个以上</w:t>
      </w:r>
      <w:r>
        <w:rPr>
          <w:rFonts w:hint="eastAsia" w:ascii="仿宋_GB2312" w:hAnsi="仿宋_GB2312"/>
          <w:color w:val="000000" w:themeColor="text1"/>
          <w:highlight w:val="none"/>
          <w:u w:val="none"/>
          <w:lang w:eastAsia="zh-CN"/>
          <w14:textFill>
            <w14:solidFill>
              <w14:schemeClr w14:val="tx1"/>
            </w14:solidFill>
          </w14:textFill>
        </w:rPr>
        <w:t>未满十八周岁子女</w:t>
      </w:r>
      <w:r>
        <w:rPr>
          <w:rFonts w:hint="eastAsia" w:ascii="仿宋_GB2312" w:hAnsi="仿宋_GB2312"/>
          <w:color w:val="000000" w:themeColor="text1"/>
          <w:highlight w:val="none"/>
          <w:u w:val="none"/>
          <w14:textFill>
            <w14:solidFill>
              <w14:schemeClr w14:val="tx1"/>
            </w14:solidFill>
          </w14:textFill>
        </w:rPr>
        <w:t>的家庭，可</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不受社会保险累计缴费时间的限制；</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（四）申请人及共同申请人的家庭</w:t>
      </w:r>
      <w:r>
        <w:rPr>
          <w:rFonts w:ascii="仿宋_GB2312" w:hAnsi="仿宋_GB2312"/>
          <w:color w:val="000000" w:themeColor="text1"/>
          <w:highlight w:val="none"/>
          <w:u w:val="none"/>
          <w14:textFill>
            <w14:solidFill>
              <w14:schemeClr w14:val="tx1"/>
            </w14:solidFill>
          </w14:textFill>
        </w:rPr>
        <w:t>人均年可支配收入和</w:t>
      </w:r>
      <w:r>
        <w:rPr>
          <w:rFonts w:hint="eastAsia" w:ascii="仿宋_GB2312" w:hAnsi="仿宋_GB2312"/>
          <w:color w:val="000000" w:themeColor="text1"/>
          <w:highlight w:val="none"/>
          <w:u w:val="none"/>
          <w14:textFill>
            <w14:solidFill>
              <w14:schemeClr w14:val="tx1"/>
            </w14:solidFill>
          </w14:textFill>
        </w:rPr>
        <w:t>家庭</w:t>
      </w:r>
      <w:r>
        <w:rPr>
          <w:rFonts w:ascii="仿宋_GB2312" w:hAnsi="仿宋_GB2312"/>
          <w:color w:val="000000" w:themeColor="text1"/>
          <w:highlight w:val="none"/>
          <w:u w:val="none"/>
          <w14:textFill>
            <w14:solidFill>
              <w14:schemeClr w14:val="tx1"/>
            </w14:solidFill>
          </w14:textFill>
        </w:rPr>
        <w:t>财产总额</w:t>
      </w:r>
      <w:r>
        <w:rPr>
          <w:rFonts w:hint="eastAsia" w:ascii="仿宋_GB2312" w:hAnsi="仿宋_GB2312"/>
          <w:color w:val="000000" w:themeColor="text1"/>
          <w:highlight w:val="none"/>
          <w:u w:val="none"/>
          <w14:textFill>
            <w14:solidFill>
              <w14:schemeClr w14:val="tx1"/>
            </w14:solidFill>
          </w14:textFill>
        </w:rPr>
        <w:t>均符合本市规定的限额标准；</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（五）申请人及共同申请人均未</w:t>
      </w:r>
      <w:r>
        <w:rPr>
          <w:rFonts w:hint="eastAsia" w:ascii="仿宋_GB2312" w:hAnsi="仿宋_GB2312"/>
          <w:color w:val="000000" w:themeColor="text1"/>
          <w:highlight w:val="none"/>
          <w:u w:val="none"/>
          <w:lang w:val="en-US" w:eastAsia="zh-CN"/>
          <w14:textFill>
            <w14:solidFill>
              <w14:schemeClr w14:val="tx1"/>
            </w14:solidFill>
          </w14:textFill>
        </w:rPr>
        <w:t>正</w:t>
      </w:r>
      <w:r>
        <w:rPr>
          <w:rFonts w:hint="eastAsia" w:ascii="仿宋_GB2312" w:hAnsi="仿宋_GB2312"/>
          <w:color w:val="000000" w:themeColor="text1"/>
          <w:highlight w:val="none"/>
          <w:u w:val="none"/>
          <w14:textFill>
            <w14:solidFill>
              <w14:schemeClr w14:val="tx1"/>
            </w14:solidFill>
          </w14:textFill>
        </w:rPr>
        <w:t>在本市和国内其他地区享受住房保障优惠政策，但承租政府以外其他各类主体出租的保障性租赁住房或者符合本办法第二十九条第一款规定情形的除外；</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（六）法律、法规、规章和市政府规定的其他条件。</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s="仿宋_GB2312"/>
          <w:color w:val="000000" w:themeColor="text1"/>
          <w:szCs w:val="32"/>
          <w:highlight w:val="none"/>
          <w:u w:val="none"/>
          <w14:textFill>
            <w14:solidFill>
              <w14:schemeClr w14:val="tx1"/>
            </w14:solidFill>
          </w14:textFill>
        </w:rPr>
        <w:t>申请人父母、申请人配偶父母在</w:t>
      </w:r>
      <w:r>
        <w:rPr>
          <w:rFonts w:ascii="仿宋_GB2312" w:hAnsi="仿宋_GB2312" w:cs="仿宋_GB2312"/>
          <w:color w:val="000000" w:themeColor="text1"/>
          <w:szCs w:val="32"/>
          <w:highlight w:val="none"/>
          <w:u w:val="none"/>
          <w14:textFill>
            <w14:solidFill>
              <w14:schemeClr w14:val="tx1"/>
            </w14:solidFill>
          </w14:textFill>
        </w:rPr>
        <w:t>婚姻存续期间</w:t>
      </w:r>
      <w:r>
        <w:rPr>
          <w:rFonts w:hint="eastAsia" w:ascii="仿宋_GB2312" w:hAnsi="仿宋_GB2312" w:cs="仿宋_GB2312"/>
          <w:color w:val="000000" w:themeColor="text1"/>
          <w:szCs w:val="32"/>
          <w:highlight w:val="none"/>
          <w:u w:val="none"/>
          <w14:textFill>
            <w14:solidFill>
              <w14:schemeClr w14:val="tx1"/>
            </w14:solidFill>
          </w14:textFill>
        </w:rPr>
        <w:t>，单独一方作为共同申请人的，双方应当同时满足前款第一项、第五项规定的条件。</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市主管部门可以根据实际情况，适时调整本条规定的申请条件，报市政府批准后公布执行。</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color w:val="000000" w:themeColor="text1"/>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收入财产限额划定原则</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市发展改革部门会同市主管部门，根</w:t>
      </w:r>
      <w:r>
        <w:rPr>
          <w:rStyle w:val="11"/>
          <w:rFonts w:hint="eastAsia" w:ascii="仿宋_GB2312" w:eastAsia="仿宋_GB2312"/>
          <w:color w:val="000000" w:themeColor="text1"/>
          <w:highlight w:val="none"/>
          <w:u w:val="none"/>
          <w14:textFill>
            <w14:solidFill>
              <w14:schemeClr w14:val="tx1"/>
            </w14:solidFill>
          </w14:textFill>
        </w:rPr>
        <w:t>据本市</w:t>
      </w:r>
      <w:r>
        <w:rPr>
          <w:rFonts w:hint="eastAsia" w:ascii="仿宋_GB2312" w:hAnsi="仿宋_GB2312"/>
          <w:color w:val="000000" w:themeColor="text1"/>
          <w:highlight w:val="none"/>
          <w:u w:val="none"/>
          <w14:textFill>
            <w14:solidFill>
              <w14:schemeClr w14:val="tx1"/>
            </w14:solidFill>
          </w14:textFill>
        </w:rPr>
        <w:t>居民收入水平、家庭财产状况、住房状况以及财政承受能力、住房市场发展状况等因素划定收入财产限额，报市政府批准后公布执行，并实施动态调整。</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firstLineChars="20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w:t>
      </w:r>
      <w:r>
        <w:rPr>
          <w:rFonts w:hint="eastAsia" w:ascii="黑体" w:hAnsi="黑体" w:eastAsia="黑体" w:cs="黑体"/>
          <w:color w:val="000000" w:themeColor="text1"/>
          <w:highlight w:val="none"/>
          <w:u w:val="none"/>
          <w14:textFill>
            <w14:solidFill>
              <w14:schemeClr w14:val="tx1"/>
            </w14:solidFill>
          </w14:textFill>
        </w:rPr>
        <w:t>轮候申请程序</w:t>
      </w:r>
      <w:r>
        <w:rPr>
          <w:rFonts w:hint="eastAsia" w:ascii="仿宋_GB2312" w:hAnsi="仿宋_GB2312"/>
          <w:color w:val="000000" w:themeColor="text1"/>
          <w:highlight w:val="none"/>
          <w:u w:val="none"/>
          <w14:textFill>
            <w14:solidFill>
              <w14:schemeClr w14:val="tx1"/>
            </w14:solidFill>
          </w14:textFill>
        </w:rPr>
        <w:t>】</w:t>
      </w:r>
      <w:r>
        <w:rPr>
          <w:rFonts w:hint="eastAsia" w:ascii="仿宋_GB2312" w:hAns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公共租赁住房轮候申请，按照以下流程办理：</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（一）申请人</w:t>
      </w:r>
      <w:r>
        <w:rPr>
          <w:rFonts w:hint="eastAsia" w:ascii="仿宋_GB2312" w:hAnsi="仿宋_GB2312" w:cs="仿宋_GB2312"/>
          <w:color w:val="000000" w:themeColor="text1"/>
          <w:szCs w:val="32"/>
          <w:highlight w:val="none"/>
          <w:u w:val="none"/>
          <w14:textFill>
            <w14:solidFill>
              <w14:schemeClr w14:val="tx1"/>
            </w14:solidFill>
          </w14:textFill>
        </w:rPr>
        <w:t>填报申请信息</w:t>
      </w:r>
      <w:r>
        <w:rPr>
          <w:rFonts w:hint="eastAsia" w:ascii="仿宋_GB2312" w:hAnsi="仿宋_GB2312"/>
          <w:color w:val="000000" w:themeColor="text1"/>
          <w:highlight w:val="none"/>
          <w:u w:val="none"/>
          <w14:textFill>
            <w14:solidFill>
              <w14:schemeClr w14:val="tx1"/>
            </w14:solidFill>
          </w14:textFill>
        </w:rPr>
        <w:t>，向区主管部门提交以下申请材料：申请表、收入财产核对授权委托书、身份证明、婚姻状况和特殊家庭证明等</w:t>
      </w:r>
      <w:r>
        <w:rPr>
          <w:rFonts w:hint="eastAsia" w:ascii="仿宋_GB2312" w:hAnsi="仿宋_GB2312" w:cs="仿宋_GB2312"/>
          <w:color w:val="000000" w:themeColor="text1"/>
          <w:szCs w:val="32"/>
          <w:highlight w:val="none"/>
          <w:u w:val="none"/>
          <w14:textFill>
            <w14:solidFill>
              <w14:schemeClr w14:val="tx1"/>
            </w14:solidFill>
          </w14:textFill>
        </w:rPr>
        <w:t>，并</w:t>
      </w:r>
      <w:r>
        <w:rPr>
          <w:rFonts w:hint="eastAsia" w:ascii="仿宋_GB2312" w:hAnsi="仿宋_GB2312"/>
          <w:color w:val="000000" w:themeColor="text1"/>
          <w:highlight w:val="none"/>
          <w:u w:val="none"/>
          <w14:textFill>
            <w14:solidFill>
              <w14:schemeClr w14:val="tx1"/>
            </w14:solidFill>
          </w14:textFill>
        </w:rPr>
        <w:t>签署诚信申报声明；</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（二）区主管部门对申请人及共同申请人是否符合本办法第十一条第一款第一项至三项、第五项、第六项和第二款规定的条件进行审核；</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区主管部门将申请人及共同申请人信息推送至市民政部门，市民政部门对申请人及共同申请人的收入财产状况进行核对和认定，向区主管部门出具核对报告，报告应当包括申请人及共同申请人收入和财产的组成和具体金额；</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（四）区主管部门审核合格的，经市主管部门复核后，通过政府网站和信息平台公示相关信息，公示期不少于十五日；审核不合格的，驳回申请并书面告知原因；</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（五）公示期内，申请人可以就审核结果向区主管部门提出异议，由区主管部门处理，其中对收入财产状况核对结果有异议的，由市民政部门处理。</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hint="eastAsia"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区主管部门应当将审核通过并公示合格的申请人及共同申请人纳入公共租赁住房轮候册，并通过政府网站和信息平台向社会公开相关信息。</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color w:val="000000" w:themeColor="text1"/>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申请公共租赁住房实行诚信申报制度。申请家庭、单身居民和用人单位对申报信息和申请材料的真实性、准确性、合法性负责</w:t>
      </w:r>
      <w:r>
        <w:rPr>
          <w:rFonts w:hint="eastAsia" w:ascii="仿宋_GB2312"/>
          <w:color w:val="000000" w:themeColor="text1"/>
          <w:highlight w:val="none"/>
          <w:u w:val="none"/>
          <w:lang w:eastAsia="zh-CN"/>
          <w14:textFill>
            <w14:solidFill>
              <w14:schemeClr w14:val="tx1"/>
            </w14:solidFill>
          </w14:textFill>
        </w:rPr>
        <w:t>。</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轮候排序</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在册轮候人</w:t>
      </w:r>
      <w:r>
        <w:rPr>
          <w:rFonts w:hint="eastAsia" w:ascii="仿宋_GB2312" w:hAnsi="仿宋_GB2312"/>
          <w:color w:val="000000" w:themeColor="text1"/>
          <w:highlight w:val="none"/>
          <w:u w:val="none"/>
          <w:lang w:val="en-US" w:eastAsia="zh-CN"/>
          <w14:textFill>
            <w14:solidFill>
              <w14:schemeClr w14:val="tx1"/>
            </w14:solidFill>
          </w14:textFill>
        </w:rPr>
        <w:t>的</w:t>
      </w:r>
      <w:r>
        <w:rPr>
          <w:rFonts w:hint="eastAsia" w:ascii="仿宋_GB2312" w:hAnsi="仿宋_GB2312"/>
          <w:color w:val="000000" w:themeColor="text1"/>
          <w:highlight w:val="none"/>
          <w:u w:val="none"/>
          <w14:textFill>
            <w14:solidFill>
              <w14:schemeClr w14:val="tx1"/>
            </w14:solidFill>
          </w14:textFill>
        </w:rPr>
        <w:t>轮候排序依照受理回执号的先后顺序确定。受理回执号按照轮候申请时间的先后顺序，由信息平台即时自动生成。申请人户籍在市内跨区迁移后，在户籍迁入区的轮候排序仍按照全市的轮候排序确定。</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轮候期间信息变更</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轮候期间，在册轮候人的住房、户籍、婚姻、家庭人口、抚恤定补优抚、残疾等情况发生变化的，应当自发生变化之日起三十日</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内办理轮候信息变更。经户籍所在区主管部门核查，符合本办法第十一条规定条件的，变更相关信息后继续轮候；不符合条件的，退出公共租赁住房轮候册，并书面告知原因。</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申请人变更</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申请人死亡的，</w:t>
      </w:r>
      <w:r>
        <w:rPr>
          <w:rFonts w:hint="eastAsia" w:ascii="仿宋_GB2312"/>
          <w:color w:val="000000" w:themeColor="text1"/>
          <w:highlight w:val="none"/>
          <w:u w:val="none"/>
          <w14:textFill>
            <w14:solidFill>
              <w14:schemeClr w14:val="tx1"/>
            </w14:solidFill>
          </w14:textFill>
        </w:rPr>
        <w:t>在册轮候人</w:t>
      </w:r>
      <w:r>
        <w:rPr>
          <w:rFonts w:hint="eastAsia" w:ascii="仿宋_GB2312" w:hAnsi="仿宋_GB2312"/>
          <w:color w:val="000000" w:themeColor="text1"/>
          <w:highlight w:val="none"/>
          <w:u w:val="none"/>
          <w14:textFill>
            <w14:solidFill>
              <w14:schemeClr w14:val="tx1"/>
            </w14:solidFill>
          </w14:textFill>
        </w:rPr>
        <w:t>应当在共同申请人中重新确定申请人，新确定的申请人符合本办法第十一条规定条件的，保留其轮候排序；不符合本办法第十一条规定条件的，退出公共租赁住房轮候册。</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申请人离异的，由符合本办法第十一条规定条件的一方按照原轮候排序继续轮候；离异双方</w:t>
      </w:r>
      <w:r>
        <w:rPr>
          <w:rFonts w:hint="eastAsia" w:ascii="仿宋_GB2312" w:hAnsi="仿宋_GB2312"/>
          <w:color w:val="000000" w:themeColor="text1"/>
          <w:highlight w:val="none"/>
          <w:u w:val="none"/>
          <w:lang w:val="en-US" w:eastAsia="zh-CN"/>
          <w14:textFill>
            <w14:solidFill>
              <w14:schemeClr w14:val="tx1"/>
            </w14:solidFill>
          </w14:textFill>
        </w:rPr>
        <w:t>均</w:t>
      </w:r>
      <w:r>
        <w:rPr>
          <w:rFonts w:hint="eastAsia" w:ascii="仿宋_GB2312" w:hAnsi="仿宋_GB2312"/>
          <w:color w:val="000000" w:themeColor="text1"/>
          <w:highlight w:val="none"/>
          <w:u w:val="none"/>
          <w14:textFill>
            <w14:solidFill>
              <w14:schemeClr w14:val="tx1"/>
            </w14:solidFill>
          </w14:textFill>
        </w:rPr>
        <w:t>符合本办法第十一条</w:t>
      </w:r>
      <w:r>
        <w:rPr>
          <w:rFonts w:ascii="仿宋_GB2312" w:hAnsi="仿宋_GB2312"/>
          <w:color w:val="000000" w:themeColor="text1"/>
          <w:highlight w:val="none"/>
          <w:u w:val="none"/>
          <w14:textFill>
            <w14:solidFill>
              <w14:schemeClr w14:val="tx1"/>
            </w14:solidFill>
          </w14:textFill>
        </w:rPr>
        <w:t>规定条件的，经</w:t>
      </w:r>
      <w:r>
        <w:rPr>
          <w:rFonts w:hint="eastAsia" w:ascii="仿宋_GB2312" w:hAnsi="仿宋_GB2312"/>
          <w:color w:val="000000" w:themeColor="text1"/>
          <w:highlight w:val="none"/>
          <w:u w:val="none"/>
          <w:lang w:val="en-US" w:eastAsia="zh-CN"/>
          <w14:textFill>
            <w14:solidFill>
              <w14:schemeClr w14:val="tx1"/>
            </w14:solidFill>
          </w14:textFill>
        </w:rPr>
        <w:t>双方</w:t>
      </w:r>
      <w:r>
        <w:rPr>
          <w:rFonts w:ascii="仿宋_GB2312" w:hAnsi="仿宋_GB2312"/>
          <w:color w:val="000000" w:themeColor="text1"/>
          <w:highlight w:val="none"/>
          <w:u w:val="none"/>
          <w14:textFill>
            <w14:solidFill>
              <w14:schemeClr w14:val="tx1"/>
            </w14:solidFill>
          </w14:textFill>
        </w:rPr>
        <w:t>协商</w:t>
      </w:r>
      <w:r>
        <w:rPr>
          <w:rFonts w:hint="eastAsia" w:ascii="仿宋_GB2312" w:hAnsi="仿宋_GB2312"/>
          <w:color w:val="000000" w:themeColor="text1"/>
          <w:highlight w:val="none"/>
          <w:u w:val="none"/>
          <w:lang w:val="en-US" w:eastAsia="zh-CN"/>
          <w14:textFill>
            <w14:solidFill>
              <w14:schemeClr w14:val="tx1"/>
            </w14:solidFill>
          </w14:textFill>
        </w:rPr>
        <w:t>确定后，</w:t>
      </w:r>
      <w:r>
        <w:rPr>
          <w:rFonts w:ascii="仿宋_GB2312" w:hAnsi="仿宋_GB2312"/>
          <w:color w:val="000000" w:themeColor="text1"/>
          <w:highlight w:val="none"/>
          <w:u w:val="none"/>
          <w14:textFill>
            <w14:solidFill>
              <w14:schemeClr w14:val="tx1"/>
            </w14:solidFill>
          </w14:textFill>
        </w:rPr>
        <w:t>由其中一方按照原轮候排序</w:t>
      </w:r>
      <w:r>
        <w:rPr>
          <w:rFonts w:hint="eastAsia" w:ascii="仿宋_GB2312" w:hAnsi="仿宋_GB2312"/>
          <w:color w:val="000000" w:themeColor="text1"/>
          <w:highlight w:val="none"/>
          <w:u w:val="none"/>
          <w14:textFill>
            <w14:solidFill>
              <w14:schemeClr w14:val="tx1"/>
            </w14:solidFill>
          </w14:textFill>
        </w:rPr>
        <w:t>继续轮候</w:t>
      </w:r>
      <w:r>
        <w:rPr>
          <w:rFonts w:hint="eastAsia" w:ascii="仿宋_GB2312" w:hAnsi="仿宋_GB2312"/>
          <w:color w:val="000000" w:themeColor="text1"/>
          <w:highlight w:val="none"/>
          <w:u w:val="none"/>
          <w:lang w:eastAsia="zh-CN"/>
          <w14:textFill>
            <w14:solidFill>
              <w14:schemeClr w14:val="tx1"/>
            </w14:solidFill>
          </w14:textFill>
        </w:rPr>
        <w:t>。</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轮候排序调整</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在册轮候人发生下列变化，且符合规定条件的，其轮候排序按照以下规则处理：</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（一）因婚姻状况变化等增加配偶、未满十八周岁的子女作为共同申请人的，保留其轮候排序；</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（二）因户籍迁出本市、死亡等导致共同申请人减少的，保留其轮候排序；</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（三）增加申请人父母、申请人配偶父母、年满十八周岁的子女</w:t>
      </w:r>
      <w:r>
        <w:rPr>
          <w:rFonts w:hint="eastAsia" w:ascii="仿宋_GB2312" w:hAnsi="仿宋_GB2312"/>
          <w:color w:val="000000" w:themeColor="text1"/>
          <w:highlight w:val="none"/>
          <w:u w:val="none"/>
          <w:lang w:val="en-US" w:eastAsia="zh-CN"/>
          <w14:textFill>
            <w14:solidFill>
              <w14:schemeClr w14:val="tx1"/>
            </w14:solidFill>
          </w14:textFill>
        </w:rPr>
        <w:t>作</w:t>
      </w:r>
      <w:r>
        <w:rPr>
          <w:rFonts w:hint="eastAsia" w:ascii="仿宋_GB2312" w:hAnsi="仿宋_GB2312"/>
          <w:color w:val="000000" w:themeColor="text1"/>
          <w:highlight w:val="none"/>
          <w:u w:val="none"/>
          <w14:textFill>
            <w14:solidFill>
              <w14:schemeClr w14:val="tx1"/>
            </w14:solidFill>
          </w14:textFill>
        </w:rPr>
        <w:t>为共同申请人的，应当重新申请轮候。</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配租方案</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区主管部门应当制定项目配租方案，以通告的形式在政府网站和信息平台发布，并及时将配租方案报市主管部门备案。</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Fonts w:hint="eastAsia" w:ascii="黑体" w:hAnsi="黑体" w:eastAsia="黑体" w:cs="黑体"/>
          <w:color w:val="000000" w:themeColor="text1"/>
          <w:highlight w:val="none"/>
          <w:u w:val="none"/>
          <w14:textFill>
            <w14:solidFill>
              <w14:schemeClr w14:val="tx1"/>
            </w14:solidFill>
          </w14:textFill>
        </w:rPr>
        <w:t>选房方式</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color w:val="000000" w:themeColor="text1"/>
          <w:highlight w:val="none"/>
          <w:u w:val="none"/>
          <w14:textFill>
            <w14:solidFill>
              <w14:schemeClr w14:val="tx1"/>
            </w14:solidFill>
          </w14:textFill>
        </w:rPr>
        <w:t>公共租赁住房的配租应当遵循公开、公平和公正的原则，</w:t>
      </w:r>
      <w:r>
        <w:rPr>
          <w:rFonts w:hint="eastAsia" w:ascii="仿宋_GB2312" w:hAnsi="仿宋_GB2312" w:cs="仿宋_GB2312"/>
          <w:color w:val="000000" w:themeColor="text1"/>
          <w:szCs w:val="32"/>
          <w:highlight w:val="none"/>
          <w:u w:val="none"/>
          <w14:textFill>
            <w14:solidFill>
              <w14:schemeClr w14:val="tx1"/>
            </w14:solidFill>
          </w14:textFill>
        </w:rPr>
        <w:t>根据实际情况采取线上或者线下方式</w:t>
      </w:r>
      <w:r>
        <w:rPr>
          <w:rFonts w:hint="eastAsia" w:ascii="仿宋_GB2312"/>
          <w:color w:val="000000" w:themeColor="text1"/>
          <w:highlight w:val="none"/>
          <w:u w:val="none"/>
          <w14:textFill>
            <w14:solidFill>
              <w14:schemeClr w14:val="tx1"/>
            </w14:solidFill>
          </w14:textFill>
        </w:rPr>
        <w:t>，按照轮候排序依次自主选房、依次抽签选房或者通过计算机自动编配选房等</w:t>
      </w:r>
      <w:r>
        <w:rPr>
          <w:rFonts w:hint="eastAsia" w:ascii="仿宋_GB2312"/>
          <w:color w:val="000000" w:themeColor="text1"/>
          <w:highlight w:val="none"/>
          <w:u w:val="none"/>
          <w:lang w:eastAsia="zh-CN"/>
          <w14:textFill>
            <w14:solidFill>
              <w14:schemeClr w14:val="tx1"/>
            </w14:solidFill>
          </w14:textFill>
        </w:rPr>
        <w:t>。</w:t>
      </w:r>
      <w:r>
        <w:rPr>
          <w:rFonts w:hint="eastAsia" w:ascii="仿宋_GB2312"/>
          <w:color w:val="000000" w:themeColor="text1"/>
          <w:highlight w:val="none"/>
          <w:u w:val="none"/>
          <w14:textFill>
            <w14:solidFill>
              <w14:schemeClr w14:val="tx1"/>
            </w14:solidFill>
          </w14:textFill>
        </w:rPr>
        <w:t>具体选房方式在配租通告中载明。</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hint="eastAsia" w:ascii="仿宋_GB2312" w:hAnsi="仿宋_GB2312" w:cs="仿宋_GB2312"/>
          <w:color w:val="000000" w:themeColor="text1"/>
          <w:szCs w:val="32"/>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租金定价</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s="仿宋_GB2312"/>
          <w:color w:val="000000" w:themeColor="text1"/>
          <w:szCs w:val="32"/>
          <w:highlight w:val="none"/>
          <w:u w:val="none"/>
          <w14:textFill>
            <w14:solidFill>
              <w14:schemeClr w14:val="tx1"/>
            </w14:solidFill>
          </w14:textFill>
        </w:rPr>
        <w:t>公共租赁住房租金按照</w:t>
      </w:r>
      <w:r>
        <w:rPr>
          <w:rFonts w:hint="eastAsia" w:ascii="仿宋_GB2312" w:hAnsi="仿宋_GB2312" w:cs="仿宋_GB2312"/>
          <w:color w:val="000000" w:themeColor="text1"/>
          <w:szCs w:val="32"/>
          <w:highlight w:val="none"/>
          <w:u w:val="none"/>
          <w:lang w:val="en-US" w:eastAsia="zh-CN"/>
          <w14:textFill>
            <w14:solidFill>
              <w14:schemeClr w14:val="tx1"/>
            </w14:solidFill>
          </w14:textFill>
        </w:rPr>
        <w:t>同期同地段同品质</w:t>
      </w:r>
      <w:r>
        <w:rPr>
          <w:rFonts w:hint="eastAsia" w:ascii="仿宋_GB2312" w:hAnsi="仿宋_GB2312" w:cs="仿宋_GB2312"/>
          <w:color w:val="000000" w:themeColor="text1"/>
          <w:szCs w:val="32"/>
          <w:highlight w:val="none"/>
          <w:u w:val="none"/>
          <w14:textFill>
            <w14:solidFill>
              <w14:schemeClr w14:val="tx1"/>
            </w14:solidFill>
          </w14:textFill>
        </w:rPr>
        <w:t>市场参考租金的百分之三十左右确定，面向特困人员、最低生活保障家庭（以下简称低保家庭）、最低生活保障边缘家庭（以下简称低保边缘家庭）配租的，租金按照</w:t>
      </w:r>
      <w:r>
        <w:rPr>
          <w:rFonts w:hint="eastAsia" w:ascii="仿宋_GB2312" w:hAnsi="仿宋_GB2312" w:cs="仿宋_GB2312"/>
          <w:color w:val="000000" w:themeColor="text1"/>
          <w:szCs w:val="32"/>
          <w:highlight w:val="none"/>
          <w:u w:val="none"/>
          <w:lang w:val="en-US" w:eastAsia="zh-CN"/>
          <w14:textFill>
            <w14:solidFill>
              <w14:schemeClr w14:val="tx1"/>
            </w14:solidFill>
          </w14:textFill>
        </w:rPr>
        <w:t>同期同地段同品质</w:t>
      </w:r>
      <w:r>
        <w:rPr>
          <w:rFonts w:hint="eastAsia" w:ascii="仿宋_GB2312" w:hAnsi="仿宋_GB2312" w:cs="仿宋_GB2312"/>
          <w:color w:val="000000" w:themeColor="text1"/>
          <w:szCs w:val="32"/>
          <w:highlight w:val="none"/>
          <w:u w:val="none"/>
          <w14:textFill>
            <w14:solidFill>
              <w14:schemeClr w14:val="tx1"/>
            </w14:solidFill>
          </w14:textFill>
        </w:rPr>
        <w:t>市场参考租金的百分之三左右确定。</w:t>
      </w:r>
      <w:r>
        <w:rPr>
          <w:rFonts w:hint="eastAsia"/>
          <w:color w:val="000000" w:themeColor="text1"/>
          <w:u w:val="none"/>
          <w:lang w:val="en-US" w:eastAsia="zh-CN"/>
          <w14:textFill>
            <w14:solidFill>
              <w14:schemeClr w14:val="tx1"/>
            </w14:solidFill>
          </w14:textFill>
        </w:rPr>
        <w:t>市主管部门可以适时调整公共租赁住房租金标准，报市人民政府批准后实施。</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color w:val="000000" w:themeColor="text1"/>
          <w:highlight w:val="none"/>
          <w:u w:val="none"/>
          <w14:textFill>
            <w14:solidFill>
              <w14:schemeClr w14:val="tx1"/>
            </w14:solidFill>
          </w14:textFill>
        </w:rPr>
      </w:pPr>
      <w:r>
        <w:rPr>
          <w:rFonts w:hint="eastAsia" w:ascii="仿宋_GB2312" w:hAnsi="仿宋_GB2312" w:cs="仿宋_GB2312"/>
          <w:color w:val="000000" w:themeColor="text1"/>
          <w:szCs w:val="32"/>
          <w:highlight w:val="none"/>
          <w:u w:val="none"/>
          <w14:textFill>
            <w14:solidFill>
              <w14:schemeClr w14:val="tx1"/>
            </w14:solidFill>
          </w14:textFill>
        </w:rPr>
        <w:t>市场参考租金由市主管部门综合考虑本市经济社会发展状况、物价变动水平、房地产市场发展状况等因素确定。</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firstLineChars="200"/>
        <w:textAlignment w:val="auto"/>
        <w:outlineLvl w:val="2"/>
        <w:rPr>
          <w:rFonts w:ascii="仿宋_GB2312" w:hAns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配租面积标准</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公共租赁住房配租建筑面积按照以下</w:t>
      </w:r>
      <w:r>
        <w:rPr>
          <w:rFonts w:hint="eastAsia" w:ascii="仿宋_GB2312" w:hAnsi="仿宋_GB2312"/>
          <w:color w:val="000000" w:themeColor="text1"/>
          <w:highlight w:val="none"/>
          <w:u w:val="none"/>
          <w:lang w:val="en-US" w:eastAsia="zh-CN"/>
          <w14:textFill>
            <w14:solidFill>
              <w14:schemeClr w14:val="tx1"/>
            </w14:solidFill>
          </w14:textFill>
        </w:rPr>
        <w:t>标准</w:t>
      </w:r>
      <w:r>
        <w:rPr>
          <w:rFonts w:hint="eastAsia" w:ascii="仿宋_GB2312" w:hAnsi="仿宋_GB2312"/>
          <w:color w:val="000000" w:themeColor="text1"/>
          <w:highlight w:val="none"/>
          <w:u w:val="none"/>
          <w14:textFill>
            <w14:solidFill>
              <w14:schemeClr w14:val="tx1"/>
            </w14:solidFill>
          </w14:textFill>
        </w:rPr>
        <w:t>确定：</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（一）单身居民配租建筑面积</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不超过三十五平方米为主；</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（二）两人家庭配租建筑面积</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不超过五十平方米为主；</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（三）三人以上家庭配租建筑面积</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不超过六十平方米为主。</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hint="eastAsia" w:ascii="仿宋_GB2312" w:hAnsi="仿宋_GB2312" w:eastAsia="仿宋_GB2312"/>
          <w:color w:val="000000" w:themeColor="text1"/>
          <w:highlight w:val="none"/>
          <w:u w:val="none"/>
          <w:lang w:eastAsia="zh-CN"/>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建筑面积超过七十平方米的房源，</w:t>
      </w:r>
      <w:r>
        <w:rPr>
          <w:rFonts w:hint="eastAsia" w:ascii="仿宋_GB2312" w:hAnsi="仿宋_GB2312"/>
          <w:color w:val="000000" w:themeColor="text1"/>
          <w:highlight w:val="none"/>
          <w:u w:val="none"/>
          <w:lang w:val="en-US" w:eastAsia="zh-CN"/>
          <w14:textFill>
            <w14:solidFill>
              <w14:schemeClr w14:val="tx1"/>
            </w14:solidFill>
          </w14:textFill>
        </w:rPr>
        <w:t>优先</w:t>
      </w:r>
      <w:r>
        <w:rPr>
          <w:rFonts w:hint="eastAsia" w:ascii="仿宋_GB2312" w:hAnsi="仿宋_GB2312"/>
          <w:color w:val="000000" w:themeColor="text1"/>
          <w:highlight w:val="none"/>
          <w:u w:val="none"/>
          <w14:textFill>
            <w14:solidFill>
              <w14:schemeClr w14:val="tx1"/>
            </w14:solidFill>
          </w14:textFill>
        </w:rPr>
        <w:t>面向五人以上家庭配租，根据供需情况也可以面向四人家庭配租</w:t>
      </w:r>
      <w:r>
        <w:rPr>
          <w:rFonts w:hint="eastAsia" w:ascii="仿宋_GB2312" w:hAnsi="仿宋_GB2312"/>
          <w:color w:val="000000" w:themeColor="text1"/>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hint="eastAsia"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lang w:val="en-US" w:eastAsia="zh-CN"/>
          <w14:textFill>
            <w14:solidFill>
              <w14:schemeClr w14:val="tx1"/>
            </w14:solidFill>
          </w14:textFill>
        </w:rPr>
        <w:t>区主管部门</w:t>
      </w:r>
      <w:r>
        <w:rPr>
          <w:rFonts w:hint="eastAsia" w:ascii="仿宋_GB2312" w:hAnsi="仿宋_GB2312"/>
          <w:color w:val="000000" w:themeColor="text1"/>
          <w:highlight w:val="none"/>
          <w:u w:val="none"/>
          <w14:textFill>
            <w14:solidFill>
              <w14:schemeClr w14:val="tx1"/>
            </w14:solidFill>
          </w14:textFill>
        </w:rPr>
        <w:t>可</w:t>
      </w:r>
      <w:r>
        <w:rPr>
          <w:rFonts w:hint="eastAsia" w:ascii="仿宋_GB2312" w:hAnsi="仿宋_GB2312"/>
          <w:color w:val="000000" w:themeColor="text1"/>
          <w:highlight w:val="none"/>
          <w:u w:val="none"/>
          <w:lang w:val="en-US" w:eastAsia="zh-CN"/>
          <w14:textFill>
            <w14:solidFill>
              <w14:schemeClr w14:val="tx1"/>
            </w14:solidFill>
          </w14:textFill>
        </w:rPr>
        <w:t>以结合配租房源情况，对有三个以上</w:t>
      </w:r>
      <w:r>
        <w:rPr>
          <w:rFonts w:hint="eastAsia" w:ascii="仿宋_GB2312" w:hAnsi="仿宋_GB2312"/>
          <w:color w:val="000000" w:themeColor="text1"/>
          <w:highlight w:val="none"/>
          <w:u w:val="none"/>
          <w:lang w:eastAsia="zh-CN"/>
          <w14:textFill>
            <w14:solidFill>
              <w14:schemeClr w14:val="tx1"/>
            </w14:solidFill>
          </w14:textFill>
        </w:rPr>
        <w:t>未满十八周岁子女</w:t>
      </w:r>
      <w:r>
        <w:rPr>
          <w:rFonts w:hint="eastAsia" w:ascii="仿宋_GB2312" w:hAnsi="仿宋_GB2312"/>
          <w:color w:val="000000" w:themeColor="text1"/>
          <w:highlight w:val="none"/>
          <w:u w:val="none"/>
          <w14:textFill>
            <w14:solidFill>
              <w14:schemeClr w14:val="tx1"/>
            </w14:solidFill>
          </w14:textFill>
        </w:rPr>
        <w:t>的家庭在户型选择方面给予适当照顾</w:t>
      </w:r>
      <w:r>
        <w:rPr>
          <w:rFonts w:hint="eastAsia" w:ascii="仿宋_GB2312" w:hAnsi="仿宋_GB2312"/>
          <w:color w:val="000000" w:themeColor="text1"/>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申请人配偶具有本市户籍或者持有本市有效居住证的，享受配租面积；申请人配偶为现役军人或者年满六十周岁以上，以及未满十八周岁的子女享受配租面积，不受户籍或者居住证限制。</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家庭人口数按照符合条件的申请人和共同申请人的总人数予以确定。经卫生健康部门认定的</w:t>
      </w:r>
      <w:r>
        <w:rPr>
          <w:rFonts w:ascii="仿宋_GB2312" w:hAnsi="仿宋_GB2312"/>
          <w:color w:val="000000" w:themeColor="text1"/>
          <w:highlight w:val="none"/>
          <w:u w:val="none"/>
          <w14:textFill>
            <w14:solidFill>
              <w14:schemeClr w14:val="tx1"/>
            </w14:solidFill>
          </w14:textFill>
        </w:rPr>
        <w:t>失独家庭</w:t>
      </w:r>
      <w:r>
        <w:rPr>
          <w:rFonts w:hint="eastAsia" w:ascii="仿宋_GB2312" w:hAnsi="仿宋_GB2312"/>
          <w:color w:val="000000" w:themeColor="text1"/>
          <w:highlight w:val="none"/>
          <w:u w:val="none"/>
          <w14:textFill>
            <w14:solidFill>
              <w14:schemeClr w14:val="tx1"/>
            </w14:solidFill>
          </w14:textFill>
        </w:rPr>
        <w:t>，按照其失独前的家庭人口数确定配租建筑面积。</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在册轮候人自愿认租低于其家庭人口数对应</w:t>
      </w:r>
      <w:r>
        <w:rPr>
          <w:rFonts w:hint="eastAsia" w:ascii="仿宋_GB2312" w:hAnsi="仿宋_GB2312"/>
          <w:color w:val="000000" w:themeColor="text1"/>
          <w:highlight w:val="none"/>
          <w:u w:val="none"/>
          <w:lang w:val="en-US" w:eastAsia="zh-CN"/>
          <w14:textFill>
            <w14:solidFill>
              <w14:schemeClr w14:val="tx1"/>
            </w14:solidFill>
          </w14:textFill>
        </w:rPr>
        <w:t>建筑</w:t>
      </w:r>
      <w:r>
        <w:rPr>
          <w:rFonts w:hint="eastAsia" w:ascii="仿宋_GB2312" w:hAnsi="仿宋_GB2312"/>
          <w:color w:val="000000" w:themeColor="text1"/>
          <w:highlight w:val="none"/>
          <w:u w:val="none"/>
          <w14:textFill>
            <w14:solidFill>
              <w14:schemeClr w14:val="tx1"/>
            </w14:solidFill>
          </w14:textFill>
        </w:rPr>
        <w:t>面积标准住房的，低于</w:t>
      </w:r>
      <w:r>
        <w:rPr>
          <w:rFonts w:hint="eastAsia" w:ascii="仿宋_GB2312" w:hAnsi="仿宋_GB2312"/>
          <w:color w:val="000000" w:themeColor="text1"/>
          <w:highlight w:val="none"/>
          <w:u w:val="none"/>
          <w:lang w:val="en-US" w:eastAsia="zh-CN"/>
          <w14:textFill>
            <w14:solidFill>
              <w14:schemeClr w14:val="tx1"/>
            </w14:solidFill>
          </w14:textFill>
        </w:rPr>
        <w:t>建筑</w:t>
      </w:r>
      <w:r>
        <w:rPr>
          <w:rFonts w:hint="eastAsia" w:ascii="仿宋_GB2312" w:hAnsi="仿宋_GB2312"/>
          <w:color w:val="000000" w:themeColor="text1"/>
          <w:highlight w:val="none"/>
          <w:u w:val="none"/>
          <w14:textFill>
            <w14:solidFill>
              <w14:schemeClr w14:val="tx1"/>
            </w14:solidFill>
          </w14:textFill>
        </w:rPr>
        <w:t>面积标准部分不予补偿。</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认租申请流程</w:t>
      </w:r>
      <w:r>
        <w:rPr>
          <w:rFonts w:hint="eastAsia" w:ascii="仿宋_GB2312" w:hAnsi="黑体" w:cs="黑体"/>
          <w:color w:val="000000" w:themeColor="text1"/>
          <w:highlight w:val="none"/>
          <w:u w:val="none"/>
          <w14:textFill>
            <w14:solidFill>
              <w14:schemeClr w14:val="tx1"/>
            </w14:solidFill>
          </w14:textFill>
        </w:rPr>
        <w:t>】</w:t>
      </w:r>
      <w:r>
        <w:rPr>
          <w:rFonts w:hint="eastAsia" w:ascii="仿宋_GB2312" w:hAnsi="黑体" w:cs="黑体"/>
          <w:color w:val="000000" w:themeColor="text1"/>
          <w:highlight w:val="none"/>
          <w:u w:val="none"/>
          <w:lang w:val="en-US" w:eastAsia="zh-CN"/>
          <w14:textFill>
            <w14:solidFill>
              <w14:schemeClr w14:val="tx1"/>
            </w14:solidFill>
          </w14:textFill>
        </w:rPr>
        <w:t xml:space="preserve">  </w:t>
      </w:r>
      <w:r>
        <w:rPr>
          <w:rFonts w:hint="eastAsia" w:ascii="仿宋_GB2312"/>
          <w:color w:val="000000" w:themeColor="text1"/>
          <w:highlight w:val="none"/>
          <w:u w:val="none"/>
          <w14:textFill>
            <w14:solidFill>
              <w14:schemeClr w14:val="tx1"/>
            </w14:solidFill>
          </w14:textFill>
        </w:rPr>
        <w:t>公共租赁住房面向在册轮候人配租，按照下列程序进行：</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w:t>
      </w:r>
      <w:r>
        <w:rPr>
          <w:rFonts w:hint="eastAsia" w:ascii="仿宋_GB2312" w:hAnsi="仿宋_GB2312" w:cs="仿宋_GB2312"/>
          <w:color w:val="000000" w:themeColor="text1"/>
          <w:szCs w:val="32"/>
          <w:highlight w:val="none"/>
          <w:u w:val="none"/>
          <w14:textFill>
            <w14:solidFill>
              <w14:schemeClr w14:val="tx1"/>
            </w14:solidFill>
          </w14:textFill>
        </w:rPr>
        <w:t>在政府网站和信息平台发布公共租赁住房配租通告；</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textAlignment w:val="auto"/>
        <w:rPr>
          <w:rFonts w:ascii="仿宋_GB2312" w:hAnsi="仿宋_GB2312" w:cs="仿宋_GB2312"/>
          <w:color w:val="000000" w:themeColor="text1"/>
          <w:szCs w:val="32"/>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（二）在册轮候人按照配租通告的要求，</w:t>
      </w:r>
      <w:r>
        <w:rPr>
          <w:rFonts w:hint="eastAsia" w:ascii="仿宋_GB2312" w:hAnsi="仿宋_GB2312" w:cs="仿宋_GB2312"/>
          <w:color w:val="000000" w:themeColor="text1"/>
          <w:szCs w:val="32"/>
          <w:highlight w:val="none"/>
          <w:u w:val="none"/>
          <w14:textFill>
            <w14:solidFill>
              <w14:schemeClr w14:val="tx1"/>
            </w14:solidFill>
          </w14:textFill>
        </w:rPr>
        <w:t>提交认租申请，并</w:t>
      </w:r>
      <w:r>
        <w:rPr>
          <w:rFonts w:hint="eastAsia" w:ascii="仿宋_GB2312"/>
          <w:bCs/>
          <w:color w:val="000000" w:themeColor="text1"/>
          <w:szCs w:val="32"/>
          <w:highlight w:val="none"/>
          <w:u w:val="none"/>
          <w14:textFill>
            <w14:solidFill>
              <w14:schemeClr w14:val="tx1"/>
            </w14:solidFill>
          </w14:textFill>
        </w:rPr>
        <w:t>签署诚信申报声明</w:t>
      </w:r>
      <w:r>
        <w:rPr>
          <w:rFonts w:hint="eastAsia" w:ascii="仿宋_GB2312" w:hAnsi="仿宋_GB2312" w:cs="仿宋_GB2312"/>
          <w:color w:val="000000" w:themeColor="text1"/>
          <w:szCs w:val="32"/>
          <w:highlight w:val="none"/>
          <w:u w:val="none"/>
          <w14:textFill>
            <w14:solidFill>
              <w14:schemeClr w14:val="tx1"/>
            </w14:solidFill>
          </w14:textFill>
        </w:rPr>
        <w:t>；</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firstLineChars="20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s="仿宋_GB2312"/>
          <w:color w:val="000000" w:themeColor="text1"/>
          <w:szCs w:val="32"/>
          <w:highlight w:val="none"/>
          <w:u w:val="none"/>
          <w14:textFill>
            <w14:solidFill>
              <w14:schemeClr w14:val="tx1"/>
            </w14:solidFill>
          </w14:textFill>
        </w:rPr>
        <w:t>（三）</w:t>
      </w:r>
      <w:r>
        <w:rPr>
          <w:rFonts w:hint="eastAsia" w:ascii="仿宋_GB2312" w:hAnsi="仿宋_GB2312"/>
          <w:color w:val="000000" w:themeColor="text1"/>
          <w:highlight w:val="none"/>
          <w:u w:val="none"/>
          <w14:textFill>
            <w14:solidFill>
              <w14:schemeClr w14:val="tx1"/>
            </w14:solidFill>
          </w14:textFill>
        </w:rPr>
        <w:t>区主管部门按照配租通告确定的规则，会同相关部门进行资格审核，审核结果在政府网站和信息平台公示五个工作日，公示期满无异议或者异议不成立的，确定选房入围名单；</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s="仿宋_GB2312"/>
          <w:color w:val="000000" w:themeColor="text1"/>
          <w:szCs w:val="32"/>
          <w:highlight w:val="none"/>
          <w:u w:val="none"/>
          <w14:textFill>
            <w14:solidFill>
              <w14:schemeClr w14:val="tx1"/>
            </w14:solidFill>
          </w14:textFill>
        </w:rPr>
      </w:pPr>
      <w:r>
        <w:rPr>
          <w:rFonts w:hint="eastAsia" w:ascii="仿宋_GB2312" w:hAnsi="仿宋_GB2312" w:cs="仿宋_GB2312"/>
          <w:color w:val="000000" w:themeColor="text1"/>
          <w:szCs w:val="32"/>
          <w:highlight w:val="none"/>
          <w:u w:val="none"/>
          <w14:textFill>
            <w14:solidFill>
              <w14:schemeClr w14:val="tx1"/>
            </w14:solidFill>
          </w14:textFill>
        </w:rPr>
        <w:t>（四）</w:t>
      </w:r>
      <w:r>
        <w:rPr>
          <w:rFonts w:hint="eastAsia" w:ascii="仿宋_GB2312" w:hAnsi="仿宋_GB2312"/>
          <w:color w:val="000000" w:themeColor="text1"/>
          <w:highlight w:val="none"/>
          <w:u w:val="none"/>
          <w14:textFill>
            <w14:solidFill>
              <w14:schemeClr w14:val="tx1"/>
            </w14:solidFill>
          </w14:textFill>
        </w:rPr>
        <w:t>选房入围名单内的认租申请家庭</w:t>
      </w:r>
      <w:r>
        <w:rPr>
          <w:rFonts w:ascii="仿宋_GB2312" w:hAnsi="仿宋_GB2312" w:cs="仿宋_GB2312"/>
          <w:color w:val="000000" w:themeColor="text1"/>
          <w:szCs w:val="32"/>
          <w:highlight w:val="none"/>
          <w:u w:val="none"/>
          <w14:textFill>
            <w14:solidFill>
              <w14:schemeClr w14:val="tx1"/>
            </w14:solidFill>
          </w14:textFill>
        </w:rPr>
        <w:t>按照配</w:t>
      </w:r>
      <w:r>
        <w:rPr>
          <w:rFonts w:hint="eastAsia" w:ascii="仿宋_GB2312" w:hAnsi="仿宋_GB2312" w:cs="仿宋_GB2312"/>
          <w:color w:val="000000" w:themeColor="text1"/>
          <w:szCs w:val="32"/>
          <w:highlight w:val="none"/>
          <w:u w:val="none"/>
          <w14:textFill>
            <w14:solidFill>
              <w14:schemeClr w14:val="tx1"/>
            </w14:solidFill>
          </w14:textFill>
        </w:rPr>
        <w:t>租</w:t>
      </w:r>
      <w:r>
        <w:rPr>
          <w:rFonts w:ascii="仿宋_GB2312" w:hAnsi="仿宋_GB2312" w:cs="仿宋_GB2312"/>
          <w:color w:val="000000" w:themeColor="text1"/>
          <w:szCs w:val="32"/>
          <w:highlight w:val="none"/>
          <w:u w:val="none"/>
          <w14:textFill>
            <w14:solidFill>
              <w14:schemeClr w14:val="tx1"/>
            </w14:solidFill>
          </w14:textFill>
        </w:rPr>
        <w:t>通告</w:t>
      </w:r>
      <w:r>
        <w:rPr>
          <w:rFonts w:hint="eastAsia" w:ascii="仿宋_GB2312" w:hAnsi="仿宋_GB2312" w:cs="仿宋_GB2312"/>
          <w:color w:val="000000" w:themeColor="text1"/>
          <w:szCs w:val="32"/>
          <w:highlight w:val="none"/>
          <w:u w:val="none"/>
          <w14:textFill>
            <w14:solidFill>
              <w14:schemeClr w14:val="tx1"/>
            </w14:solidFill>
          </w14:textFill>
        </w:rPr>
        <w:t>确定的规则排序，分为入围申请家庭以及候补入围申请家庭。入围申请家庭按照确定的排序选房，放弃选房的，排序在后的依次递补；</w:t>
      </w:r>
    </w:p>
    <w:p>
      <w:pPr>
        <w:keepNext w:val="0"/>
        <w:keepLines w:val="0"/>
        <w:pageBreakBefore w:val="0"/>
        <w:widowControl w:val="0"/>
        <w:numPr>
          <w:ilvl w:val="255"/>
          <w:numId w:val="0"/>
        </w:numPr>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s="仿宋_GB2312"/>
          <w:color w:val="000000" w:themeColor="text1"/>
          <w:szCs w:val="32"/>
          <w:highlight w:val="none"/>
          <w:u w:val="none"/>
          <w14:textFill>
            <w14:solidFill>
              <w14:schemeClr w14:val="tx1"/>
            </w14:solidFill>
          </w14:textFill>
        </w:rPr>
        <w:t>（五）选定住房后，</w:t>
      </w:r>
      <w:r>
        <w:rPr>
          <w:rFonts w:hint="eastAsia" w:ascii="仿宋_GB2312" w:hAnsi="仿宋_GB2312"/>
          <w:color w:val="000000" w:themeColor="text1"/>
          <w:highlight w:val="none"/>
          <w:u w:val="none"/>
          <w14:textFill>
            <w14:solidFill>
              <w14:schemeClr w14:val="tx1"/>
            </w14:solidFill>
          </w14:textFill>
        </w:rPr>
        <w:t>认租申请家庭</w:t>
      </w:r>
      <w:r>
        <w:rPr>
          <w:rFonts w:ascii="仿宋_GB2312" w:hAnsi="仿宋_GB2312" w:cs="仿宋_GB2312"/>
          <w:color w:val="000000" w:themeColor="text1"/>
          <w:szCs w:val="32"/>
          <w:highlight w:val="none"/>
          <w:u w:val="none"/>
          <w14:textFill>
            <w14:solidFill>
              <w14:schemeClr w14:val="tx1"/>
            </w14:solidFill>
          </w14:textFill>
        </w:rPr>
        <w:t>应当在规定时间内</w:t>
      </w:r>
      <w:r>
        <w:rPr>
          <w:rFonts w:hint="eastAsia" w:ascii="仿宋_GB2312" w:hAnsi="仿宋_GB2312"/>
          <w:color w:val="000000" w:themeColor="text1"/>
          <w:highlight w:val="none"/>
          <w:u w:val="none"/>
          <w14:textFill>
            <w14:solidFill>
              <w14:schemeClr w14:val="tx1"/>
            </w14:solidFill>
          </w14:textFill>
        </w:rPr>
        <w:t>与产权单位或者运营管理单位签订租赁合同，合同期限不超过三年。</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认租申请家庭已承租政府以外其他主体出租的保障性租赁住房或者符合本办法第二十九条第一款规定情形的，应当在新签订租赁合同后的规定期限内退出原承租住房。</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优先配租</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color w:val="000000" w:themeColor="text1"/>
          <w:highlight w:val="none"/>
          <w:u w:val="none"/>
          <w14:textFill>
            <w14:solidFill>
              <w14:schemeClr w14:val="tx1"/>
            </w14:solidFill>
          </w14:textFill>
        </w:rPr>
        <w:t>经</w:t>
      </w:r>
      <w:r>
        <w:rPr>
          <w:rFonts w:hint="eastAsia" w:ascii="仿宋_GB2312" w:hAnsi="仿宋_GB2312"/>
          <w:color w:val="000000" w:themeColor="text1"/>
          <w:highlight w:val="none"/>
          <w:u w:val="none"/>
          <w14:textFill>
            <w14:solidFill>
              <w14:schemeClr w14:val="tx1"/>
            </w14:solidFill>
          </w14:textFill>
        </w:rPr>
        <w:t>认定属于特困人员、低保及低保边缘家庭的，区主管部门应当予以优先配租，或者通过住房租赁补贴应保尽保。</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特殊家庭</w:t>
      </w:r>
      <w:r>
        <w:rPr>
          <w:rFonts w:hint="eastAsia" w:ascii="仿宋_GB2312" w:hAnsi="仿宋_GB2312"/>
          <w:color w:val="000000" w:themeColor="text1"/>
          <w:highlight w:val="none"/>
          <w:u w:val="none"/>
          <w:lang w:val="en-US" w:eastAsia="zh-CN"/>
          <w14:textFill>
            <w14:solidFill>
              <w14:schemeClr w14:val="tx1"/>
            </w14:solidFill>
          </w14:textFill>
        </w:rPr>
        <w:t>和有</w:t>
      </w:r>
      <w:r>
        <w:rPr>
          <w:rFonts w:hint="eastAsia" w:ascii="仿宋_GB2312" w:hAnsi="仿宋_GB2312"/>
          <w:color w:val="000000" w:themeColor="text1"/>
          <w:highlight w:val="none"/>
          <w:u w:val="none"/>
          <w14:textFill>
            <w14:solidFill>
              <w14:schemeClr w14:val="tx1"/>
            </w14:solidFill>
          </w14:textFill>
        </w:rPr>
        <w:t>三个以上</w:t>
      </w:r>
      <w:r>
        <w:rPr>
          <w:rFonts w:hint="eastAsia" w:ascii="仿宋_GB2312" w:hAnsi="仿宋_GB2312"/>
          <w:color w:val="000000" w:themeColor="text1"/>
          <w:highlight w:val="none"/>
          <w:u w:val="none"/>
          <w:lang w:val="en-US" w:eastAsia="zh-CN"/>
          <w14:textFill>
            <w14:solidFill>
              <w14:schemeClr w14:val="tx1"/>
            </w14:solidFill>
          </w14:textFill>
        </w:rPr>
        <w:t>未满十八周岁</w:t>
      </w:r>
      <w:r>
        <w:rPr>
          <w:rFonts w:hint="eastAsia" w:ascii="仿宋_GB2312" w:hAnsi="仿宋_GB2312"/>
          <w:color w:val="000000" w:themeColor="text1"/>
          <w:highlight w:val="none"/>
          <w:u w:val="none"/>
          <w14:textFill>
            <w14:solidFill>
              <w14:schemeClr w14:val="tx1"/>
            </w14:solidFill>
          </w14:textFill>
        </w:rPr>
        <w:t>子女的家庭进入选房入围名单的，区主管部门应当在同等条件下安排优先选房。</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黑体" w:hAnsi="黑体" w:eastAsia="黑体" w:cs="黑体"/>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区主管部门可以根据房源情况分批安排一定数量的房源</w:t>
      </w:r>
      <w:bookmarkStart w:id="8" w:name="_Hlk22641729"/>
      <w:r>
        <w:rPr>
          <w:rFonts w:hint="eastAsia" w:ascii="仿宋_GB2312" w:hAnsi="仿宋_GB2312"/>
          <w:color w:val="000000" w:themeColor="text1"/>
          <w:highlight w:val="none"/>
          <w:u w:val="none"/>
          <w14:textFill>
            <w14:solidFill>
              <w14:schemeClr w14:val="tx1"/>
            </w14:solidFill>
          </w14:textFill>
        </w:rPr>
        <w:t>面向在册轮候人中的烈士遗属、</w:t>
      </w:r>
      <w:bookmarkEnd w:id="8"/>
      <w:r>
        <w:rPr>
          <w:rFonts w:hint="eastAsia" w:ascii="仿宋_GB2312" w:hAnsi="仿宋_GB2312"/>
          <w:color w:val="000000" w:themeColor="text1"/>
          <w:highlight w:val="none"/>
          <w:u w:val="none"/>
          <w14:textFill>
            <w14:solidFill>
              <w14:schemeClr w14:val="tx1"/>
            </w14:solidFill>
          </w14:textFill>
        </w:rPr>
        <w:t>抚恤定补优抚对象和残疾人优先配租；具备条件的，区主管部门也可以安排一定数量的房源面向在册轮候人中的其他特殊家庭</w:t>
      </w:r>
      <w:r>
        <w:rPr>
          <w:rFonts w:hint="eastAsia" w:ascii="仿宋_GB2312" w:hAnsi="仿宋_GB2312"/>
          <w:color w:val="000000" w:themeColor="text1"/>
          <w:highlight w:val="none"/>
          <w:u w:val="none"/>
          <w:lang w:eastAsia="zh-CN"/>
          <w14:textFill>
            <w14:solidFill>
              <w14:schemeClr w14:val="tx1"/>
            </w14:solidFill>
          </w14:textFill>
        </w:rPr>
        <w:t>、</w:t>
      </w:r>
      <w:r>
        <w:rPr>
          <w:rFonts w:hint="eastAsia" w:ascii="仿宋_GB2312" w:hAnsi="仿宋_GB2312"/>
          <w:color w:val="000000" w:themeColor="text1"/>
          <w:highlight w:val="none"/>
          <w:u w:val="none"/>
          <w:lang w:val="en-US" w:eastAsia="zh-CN"/>
          <w14:textFill>
            <w14:solidFill>
              <w14:schemeClr w14:val="tx1"/>
            </w14:solidFill>
          </w14:textFill>
        </w:rPr>
        <w:t>有</w:t>
      </w:r>
      <w:r>
        <w:rPr>
          <w:rFonts w:hint="eastAsia" w:ascii="仿宋_GB2312" w:hAnsi="仿宋_GB2312"/>
          <w:color w:val="000000" w:themeColor="text1"/>
          <w:highlight w:val="none"/>
          <w:u w:val="none"/>
          <w14:textFill>
            <w14:solidFill>
              <w14:schemeClr w14:val="tx1"/>
            </w14:solidFill>
          </w14:textFill>
        </w:rPr>
        <w:t>三个以上</w:t>
      </w:r>
      <w:r>
        <w:rPr>
          <w:rFonts w:hint="eastAsia" w:ascii="仿宋_GB2312" w:hAnsi="仿宋_GB2312"/>
          <w:color w:val="000000" w:themeColor="text1"/>
          <w:highlight w:val="none"/>
          <w:u w:val="none"/>
          <w:lang w:val="en-US" w:eastAsia="zh-CN"/>
          <w14:textFill>
            <w14:solidFill>
              <w14:schemeClr w14:val="tx1"/>
            </w14:solidFill>
          </w14:textFill>
        </w:rPr>
        <w:t>未满十八周岁</w:t>
      </w:r>
      <w:r>
        <w:rPr>
          <w:rFonts w:hint="eastAsia" w:ascii="仿宋_GB2312" w:hAnsi="仿宋_GB2312"/>
          <w:color w:val="000000" w:themeColor="text1"/>
          <w:highlight w:val="none"/>
          <w:u w:val="none"/>
          <w14:textFill>
            <w14:solidFill>
              <w14:schemeClr w14:val="tx1"/>
            </w14:solidFill>
          </w14:textFill>
        </w:rPr>
        <w:t>子女的家庭优先配租。</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黑体" w:hAnsi="黑体" w:eastAsia="黑体" w:cs="黑体"/>
          <w:color w:val="000000" w:themeColor="text1"/>
          <w:highlight w:val="none"/>
          <w:u w:val="none"/>
          <w14:textFill>
            <w14:solidFill>
              <w14:schemeClr w14:val="tx1"/>
            </w14:solidFill>
          </w14:textFill>
        </w:rPr>
        <w:t>【退出轮候册】</w:t>
      </w:r>
      <w:r>
        <w:rPr>
          <w:rFonts w:hint="eastAsia" w:ascii="黑体" w:hAnsi="黑体" w:eastAsia="黑体" w:cs="黑体"/>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在册轮候人有下列情形之一，应当退出公共租赁住房轮候册：</w:t>
      </w:r>
    </w:p>
    <w:p>
      <w:pPr>
        <w:pStyle w:val="2"/>
        <w:keepNext w:val="0"/>
        <w:keepLines w:val="0"/>
        <w:pageBreakBefore w:val="0"/>
        <w:widowControl w:val="0"/>
        <w:kinsoku/>
        <w:wordWrap/>
        <w:overflowPunct/>
        <w:topLinePunct w:val="0"/>
        <w:autoSpaceDE/>
        <w:autoSpaceDN/>
        <w:bidi w:val="0"/>
        <w:spacing w:after="0"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（一）选房排序到位但未选定住房或者选定</w:t>
      </w:r>
      <w:r>
        <w:rPr>
          <w:rFonts w:hint="eastAsia" w:ascii="仿宋_GB2312" w:hAnsi="仿宋_GB2312"/>
          <w:color w:val="000000" w:themeColor="text1"/>
          <w:highlight w:val="none"/>
          <w:u w:val="none"/>
          <w:lang w:val="en-US" w:eastAsia="zh-CN"/>
          <w14:textFill>
            <w14:solidFill>
              <w14:schemeClr w14:val="tx1"/>
            </w14:solidFill>
          </w14:textFill>
        </w:rPr>
        <w:t>住</w:t>
      </w:r>
      <w:r>
        <w:rPr>
          <w:rFonts w:hint="eastAsia" w:ascii="仿宋_GB2312" w:hAnsi="仿宋_GB2312"/>
          <w:color w:val="000000" w:themeColor="text1"/>
          <w:highlight w:val="none"/>
          <w:u w:val="none"/>
          <w14:textFill>
            <w14:solidFill>
              <w14:schemeClr w14:val="tx1"/>
            </w14:solidFill>
          </w14:textFill>
        </w:rPr>
        <w:t>房后未在规定时间内签订租赁合同</w:t>
      </w:r>
      <w:r>
        <w:rPr>
          <w:rFonts w:hint="eastAsia" w:ascii="仿宋_GB2312" w:hAnsi="仿宋_GB2312"/>
          <w:color w:val="000000" w:themeColor="text1"/>
          <w:highlight w:val="none"/>
          <w:u w:val="none"/>
          <w:lang w:eastAsia="zh-CN"/>
          <w14:textFill>
            <w14:solidFill>
              <w14:schemeClr w14:val="tx1"/>
            </w14:solidFill>
          </w14:textFill>
        </w:rPr>
        <w:t>，</w:t>
      </w:r>
      <w:r>
        <w:rPr>
          <w:rFonts w:hint="eastAsia" w:ascii="仿宋_GB2312" w:hAnsi="仿宋_GB2312"/>
          <w:color w:val="000000" w:themeColor="text1"/>
          <w:highlight w:val="none"/>
          <w:u w:val="none"/>
          <w14:textFill>
            <w14:solidFill>
              <w14:schemeClr w14:val="tx1"/>
            </w14:solidFill>
          </w14:textFill>
        </w:rPr>
        <w:t>累计两次；</w:t>
      </w:r>
    </w:p>
    <w:p>
      <w:pPr>
        <w:pStyle w:val="2"/>
        <w:keepNext w:val="0"/>
        <w:keepLines w:val="0"/>
        <w:pageBreakBefore w:val="0"/>
        <w:widowControl w:val="0"/>
        <w:kinsoku/>
        <w:wordWrap/>
        <w:overflowPunct/>
        <w:topLinePunct w:val="0"/>
        <w:autoSpaceDE/>
        <w:autoSpaceDN/>
        <w:bidi w:val="0"/>
        <w:spacing w:after="0"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w:t>
      </w:r>
      <w:r>
        <w:rPr>
          <w:rFonts w:hint="eastAsia" w:ascii="仿宋_GB2312" w:hAnsi="仿宋_GB2312"/>
          <w:color w:val="000000" w:themeColor="text1"/>
          <w:highlight w:val="none"/>
          <w:u w:val="none"/>
          <w:lang w:val="en-US" w:eastAsia="zh-CN"/>
          <w14:textFill>
            <w14:solidFill>
              <w14:schemeClr w14:val="tx1"/>
            </w14:solidFill>
          </w14:textFill>
        </w:rPr>
        <w:t>已</w:t>
      </w:r>
      <w:r>
        <w:rPr>
          <w:rFonts w:hint="eastAsia" w:ascii="仿宋_GB2312" w:hAnsi="仿宋_GB2312"/>
          <w:color w:val="000000" w:themeColor="text1"/>
          <w:highlight w:val="none"/>
          <w:u w:val="none"/>
          <w14:textFill>
            <w14:solidFill>
              <w14:schemeClr w14:val="tx1"/>
            </w14:solidFill>
          </w14:textFill>
        </w:rPr>
        <w:t>签订公共租赁住房租赁合同；</w:t>
      </w:r>
    </w:p>
    <w:p>
      <w:pPr>
        <w:pStyle w:val="2"/>
        <w:keepNext w:val="0"/>
        <w:keepLines w:val="0"/>
        <w:pageBreakBefore w:val="0"/>
        <w:widowControl w:val="0"/>
        <w:kinsoku/>
        <w:wordWrap/>
        <w:overflowPunct/>
        <w:topLinePunct w:val="0"/>
        <w:autoSpaceDE/>
        <w:autoSpaceDN/>
        <w:bidi w:val="0"/>
        <w:spacing w:after="0"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（三）连续三年未提出认租申请；</w:t>
      </w:r>
    </w:p>
    <w:p>
      <w:pPr>
        <w:pStyle w:val="2"/>
        <w:keepNext w:val="0"/>
        <w:keepLines w:val="0"/>
        <w:pageBreakBefore w:val="0"/>
        <w:widowControl w:val="0"/>
        <w:numPr>
          <w:ilvl w:val="255"/>
          <w:numId w:val="0"/>
        </w:numPr>
        <w:kinsoku/>
        <w:wordWrap/>
        <w:overflowPunct/>
        <w:topLinePunct w:val="0"/>
        <w:autoSpaceDE/>
        <w:autoSpaceDN/>
        <w:bidi w:val="0"/>
        <w:spacing w:after="0" w:line="578" w:lineRule="exact"/>
        <w:ind w:left="0" w:leftChars="0" w:firstLine="640" w:firstLineChars="20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（四）法律、法规、规章和市政府规定的其他情形。</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hAnsi="仿宋_GB2312"/>
          <w:color w:val="000000" w:themeColor="text1"/>
          <w:highlight w:val="none"/>
          <w:u w:val="none"/>
          <w14:textFill>
            <w14:solidFill>
              <w14:schemeClr w14:val="tx1"/>
            </w14:solidFill>
          </w14:textFill>
        </w:rPr>
      </w:pPr>
      <w:r>
        <w:rPr>
          <w:rStyle w:val="11"/>
          <w:rFonts w:hint="eastAsia" w:ascii="黑体" w:hAnsi="黑体"/>
          <w:color w:val="000000" w:themeColor="text1"/>
          <w:highlight w:val="none"/>
          <w:u w:val="none"/>
          <w14:textFill>
            <w14:solidFill>
              <w14:schemeClr w14:val="tx1"/>
            </w14:solidFill>
          </w14:textFill>
        </w:rPr>
        <w:t>【定向配租】</w:t>
      </w:r>
      <w:r>
        <w:rPr>
          <w:rStyle w:val="11"/>
          <w:rFonts w:hint="eastAsia" w:ascii="黑体" w:hAnsi="黑体" w:eastAsia="黑体"/>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主管部门可以安排一定数量的公共租赁住房面向公交、环卫等为社会提供基本公共服务的</w:t>
      </w:r>
      <w:r>
        <w:rPr>
          <w:rFonts w:hint="eastAsia" w:ascii="仿宋_GB2312" w:hAnsi="仿宋_GB2312"/>
          <w:color w:val="000000" w:themeColor="text1"/>
          <w:highlight w:val="none"/>
          <w:u w:val="none"/>
          <w:lang w:val="en-US" w:eastAsia="zh-CN"/>
          <w14:textFill>
            <w14:solidFill>
              <w14:schemeClr w14:val="tx1"/>
            </w14:solidFill>
          </w14:textFill>
        </w:rPr>
        <w:t>单位</w:t>
      </w:r>
      <w:r>
        <w:rPr>
          <w:rFonts w:hint="eastAsia" w:ascii="仿宋_GB2312" w:hAnsi="仿宋_GB2312"/>
          <w:color w:val="000000" w:themeColor="text1"/>
          <w:highlight w:val="none"/>
          <w:u w:val="none"/>
          <w14:textFill>
            <w14:solidFill>
              <w14:schemeClr w14:val="tx1"/>
            </w14:solidFill>
          </w14:textFill>
        </w:rPr>
        <w:t>定向配租</w:t>
      </w:r>
      <w:r>
        <w:rPr>
          <w:rFonts w:hint="eastAsia" w:ascii="仿宋_GB2312" w:hAnsi="仿宋_GB2312"/>
          <w:color w:val="000000" w:themeColor="text1"/>
          <w:highlight w:val="none"/>
          <w:u w:val="none"/>
          <w:lang w:eastAsia="zh-CN"/>
          <w14:textFill>
            <w14:solidFill>
              <w14:schemeClr w14:val="tx1"/>
            </w14:solidFill>
          </w14:textFill>
        </w:rPr>
        <w:t>，</w:t>
      </w:r>
      <w:r>
        <w:rPr>
          <w:rFonts w:hint="eastAsia" w:ascii="仿宋_GB2312" w:hAnsi="仿宋_GB2312"/>
          <w:color w:val="000000" w:themeColor="text1"/>
          <w:highlight w:val="none"/>
          <w:u w:val="none"/>
          <w:lang w:val="en-US" w:eastAsia="zh-CN"/>
          <w14:textFill>
            <w14:solidFill>
              <w14:schemeClr w14:val="tx1"/>
            </w14:solidFill>
          </w14:textFill>
        </w:rPr>
        <w:t>由单位安排给符合条件的一线职工入住</w:t>
      </w:r>
      <w:r>
        <w:rPr>
          <w:rFonts w:hint="eastAsia" w:ascii="仿宋_GB2312" w:hAnsi="仿宋_GB2312"/>
          <w:color w:val="000000" w:themeColor="text1"/>
          <w:highlight w:val="none"/>
          <w:u w:val="none"/>
          <w14:textFill>
            <w14:solidFill>
              <w14:schemeClr w14:val="tx1"/>
            </w14:solidFill>
          </w14:textFill>
        </w:rPr>
        <w:t>。各相关行业的具体分配规则及一线职工认定标准由行业主管部门制定，报同级主管部门备案后组织实施。定向配租公共租赁住房的单次租赁合同期限不超过三年，租赁期满后仍然符合条件的，可以续租。</w:t>
      </w:r>
    </w:p>
    <w:p>
      <w:pPr>
        <w:pStyle w:val="2"/>
        <w:keepNext w:val="0"/>
        <w:keepLines w:val="0"/>
        <w:pageBreakBefore w:val="0"/>
        <w:widowControl w:val="0"/>
        <w:kinsoku/>
        <w:wordWrap/>
        <w:overflowPunct/>
        <w:topLinePunct w:val="0"/>
        <w:autoSpaceDE/>
        <w:autoSpaceDN/>
        <w:bidi w:val="0"/>
        <w:spacing w:after="0" w:line="578" w:lineRule="exact"/>
        <w:ind w:left="0" w:leftChars="0" w:firstLine="640"/>
        <w:textAlignment w:val="auto"/>
        <w:rPr>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定向配租公共租赁住房的配租面积标准原则上不高于本办法第二十一条第一款的规定。同一套住房可以集中居住方式安排多名职工入住，但人均居住建筑面积原则上不超过十五平方米。</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承租定向配租公共租赁住房的用人单位因破产、被吊销营业执照等</w:t>
      </w:r>
      <w:r>
        <w:rPr>
          <w:rFonts w:hint="eastAsia" w:ascii="仿宋_GB2312" w:hAnsi="仿宋_GB2312"/>
          <w:color w:val="000000" w:themeColor="text1"/>
          <w:highlight w:val="none"/>
          <w:u w:val="none"/>
          <w:shd w:val="clear" w:color="auto" w:fill="auto"/>
          <w14:textFill>
            <w14:solidFill>
              <w14:schemeClr w14:val="tx1"/>
            </w14:solidFill>
          </w14:textFill>
        </w:rPr>
        <w:t>不再具备法人资格</w:t>
      </w:r>
      <w:r>
        <w:rPr>
          <w:rFonts w:hint="eastAsia" w:ascii="仿宋_GB2312" w:hAnsi="仿宋_GB2312"/>
          <w:color w:val="000000" w:themeColor="text1"/>
          <w:highlight w:val="none"/>
          <w:u w:val="none"/>
          <w14:textFill>
            <w14:solidFill>
              <w14:schemeClr w14:val="tx1"/>
            </w14:solidFill>
          </w14:textFill>
        </w:rPr>
        <w:t>，或者注册地址迁出本市的，应当在三个月内腾退公共租赁住房。</w:t>
      </w:r>
    </w:p>
    <w:p>
      <w:pPr>
        <w:keepNext w:val="0"/>
        <w:keepLines w:val="0"/>
        <w:pageBreakBefore w:val="0"/>
        <w:widowControl w:val="0"/>
        <w:numPr>
          <w:ilvl w:val="2"/>
          <w:numId w:val="1"/>
        </w:numPr>
        <w:kinsoku/>
        <w:wordWrap/>
        <w:overflowPunct/>
        <w:topLinePunct w:val="0"/>
        <w:autoSpaceDE/>
        <w:autoSpaceDN/>
        <w:bidi w:val="0"/>
        <w:spacing w:line="578" w:lineRule="exact"/>
        <w:ind w:leftChars="0" w:firstLine="640"/>
        <w:textAlignment w:val="auto"/>
        <w:outlineLvl w:val="2"/>
        <w:rPr>
          <w:rFonts w:ascii="仿宋_GB2312"/>
          <w:color w:val="000000" w:themeColor="text1"/>
          <w:highlight w:val="none"/>
          <w:u w:val="none"/>
          <w14:textFill>
            <w14:solidFill>
              <w14:schemeClr w14:val="tx1"/>
            </w14:solidFill>
          </w14:textFill>
        </w:rPr>
      </w:pPr>
      <w:r>
        <w:rPr>
          <w:rStyle w:val="11"/>
          <w:rFonts w:hint="eastAsia" w:ascii="黑体" w:hAnsi="黑体"/>
          <w:color w:val="000000" w:themeColor="text1"/>
          <w:highlight w:val="none"/>
          <w:u w:val="none"/>
          <w14:textFill>
            <w14:solidFill>
              <w14:schemeClr w14:val="tx1"/>
            </w14:solidFill>
          </w14:textFill>
        </w:rPr>
        <w:t>【定向配租房源的入住职工条件及变更】</w:t>
      </w:r>
      <w:r>
        <w:rPr>
          <w:rStyle w:val="11"/>
          <w:rFonts w:hint="eastAsia" w:ascii="黑体" w:hAnsi="黑体" w:eastAsia="黑体"/>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入住定向配租公共租赁住房的，应当同时符合以下条件：</w:t>
      </w:r>
    </w:p>
    <w:p>
      <w:pPr>
        <w:pStyle w:val="2"/>
        <w:keepNext w:val="0"/>
        <w:keepLines w:val="0"/>
        <w:pageBreakBefore w:val="0"/>
        <w:widowControl w:val="0"/>
        <w:numPr>
          <w:ilvl w:val="0"/>
          <w:numId w:val="2"/>
        </w:numPr>
        <w:kinsoku/>
        <w:wordWrap/>
        <w:overflowPunct/>
        <w:topLinePunct w:val="0"/>
        <w:autoSpaceDE/>
        <w:autoSpaceDN/>
        <w:bidi w:val="0"/>
        <w:spacing w:after="0"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职工及其配偶、未满十八周岁的子女均未在本市拥有自有住房，在信息备案前三年</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内未在本市转让过或者因离婚分割过自有住房；</w:t>
      </w:r>
    </w:p>
    <w:p>
      <w:pPr>
        <w:pStyle w:val="2"/>
        <w:keepNext w:val="0"/>
        <w:keepLines w:val="0"/>
        <w:pageBreakBefore w:val="0"/>
        <w:widowControl w:val="0"/>
        <w:numPr>
          <w:ilvl w:val="0"/>
          <w:numId w:val="2"/>
        </w:numPr>
        <w:kinsoku/>
        <w:wordWrap/>
        <w:overflowPunct/>
        <w:topLinePunct w:val="0"/>
        <w:autoSpaceDE/>
        <w:autoSpaceDN/>
        <w:bidi w:val="0"/>
        <w:spacing w:after="0" w:line="578" w:lineRule="exact"/>
        <w:ind w:left="0" w:leftChars="0" w:firstLine="640"/>
        <w:textAlignment w:val="auto"/>
        <w:rPr>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职工及其配偶均未在本市和国内其他地区享受住房保障优惠政策；</w:t>
      </w:r>
    </w:p>
    <w:p>
      <w:pPr>
        <w:keepNext w:val="0"/>
        <w:keepLines w:val="0"/>
        <w:pageBreakBefore w:val="0"/>
        <w:widowControl w:val="0"/>
        <w:kinsoku/>
        <w:wordWrap/>
        <w:overflowPunct/>
        <w:topLinePunct w:val="0"/>
        <w:autoSpaceDE/>
        <w:autoSpaceDN/>
        <w:bidi w:val="0"/>
        <w:spacing w:line="578" w:lineRule="exact"/>
        <w:ind w:left="0" w:leftChars="0"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（三）职工本人在本市正常缴纳社会保险，未在本市缴纳社会保险的，用人单位应当说明原因并出具在本单位全职工作的劳动合同或者工作证明；</w:t>
      </w:r>
    </w:p>
    <w:p>
      <w:pPr>
        <w:pStyle w:val="2"/>
        <w:keepNext w:val="0"/>
        <w:keepLines w:val="0"/>
        <w:pageBreakBefore w:val="0"/>
        <w:widowControl w:val="0"/>
        <w:numPr>
          <w:ilvl w:val="255"/>
          <w:numId w:val="0"/>
        </w:numPr>
        <w:kinsoku/>
        <w:wordWrap/>
        <w:overflowPunct/>
        <w:topLinePunct w:val="0"/>
        <w:autoSpaceDE/>
        <w:autoSpaceDN/>
        <w:bidi w:val="0"/>
        <w:spacing w:after="0" w:line="578" w:lineRule="exact"/>
        <w:ind w:left="0" w:leftChars="0" w:firstLine="640" w:firstLineChars="20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（四）职工本人符合为社会提供基本公共服务一线职工的相关标准；</w:t>
      </w:r>
    </w:p>
    <w:p>
      <w:pPr>
        <w:pStyle w:val="2"/>
        <w:keepNext w:val="0"/>
        <w:keepLines w:val="0"/>
        <w:pageBreakBefore w:val="0"/>
        <w:widowControl w:val="0"/>
        <w:numPr>
          <w:ilvl w:val="255"/>
          <w:numId w:val="0"/>
        </w:numPr>
        <w:kinsoku/>
        <w:wordWrap/>
        <w:overflowPunct/>
        <w:topLinePunct w:val="0"/>
        <w:autoSpaceDE/>
        <w:autoSpaceDN/>
        <w:bidi w:val="0"/>
        <w:spacing w:after="0" w:line="578" w:lineRule="exact"/>
        <w:ind w:left="0" w:leftChars="0" w:firstLine="640" w:firstLineChars="20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（五）申请人的家庭人均年可支配收入符合本市规定的限额标准。</w:t>
      </w:r>
    </w:p>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eastAsia"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入住职工的住房、婚姻、家庭人口、劳动合同关系等情况发生变化的，其劳动关系所在的用人单位应当自发生变化之日起三十日</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内，通过信息平台办理信息变更。信息变更后不再符合前款规定的，用人单位应当及时要求入住职工腾退住房，重新安排给本单位其他符合条件的职工入住，经</w:t>
      </w:r>
      <w:r>
        <w:rPr>
          <w:rFonts w:ascii="仿宋_GB2312" w:hAnsi="仿宋_GB2312"/>
          <w:color w:val="000000" w:themeColor="text1"/>
          <w:highlight w:val="none"/>
          <w:u w:val="none"/>
          <w14:textFill>
            <w14:solidFill>
              <w14:schemeClr w14:val="tx1"/>
            </w14:solidFill>
          </w14:textFill>
        </w:rPr>
        <w:t>区主管部门</w:t>
      </w:r>
      <w:r>
        <w:rPr>
          <w:rFonts w:hint="eastAsia" w:ascii="仿宋_GB2312" w:hAnsi="仿宋_GB2312"/>
          <w:color w:val="000000" w:themeColor="text1"/>
          <w:highlight w:val="none"/>
          <w:u w:val="none"/>
          <w14:textFill>
            <w14:solidFill>
              <w14:schemeClr w14:val="tx1"/>
            </w14:solidFill>
          </w14:textFill>
        </w:rPr>
        <w:t>审核通过后，向产权单位或者运营管理单位办理变更手续。</w:t>
      </w:r>
    </w:p>
    <w:p>
      <w:pPr>
        <w:pStyle w:val="2"/>
        <w:keepNext w:val="0"/>
        <w:keepLines w:val="0"/>
        <w:pageBreakBefore w:val="0"/>
        <w:widowControl w:val="0"/>
        <w:kinsoku/>
        <w:wordWrap/>
        <w:overflowPunct/>
        <w:topLinePunct w:val="0"/>
        <w:autoSpaceDE/>
        <w:autoSpaceDN/>
        <w:bidi w:val="0"/>
        <w:spacing w:after="0" w:line="578" w:lineRule="exact"/>
        <w:textAlignment w:val="auto"/>
        <w:rPr>
          <w:color w:val="000000" w:themeColor="text1"/>
          <w:u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578" w:lineRule="exact"/>
        <w:ind w:firstLine="0" w:firstLineChars="0"/>
        <w:jc w:val="center"/>
        <w:textAlignment w:val="auto"/>
        <w:rPr>
          <w:rFonts w:hint="eastAsia" w:ascii="黑体" w:hAnsi="黑体" w:eastAsia="黑体" w:cs="黑体"/>
          <w:color w:val="000000" w:themeColor="text1"/>
          <w:highlight w:val="none"/>
          <w:u w:val="none"/>
          <w14:textFill>
            <w14:solidFill>
              <w14:schemeClr w14:val="tx1"/>
            </w14:solidFill>
          </w14:textFill>
        </w:rPr>
      </w:pPr>
      <w:r>
        <w:rPr>
          <w:rFonts w:hint="eastAsia" w:ascii="黑体" w:hAnsi="黑体" w:eastAsia="黑体" w:cs="黑体"/>
          <w:color w:val="000000" w:themeColor="text1"/>
          <w:highlight w:val="none"/>
          <w:u w:val="none"/>
          <w14:textFill>
            <w14:solidFill>
              <w14:schemeClr w14:val="tx1"/>
            </w14:solidFill>
          </w14:textFill>
        </w:rPr>
        <w:t>第三章</w:t>
      </w:r>
      <w:r>
        <w:rPr>
          <w:rFonts w:ascii="黑体" w:hAnsi="黑体" w:eastAsia="黑体" w:cs="黑体"/>
          <w:color w:val="000000" w:themeColor="text1"/>
          <w:highlight w:val="none"/>
          <w:u w:val="none"/>
          <w14:textFill>
            <w14:solidFill>
              <w14:schemeClr w14:val="tx1"/>
            </w14:solidFill>
          </w14:textFill>
        </w:rPr>
        <w:t xml:space="preserve"> </w:t>
      </w:r>
      <w:r>
        <w:rPr>
          <w:rFonts w:hint="eastAsia" w:ascii="黑体" w:hAnsi="黑体" w:eastAsia="黑体" w:cs="黑体"/>
          <w:color w:val="000000" w:themeColor="text1"/>
          <w:highlight w:val="none"/>
          <w:u w:val="none"/>
          <w14:textFill>
            <w14:solidFill>
              <w14:schemeClr w14:val="tx1"/>
            </w14:solidFill>
          </w14:textFill>
        </w:rPr>
        <w:t>租后管理</w:t>
      </w:r>
    </w:p>
    <w:p>
      <w:pPr>
        <w:pStyle w:val="2"/>
        <w:keepNext w:val="0"/>
        <w:keepLines w:val="0"/>
        <w:pageBreakBefore w:val="0"/>
        <w:widowControl w:val="0"/>
        <w:kinsoku/>
        <w:wordWrap/>
        <w:overflowPunct/>
        <w:topLinePunct w:val="0"/>
        <w:autoSpaceDE/>
        <w:autoSpaceDN/>
        <w:bidi w:val="0"/>
        <w:spacing w:after="0" w:line="578" w:lineRule="exact"/>
        <w:textAlignment w:val="auto"/>
        <w:rPr>
          <w:color w:val="000000" w:themeColor="text1"/>
          <w:u w:val="none"/>
          <w14:textFill>
            <w14:solidFill>
              <w14:schemeClr w14:val="tx1"/>
            </w14:solidFill>
          </w14:textFill>
        </w:rPr>
      </w:pP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续租</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申请人在租赁合同期限届满后需要续租的，应当在租赁合同期限届满前三个月</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内向产权单位或者运营管理单位提出续租申请。</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区主管部门会同相关部门对申请人和共同申请人续租资格进行审核。经审核符合本办法第十一条规定条件的，予以续租，每次续租期限不超过三年。</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申请人变更</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申请人在</w:t>
      </w:r>
      <w:r>
        <w:rPr>
          <w:rFonts w:ascii="仿宋_GB2312" w:hAnsi="仿宋_GB2312"/>
          <w:color w:val="000000" w:themeColor="text1"/>
          <w:highlight w:val="none"/>
          <w:u w:val="none"/>
          <w14:textFill>
            <w14:solidFill>
              <w14:schemeClr w14:val="tx1"/>
            </w14:solidFill>
          </w14:textFill>
        </w:rPr>
        <w:t>承租</w:t>
      </w:r>
      <w:r>
        <w:rPr>
          <w:rFonts w:hint="eastAsia" w:ascii="仿宋_GB2312" w:hAnsi="仿宋_GB2312"/>
          <w:color w:val="000000" w:themeColor="text1"/>
          <w:highlight w:val="none"/>
          <w:u w:val="none"/>
          <w14:textFill>
            <w14:solidFill>
              <w14:schemeClr w14:val="tx1"/>
            </w14:solidFill>
          </w14:textFill>
        </w:rPr>
        <w:t>期间</w:t>
      </w:r>
      <w:r>
        <w:rPr>
          <w:rFonts w:ascii="仿宋_GB2312" w:hAnsi="仿宋_GB2312"/>
          <w:color w:val="000000" w:themeColor="text1"/>
          <w:highlight w:val="none"/>
          <w:u w:val="none"/>
          <w14:textFill>
            <w14:solidFill>
              <w14:schemeClr w14:val="tx1"/>
            </w14:solidFill>
          </w14:textFill>
        </w:rPr>
        <w:t>死亡的</w:t>
      </w:r>
      <w:r>
        <w:rPr>
          <w:rFonts w:hint="eastAsia" w:ascii="仿宋_GB2312" w:hAnsi="仿宋_GB2312"/>
          <w:color w:val="000000" w:themeColor="text1"/>
          <w:highlight w:val="none"/>
          <w:u w:val="none"/>
          <w14:textFill>
            <w14:solidFill>
              <w14:schemeClr w14:val="tx1"/>
            </w14:solidFill>
          </w14:textFill>
        </w:rPr>
        <w:t>，共同申请人应当重新确定申请人，新确定的申请人在租赁合同期限内可不受本办法第十一条第一款第二项至四项条件的限制。租赁合同期限届满后，新确定的申请人在续租时可不受本办法第十一条第一款第二项、第三项条件的限制。</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申请</w:t>
      </w:r>
      <w:r>
        <w:rPr>
          <w:rFonts w:ascii="仿宋_GB2312" w:hAnsi="仿宋_GB2312"/>
          <w:color w:val="000000" w:themeColor="text1"/>
          <w:highlight w:val="none"/>
          <w:u w:val="none"/>
          <w14:textFill>
            <w14:solidFill>
              <w14:schemeClr w14:val="tx1"/>
            </w14:solidFill>
          </w14:textFill>
        </w:rPr>
        <w:t>人</w:t>
      </w:r>
      <w:r>
        <w:rPr>
          <w:rFonts w:hint="eastAsia" w:ascii="仿宋_GB2312" w:hAnsi="仿宋_GB2312"/>
          <w:color w:val="000000" w:themeColor="text1"/>
          <w:highlight w:val="none"/>
          <w:u w:val="none"/>
          <w14:textFill>
            <w14:solidFill>
              <w14:schemeClr w14:val="tx1"/>
            </w14:solidFill>
          </w14:textFill>
        </w:rPr>
        <w:t>在</w:t>
      </w:r>
      <w:r>
        <w:rPr>
          <w:rFonts w:ascii="仿宋_GB2312" w:hAnsi="仿宋_GB2312"/>
          <w:color w:val="000000" w:themeColor="text1"/>
          <w:highlight w:val="none"/>
          <w:u w:val="none"/>
          <w14:textFill>
            <w14:solidFill>
              <w14:schemeClr w14:val="tx1"/>
            </w14:solidFill>
          </w14:textFill>
        </w:rPr>
        <w:t>承租</w:t>
      </w:r>
      <w:r>
        <w:rPr>
          <w:rFonts w:hint="eastAsia" w:ascii="仿宋_GB2312" w:hAnsi="仿宋_GB2312"/>
          <w:color w:val="000000" w:themeColor="text1"/>
          <w:highlight w:val="none"/>
          <w:u w:val="none"/>
          <w14:textFill>
            <w14:solidFill>
              <w14:schemeClr w14:val="tx1"/>
            </w14:solidFill>
          </w14:textFill>
        </w:rPr>
        <w:t>期间</w:t>
      </w:r>
      <w:r>
        <w:rPr>
          <w:rFonts w:ascii="仿宋_GB2312" w:hAnsi="仿宋_GB2312"/>
          <w:color w:val="000000" w:themeColor="text1"/>
          <w:highlight w:val="none"/>
          <w:u w:val="none"/>
          <w14:textFill>
            <w14:solidFill>
              <w14:schemeClr w14:val="tx1"/>
            </w14:solidFill>
          </w14:textFill>
        </w:rPr>
        <w:t>离异</w:t>
      </w:r>
      <w:r>
        <w:rPr>
          <w:rFonts w:hint="eastAsia" w:ascii="仿宋_GB2312" w:hAnsi="仿宋_GB2312"/>
          <w:color w:val="000000" w:themeColor="text1"/>
          <w:highlight w:val="none"/>
          <w:u w:val="none"/>
          <w14:textFill>
            <w14:solidFill>
              <w14:schemeClr w14:val="tx1"/>
            </w14:solidFill>
          </w14:textFill>
        </w:rPr>
        <w:t>的，由符合本办法第十一条规定条件的一方继续承租。离异双方均符合本办法第十一条规定条件的，经双方协商</w:t>
      </w:r>
      <w:r>
        <w:rPr>
          <w:rFonts w:hint="eastAsia" w:ascii="仿宋_GB2312" w:hAnsi="仿宋_GB2312"/>
          <w:color w:val="000000" w:themeColor="text1"/>
          <w:highlight w:val="none"/>
          <w:u w:val="none"/>
          <w:lang w:val="en-US" w:eastAsia="zh-CN"/>
          <w14:textFill>
            <w14:solidFill>
              <w14:schemeClr w14:val="tx1"/>
            </w14:solidFill>
          </w14:textFill>
        </w:rPr>
        <w:t>确定</w:t>
      </w:r>
      <w:r>
        <w:rPr>
          <w:rFonts w:hint="eastAsia" w:ascii="仿宋_GB2312" w:hAnsi="仿宋_GB2312"/>
          <w:color w:val="000000" w:themeColor="text1"/>
          <w:highlight w:val="none"/>
          <w:u w:val="none"/>
          <w14:textFill>
            <w14:solidFill>
              <w14:schemeClr w14:val="tx1"/>
            </w14:solidFill>
          </w14:textFill>
        </w:rPr>
        <w:t>后，由其中一方继续承租。</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申请人户籍在市内跨区迁移的，符合本办法第十一条规定条件的可以继续承租原住房。</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hAnsi="黑体" w:cs="黑体"/>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住房调换</w:t>
      </w:r>
      <w:r>
        <w:rPr>
          <w:rFonts w:hint="eastAsia" w:ascii="仿宋_GB2312" w:hAnsi="黑体" w:cs="黑体"/>
          <w:color w:val="000000" w:themeColor="text1"/>
          <w:highlight w:val="none"/>
          <w:u w:val="none"/>
          <w14:textFill>
            <w14:solidFill>
              <w14:schemeClr w14:val="tx1"/>
            </w14:solidFill>
          </w14:textFill>
        </w:rPr>
        <w:t>】</w:t>
      </w:r>
      <w:r>
        <w:rPr>
          <w:rFonts w:hint="eastAsia" w:ascii="仿宋_GB2312" w:hAnsi="黑体" w:cs="黑体"/>
          <w:color w:val="000000" w:themeColor="text1"/>
          <w:highlight w:val="none"/>
          <w:u w:val="none"/>
          <w:lang w:val="en-US" w:eastAsia="zh-CN"/>
          <w14:textFill>
            <w14:solidFill>
              <w14:schemeClr w14:val="tx1"/>
            </w14:solidFill>
          </w14:textFill>
        </w:rPr>
        <w:t xml:space="preserve">  </w:t>
      </w:r>
      <w:r>
        <w:rPr>
          <w:rFonts w:hint="eastAsia" w:ascii="仿宋_GB2312" w:hAnsi="仿宋_GB2312" w:eastAsia="仿宋_GB2312" w:cs="Times New Roman"/>
          <w:b w:val="0"/>
          <w:bCs w:val="0"/>
          <w:color w:val="000000" w:themeColor="text1"/>
          <w:kern w:val="2"/>
          <w:sz w:val="32"/>
          <w:szCs w:val="22"/>
          <w:highlight w:val="none"/>
          <w:u w:val="none"/>
          <w:lang w:eastAsia="zh-CN"/>
          <w14:textFill>
            <w14:solidFill>
              <w14:schemeClr w14:val="tx1"/>
            </w14:solidFill>
          </w14:textFill>
        </w:rPr>
        <w:t>承租期间，因申请人家庭人口数增加需要提高配租面积标准的，可以再次申请轮候公共租赁住房。</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承租期间，申请人家庭人口数减少不再符合原住房配租面积标准的，可以继续承租至租赁期限届满。租赁合同期限届满申请续租的，产权单位或者运营管理单位根据情况调整相应面积标准的房源。</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租金减免</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有下列情形之一的，可以申请减缴公共租赁住房租金的百分之五十：</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w:t>
      </w:r>
      <w:r>
        <w:rPr>
          <w:rFonts w:hint="eastAsia" w:ascii="仿宋_GB2312" w:hAnsi="仿宋_GB2312" w:eastAsia="仿宋_GB2312" w:cs="Times New Roman"/>
          <w:color w:val="000000" w:themeColor="text1"/>
          <w:sz w:val="32"/>
          <w:szCs w:val="22"/>
          <w:highlight w:val="none"/>
          <w:u w:val="none"/>
          <w:lang w:val="en-US" w:eastAsia="zh-CN"/>
          <w14:textFill>
            <w14:solidFill>
              <w14:schemeClr w14:val="tx1"/>
            </w14:solidFill>
          </w14:textFill>
        </w:rPr>
        <w:t>申请人</w:t>
      </w:r>
      <w:r>
        <w:rPr>
          <w:rFonts w:hint="eastAsia" w:ascii="仿宋_GB2312" w:hAnsi="仿宋_GB2312" w:cs="Times New Roman"/>
          <w:color w:val="000000" w:themeColor="text1"/>
          <w:sz w:val="32"/>
          <w:szCs w:val="22"/>
          <w:highlight w:val="none"/>
          <w:u w:val="none"/>
          <w:lang w:val="en-US" w:eastAsia="zh-CN"/>
          <w14:textFill>
            <w14:solidFill>
              <w14:schemeClr w14:val="tx1"/>
            </w14:solidFill>
          </w14:textFill>
        </w:rPr>
        <w:t>经</w:t>
      </w:r>
      <w:r>
        <w:rPr>
          <w:rFonts w:hint="eastAsia" w:ascii="仿宋_GB2312" w:hAnsi="仿宋_GB2312" w:eastAsia="仿宋_GB2312" w:cs="Times New Roman"/>
          <w:color w:val="000000" w:themeColor="text1"/>
          <w:sz w:val="32"/>
          <w:szCs w:val="22"/>
          <w:highlight w:val="none"/>
          <w:u w:val="none"/>
          <w:lang w:val="en-US" w:eastAsia="zh-CN"/>
          <w14:textFill>
            <w14:solidFill>
              <w14:schemeClr w14:val="tx1"/>
            </w14:solidFill>
          </w14:textFill>
        </w:rPr>
        <w:t>市卫生健康部门认定</w:t>
      </w:r>
      <w:r>
        <w:rPr>
          <w:rFonts w:hint="eastAsia" w:ascii="仿宋_GB2312" w:hAnsi="仿宋_GB2312" w:cs="Times New Roman"/>
          <w:color w:val="000000" w:themeColor="text1"/>
          <w:sz w:val="32"/>
          <w:szCs w:val="22"/>
          <w:highlight w:val="none"/>
          <w:u w:val="none"/>
          <w:lang w:val="en-US" w:eastAsia="zh-CN"/>
          <w14:textFill>
            <w14:solidFill>
              <w14:schemeClr w14:val="tx1"/>
            </w14:solidFill>
          </w14:textFill>
        </w:rPr>
        <w:t>为</w:t>
      </w:r>
      <w:r>
        <w:rPr>
          <w:rFonts w:hint="eastAsia" w:ascii="仿宋_GB2312" w:hAnsi="仿宋_GB2312" w:eastAsia="仿宋_GB2312" w:cs="Times New Roman"/>
          <w:color w:val="000000" w:themeColor="text1"/>
          <w:sz w:val="32"/>
          <w:szCs w:val="22"/>
          <w:highlight w:val="none"/>
          <w:u w:val="none"/>
          <w:lang w:val="en-US" w:eastAsia="zh-CN"/>
          <w14:textFill>
            <w14:solidFill>
              <w14:schemeClr w14:val="tx1"/>
            </w14:solidFill>
          </w14:textFill>
        </w:rPr>
        <w:t>计划生育特殊家庭中生活困难老年人的</w:t>
      </w:r>
      <w:r>
        <w:rPr>
          <w:rFonts w:hint="eastAsia" w:ascii="仿宋_GB2312" w:hAnsi="仿宋_GB2312"/>
          <w:color w:val="000000" w:themeColor="text1"/>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（二）申请人或者共同申请人经本市残疾人联合会认定为残疾人的；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ascii="仿宋_GB2312" w:hAnsi="仿宋_GB2312"/>
          <w:color w:val="000000" w:themeColor="text1"/>
          <w:highlight w:val="none"/>
          <w:u w:val="none"/>
          <w14:textFill>
            <w14:solidFill>
              <w14:schemeClr w14:val="tx1"/>
            </w14:solidFill>
          </w14:textFill>
        </w:rPr>
        <w:t>（</w:t>
      </w:r>
      <w:r>
        <w:rPr>
          <w:rFonts w:hint="eastAsia" w:ascii="仿宋_GB2312" w:hAnsi="仿宋_GB2312"/>
          <w:color w:val="000000" w:themeColor="text1"/>
          <w:highlight w:val="none"/>
          <w:u w:val="none"/>
          <w14:textFill>
            <w14:solidFill>
              <w14:schemeClr w14:val="tx1"/>
            </w14:solidFill>
          </w14:textFill>
        </w:rPr>
        <w:t>三</w:t>
      </w:r>
      <w:r>
        <w:rPr>
          <w:rFonts w:ascii="仿宋_GB2312" w:hAnsi="仿宋_GB2312"/>
          <w:color w:val="000000" w:themeColor="text1"/>
          <w:highlight w:val="none"/>
          <w:u w:val="none"/>
          <w14:textFill>
            <w14:solidFill>
              <w14:schemeClr w14:val="tx1"/>
            </w14:solidFill>
          </w14:textFill>
        </w:rPr>
        <w:t>）</w:t>
      </w:r>
      <w:r>
        <w:rPr>
          <w:rFonts w:hint="eastAsia" w:ascii="仿宋_GB2312" w:hAnsi="仿宋_GB2312"/>
          <w:color w:val="000000" w:themeColor="text1"/>
          <w:highlight w:val="none"/>
          <w:u w:val="none"/>
          <w14:textFill>
            <w14:solidFill>
              <w14:schemeClr w14:val="tx1"/>
            </w14:solidFill>
          </w14:textFill>
        </w:rPr>
        <w:t>申请人或者共同申请人为五至十级残疾军人的；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（四）申请人或者共同申请人经</w:t>
      </w:r>
      <w:r>
        <w:rPr>
          <w:rFonts w:ascii="仿宋_GB2312" w:hAnsi="仿宋_GB2312"/>
          <w:color w:val="000000" w:themeColor="text1"/>
          <w:highlight w:val="none"/>
          <w:u w:val="none"/>
          <w14:textFill>
            <w14:solidFill>
              <w14:schemeClr w14:val="tx1"/>
            </w14:solidFill>
          </w14:textFill>
        </w:rPr>
        <w:t>认定为</w:t>
      </w:r>
      <w:r>
        <w:rPr>
          <w:rFonts w:hint="eastAsia" w:ascii="仿宋_GB2312" w:hAnsi="仿宋_GB2312"/>
          <w:color w:val="000000" w:themeColor="text1"/>
          <w:highlight w:val="none"/>
          <w:u w:val="none"/>
          <w14:textFill>
            <w14:solidFill>
              <w14:schemeClr w14:val="tx1"/>
            </w14:solidFill>
          </w14:textFill>
        </w:rPr>
        <w:t>因公殉职的基层干部家属的，或者</w:t>
      </w:r>
      <w:r>
        <w:rPr>
          <w:rFonts w:ascii="仿宋_GB2312" w:hAnsi="仿宋_GB2312"/>
          <w:color w:val="000000" w:themeColor="text1"/>
          <w:highlight w:val="none"/>
          <w:u w:val="none"/>
          <w14:textFill>
            <w14:solidFill>
              <w14:schemeClr w14:val="tx1"/>
            </w14:solidFill>
          </w14:textFill>
        </w:rPr>
        <w:t>见义勇为牺牲人员配偶的；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（五）申请人或者共同申请人经本市劳动能力鉴定委员会认定为部分丧失劳动能力的；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（六）经市政府认定的其他情形。</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有下列情形之一的，可以申请全额免缴公共租赁住房租金：</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（一）申请人或者共同申请人经本市民政部门认定为特困人员的；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（二）申请人或者共同申请人为烈士遗属或者一至四级残疾军人的；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（三）申请人或者共同申请人经本市民政部门认定为低保家庭且经本市残疾人联合会认定为一至二级残疾人的；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（四）申请人或者共同申请人遭受重大疾病、意外伤害，并经本市劳动能力鉴定委员会认定为完全丧失劳动能力的；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szCs w:val="32"/>
          <w:highlight w:val="none"/>
          <w:u w:val="none"/>
          <w14:textFill>
            <w14:solidFill>
              <w14:schemeClr w14:val="tx1"/>
            </w14:solidFill>
          </w14:textFill>
        </w:rPr>
      </w:pPr>
      <w:r>
        <w:rPr>
          <w:rFonts w:hint="eastAsia" w:ascii="仿宋_GB2312" w:hAnsi="仿宋_GB2312"/>
          <w:color w:val="000000" w:themeColor="text1"/>
          <w:szCs w:val="32"/>
          <w:highlight w:val="none"/>
          <w:u w:val="none"/>
          <w14:textFill>
            <w14:solidFill>
              <w14:schemeClr w14:val="tx1"/>
            </w14:solidFill>
          </w14:textFill>
        </w:rPr>
        <w:t>（五）</w:t>
      </w:r>
      <w:bookmarkStart w:id="9" w:name="_Hlk19135951"/>
      <w:r>
        <w:rPr>
          <w:rFonts w:hint="eastAsia" w:ascii="仿宋_GB2312" w:hAnsi="仿宋_GB2312"/>
          <w:color w:val="000000" w:themeColor="text1"/>
          <w:szCs w:val="32"/>
          <w:highlight w:val="none"/>
          <w:u w:val="none"/>
          <w14:textFill>
            <w14:solidFill>
              <w14:schemeClr w14:val="tx1"/>
            </w14:solidFill>
          </w14:textFill>
        </w:rPr>
        <w:t>法律法规规定的其他情形</w:t>
      </w:r>
      <w:bookmarkEnd w:id="9"/>
      <w:r>
        <w:rPr>
          <w:rFonts w:hint="eastAsia" w:ascii="仿宋_GB2312" w:hAnsi="仿宋_GB2312"/>
          <w:color w:val="000000" w:themeColor="text1"/>
          <w:szCs w:val="32"/>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申请人或者共同申请人为抚恤定补优抚对象的，租金标准按照</w:t>
      </w:r>
      <w:r>
        <w:rPr>
          <w:rFonts w:ascii="仿宋_GB2312" w:hAnsi="仿宋_GB2312"/>
          <w:color w:val="000000" w:themeColor="text1"/>
          <w:highlight w:val="none"/>
          <w:u w:val="none"/>
          <w14:textFill>
            <w14:solidFill>
              <w14:schemeClr w14:val="tx1"/>
            </w14:solidFill>
          </w14:textFill>
        </w:rPr>
        <w:t>低保及低保边缘家庭的租金标准</w:t>
      </w:r>
      <w:r>
        <w:rPr>
          <w:rFonts w:hint="eastAsia" w:ascii="仿宋_GB2312" w:hAnsi="仿宋_GB2312"/>
          <w:color w:val="000000" w:themeColor="text1"/>
          <w:highlight w:val="none"/>
          <w:u w:val="none"/>
          <w14:textFill>
            <w14:solidFill>
              <w14:schemeClr w14:val="tx1"/>
            </w14:solidFill>
          </w14:textFill>
        </w:rPr>
        <w:t>执行。</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腾退个人承租住房</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申请人和共同申请人在承租期间有下列情形之一的，应当自发生之日起三个月</w:t>
      </w:r>
      <w:r>
        <w:rPr>
          <w:rFonts w:hint="eastAsia" w:ascii="仿宋_GB2312" w:hAnsi="仿宋_GB2312"/>
          <w:color w:val="000000" w:themeColor="text1"/>
          <w:highlight w:val="none"/>
          <w:u w:val="none"/>
          <w:lang w:val="en-US" w:eastAsia="zh-CN"/>
          <w14:textFill>
            <w14:solidFill>
              <w14:schemeClr w14:val="tx1"/>
            </w14:solidFill>
          </w14:textFill>
        </w:rPr>
        <w:t>以</w:t>
      </w:r>
      <w:r>
        <w:rPr>
          <w:rFonts w:hint="eastAsia" w:ascii="仿宋_GB2312" w:hAnsi="仿宋_GB2312"/>
          <w:color w:val="000000" w:themeColor="text1"/>
          <w:highlight w:val="none"/>
          <w:u w:val="none"/>
          <w14:textFill>
            <w14:solidFill>
              <w14:schemeClr w14:val="tx1"/>
            </w14:solidFill>
          </w14:textFill>
        </w:rPr>
        <w:t>内腾退公共租赁住房：</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（一）全部家庭成员户籍均迁出本市；</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（二）因购买、继承、接受赠与、婚姻状况变化等在本市拥有自有住房的；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（三）在本市和国内其他地区享受其他住房保障优惠政策的；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（四）续租时其他条件符合，但家庭收入财产超过公共租赁住房收入财产限额。</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申请人和共同申请人有前款第二项规定情形的，可以向主管部门申请延期腾退公共租赁住房，腾退期限最长不得超过自有住房交付使用之日起十六个月。其中，前四个月的租金按照原租赁合同约定的租金计收；后十二个月的租金按照市场参考租金计收。</w:t>
      </w:r>
    </w:p>
    <w:p>
      <w:pPr>
        <w:keepNext w:val="0"/>
        <w:keepLines w:val="0"/>
        <w:pageBreakBefore w:val="0"/>
        <w:widowControl w:val="0"/>
        <w:kinsoku/>
        <w:wordWrap/>
        <w:overflowPunct/>
        <w:topLinePunct w:val="0"/>
        <w:autoSpaceDE/>
        <w:autoSpaceDN/>
        <w:bidi w:val="0"/>
        <w:spacing w:line="578" w:lineRule="exact"/>
        <w:ind w:firstLine="640"/>
        <w:textAlignment w:val="auto"/>
        <w:rPr>
          <w:rFonts w:hint="eastAsia"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申请人和共同申请人有本条第一款第四项规定情形的，应当主动腾退公共租赁住房，确有居住需求不能腾退的，按照以下规定执行：</w:t>
      </w:r>
      <w:r>
        <w:rPr>
          <w:rFonts w:ascii="仿宋_GB2312" w:hAnsi="仿宋_GB2312"/>
          <w:color w:val="000000" w:themeColor="text1"/>
          <w:highlight w:val="none"/>
          <w:u w:val="none"/>
          <w14:textFill>
            <w14:solidFill>
              <w14:schemeClr w14:val="tx1"/>
            </w14:solidFill>
          </w14:textFill>
        </w:rPr>
        <w:t>家庭</w:t>
      </w:r>
      <w:r>
        <w:rPr>
          <w:rFonts w:hint="eastAsia" w:ascii="仿宋_GB2312" w:hAnsi="仿宋_GB2312"/>
          <w:color w:val="000000" w:themeColor="text1"/>
          <w:highlight w:val="none"/>
          <w:u w:val="none"/>
          <w14:textFill>
            <w14:solidFill>
              <w14:schemeClr w14:val="tx1"/>
            </w14:solidFill>
          </w14:textFill>
        </w:rPr>
        <w:t>人均年可支配收入和家庭财产总额</w:t>
      </w:r>
      <w:r>
        <w:rPr>
          <w:rFonts w:ascii="仿宋_GB2312" w:hAnsi="仿宋_GB2312"/>
          <w:color w:val="000000" w:themeColor="text1"/>
          <w:highlight w:val="none"/>
          <w:u w:val="none"/>
          <w14:textFill>
            <w14:solidFill>
              <w14:schemeClr w14:val="tx1"/>
            </w14:solidFill>
          </w14:textFill>
        </w:rPr>
        <w:t>超过公共租赁住房收入财产限额</w:t>
      </w:r>
      <w:r>
        <w:rPr>
          <w:rFonts w:hint="eastAsia" w:ascii="仿宋_GB2312" w:hAnsi="仿宋_GB2312"/>
          <w:color w:val="000000" w:themeColor="text1"/>
          <w:highlight w:val="none"/>
          <w:u w:val="none"/>
          <w14:textFill>
            <w14:solidFill>
              <w14:schemeClr w14:val="tx1"/>
            </w14:solidFill>
          </w14:textFill>
        </w:rPr>
        <w:t>，</w:t>
      </w:r>
      <w:r>
        <w:rPr>
          <w:rFonts w:ascii="仿宋_GB2312" w:hAnsi="仿宋_GB2312"/>
          <w:color w:val="000000" w:themeColor="text1"/>
          <w:highlight w:val="none"/>
          <w:u w:val="none"/>
          <w14:textFill>
            <w14:solidFill>
              <w14:schemeClr w14:val="tx1"/>
            </w14:solidFill>
          </w14:textFill>
        </w:rPr>
        <w:t>但</w:t>
      </w:r>
      <w:r>
        <w:rPr>
          <w:rFonts w:hint="eastAsia" w:ascii="仿宋_GB2312" w:hAnsi="仿宋_GB2312"/>
          <w:color w:val="000000" w:themeColor="text1"/>
          <w:highlight w:val="none"/>
          <w:u w:val="none"/>
          <w14:textFill>
            <w14:solidFill>
              <w14:schemeClr w14:val="tx1"/>
            </w14:solidFill>
          </w14:textFill>
        </w:rPr>
        <w:t>家庭人均年可支配收入</w:t>
      </w:r>
      <w:r>
        <w:rPr>
          <w:rFonts w:ascii="仿宋_GB2312" w:hAnsi="仿宋_GB2312"/>
          <w:color w:val="000000" w:themeColor="text1"/>
          <w:highlight w:val="none"/>
          <w:u w:val="none"/>
          <w14:textFill>
            <w14:solidFill>
              <w14:schemeClr w14:val="tx1"/>
            </w14:solidFill>
          </w14:textFill>
        </w:rPr>
        <w:t>不超过</w:t>
      </w:r>
      <w:r>
        <w:rPr>
          <w:rFonts w:hint="eastAsia" w:ascii="仿宋_GB2312" w:hAnsi="仿宋_GB2312"/>
          <w:color w:val="000000" w:themeColor="text1"/>
          <w:highlight w:val="none"/>
          <w:u w:val="none"/>
          <w14:textFill>
            <w14:solidFill>
              <w14:schemeClr w14:val="tx1"/>
            </w14:solidFill>
          </w14:textFill>
        </w:rPr>
        <w:t>上一年度深圳市居民人均可支配收入</w:t>
      </w:r>
      <w:r>
        <w:rPr>
          <w:rFonts w:ascii="仿宋_GB2312" w:hAnsi="仿宋_GB2312"/>
          <w:color w:val="000000" w:themeColor="text1"/>
          <w:highlight w:val="none"/>
          <w:u w:val="none"/>
          <w14:textFill>
            <w14:solidFill>
              <w14:schemeClr w14:val="tx1"/>
            </w14:solidFill>
          </w14:textFill>
        </w:rPr>
        <w:t>的</w:t>
      </w:r>
      <w:r>
        <w:rPr>
          <w:rFonts w:hint="eastAsia" w:ascii="仿宋_GB2312" w:hAnsi="仿宋_GB2312"/>
          <w:color w:val="000000" w:themeColor="text1"/>
          <w:highlight w:val="none"/>
          <w:u w:val="none"/>
          <w14:textFill>
            <w14:solidFill>
              <w14:schemeClr w14:val="tx1"/>
            </w14:solidFill>
          </w14:textFill>
        </w:rPr>
        <w:t>，</w:t>
      </w:r>
      <w:r>
        <w:rPr>
          <w:rFonts w:ascii="仿宋_GB2312" w:hAnsi="仿宋_GB2312"/>
          <w:color w:val="000000" w:themeColor="text1"/>
          <w:highlight w:val="none"/>
          <w:u w:val="none"/>
          <w14:textFill>
            <w14:solidFill>
              <w14:schemeClr w14:val="tx1"/>
            </w14:solidFill>
          </w14:textFill>
        </w:rPr>
        <w:t>租金按照</w:t>
      </w:r>
      <w:r>
        <w:rPr>
          <w:rFonts w:hint="eastAsia" w:ascii="仿宋_GB2312" w:hAnsi="仿宋_GB2312"/>
          <w:color w:val="000000" w:themeColor="text1"/>
          <w:highlight w:val="none"/>
          <w:u w:val="none"/>
          <w14:textFill>
            <w14:solidFill>
              <w14:schemeClr w14:val="tx1"/>
            </w14:solidFill>
          </w14:textFill>
        </w:rPr>
        <w:t>市场参考租金的百分之六十左右计收；家庭人均年可支配收入</w:t>
      </w:r>
      <w:r>
        <w:rPr>
          <w:rFonts w:ascii="仿宋_GB2312" w:hAnsi="仿宋_GB2312"/>
          <w:color w:val="000000" w:themeColor="text1"/>
          <w:highlight w:val="none"/>
          <w:u w:val="none"/>
          <w14:textFill>
            <w14:solidFill>
              <w14:schemeClr w14:val="tx1"/>
            </w14:solidFill>
          </w14:textFill>
        </w:rPr>
        <w:t>超过</w:t>
      </w:r>
      <w:r>
        <w:rPr>
          <w:rFonts w:hint="eastAsia" w:ascii="仿宋_GB2312" w:hAnsi="仿宋_GB2312"/>
          <w:color w:val="000000" w:themeColor="text1"/>
          <w:highlight w:val="none"/>
          <w:u w:val="none"/>
          <w14:textFill>
            <w14:solidFill>
              <w14:schemeClr w14:val="tx1"/>
            </w14:solidFill>
          </w14:textFill>
        </w:rPr>
        <w:t>上一年度深圳市居民人均可支配收入</w:t>
      </w:r>
      <w:r>
        <w:rPr>
          <w:rFonts w:ascii="仿宋_GB2312" w:hAnsi="仿宋_GB2312"/>
          <w:color w:val="000000" w:themeColor="text1"/>
          <w:highlight w:val="none"/>
          <w:u w:val="none"/>
          <w14:textFill>
            <w14:solidFill>
              <w14:schemeClr w14:val="tx1"/>
            </w14:solidFill>
          </w14:textFill>
        </w:rPr>
        <w:t>的，</w:t>
      </w:r>
      <w:r>
        <w:rPr>
          <w:rFonts w:hint="eastAsia" w:ascii="仿宋_GB2312" w:hAnsi="仿宋_GB2312"/>
          <w:color w:val="000000" w:themeColor="text1"/>
          <w:highlight w:val="none"/>
          <w:u w:val="none"/>
          <w14:textFill>
            <w14:solidFill>
              <w14:schemeClr w14:val="tx1"/>
            </w14:solidFill>
          </w14:textFill>
        </w:rPr>
        <w:t>给予三年过渡期，</w:t>
      </w:r>
      <w:r>
        <w:rPr>
          <w:rFonts w:ascii="仿宋_GB2312" w:hAnsi="仿宋_GB2312"/>
          <w:color w:val="000000" w:themeColor="text1"/>
          <w:highlight w:val="none"/>
          <w:u w:val="none"/>
          <w14:textFill>
            <w14:solidFill>
              <w14:schemeClr w14:val="tx1"/>
            </w14:solidFill>
          </w14:textFill>
        </w:rPr>
        <w:t>租金按照</w:t>
      </w:r>
      <w:r>
        <w:rPr>
          <w:rFonts w:hint="eastAsia" w:ascii="仿宋_GB2312" w:hAnsi="仿宋_GB2312"/>
          <w:color w:val="000000" w:themeColor="text1"/>
          <w:highlight w:val="none"/>
          <w:u w:val="none"/>
          <w14:textFill>
            <w14:solidFill>
              <w14:schemeClr w14:val="tx1"/>
            </w14:solidFill>
          </w14:textFill>
        </w:rPr>
        <w:t>市场参考租金的百分之六十左右计收，过渡期满后按照市场参考租金计收。</w:t>
      </w:r>
    </w:p>
    <w:p>
      <w:pPr>
        <w:pStyle w:val="2"/>
        <w:keepNext w:val="0"/>
        <w:keepLines w:val="0"/>
        <w:pageBreakBefore w:val="0"/>
        <w:widowControl w:val="0"/>
        <w:kinsoku/>
        <w:wordWrap/>
        <w:overflowPunct/>
        <w:topLinePunct w:val="0"/>
        <w:autoSpaceDE/>
        <w:autoSpaceDN/>
        <w:bidi w:val="0"/>
        <w:spacing w:after="0" w:line="578" w:lineRule="exact"/>
        <w:textAlignment w:val="auto"/>
        <w:rPr>
          <w:color w:val="000000" w:themeColor="text1"/>
          <w:u w:val="none"/>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before="0" w:after="0" w:line="578" w:lineRule="exact"/>
        <w:ind w:firstLine="0" w:firstLineChars="0"/>
        <w:textAlignment w:val="auto"/>
        <w:rPr>
          <w:rFonts w:ascii="黑体" w:hAnsi="黑体"/>
          <w:b w:val="0"/>
          <w:color w:val="000000" w:themeColor="text1"/>
          <w:highlight w:val="none"/>
          <w:u w:val="none"/>
          <w14:textFill>
            <w14:solidFill>
              <w14:schemeClr w14:val="tx1"/>
            </w14:solidFill>
          </w14:textFill>
        </w:rPr>
      </w:pPr>
      <w:r>
        <w:rPr>
          <w:rFonts w:hint="eastAsia" w:ascii="黑体" w:hAnsi="黑体"/>
          <w:b w:val="0"/>
          <w:color w:val="000000" w:themeColor="text1"/>
          <w:highlight w:val="none"/>
          <w:u w:val="none"/>
          <w14:textFill>
            <w14:solidFill>
              <w14:schemeClr w14:val="tx1"/>
            </w14:solidFill>
          </w14:textFill>
        </w:rPr>
        <w:t>第四章</w:t>
      </w:r>
      <w:r>
        <w:rPr>
          <w:rFonts w:ascii="黑体" w:hAnsi="黑体"/>
          <w:b w:val="0"/>
          <w:color w:val="000000" w:themeColor="text1"/>
          <w:highlight w:val="none"/>
          <w:u w:val="none"/>
          <w14:textFill>
            <w14:solidFill>
              <w14:schemeClr w14:val="tx1"/>
            </w14:solidFill>
          </w14:textFill>
        </w:rPr>
        <w:t xml:space="preserve"> 监督管理</w:t>
      </w:r>
    </w:p>
    <w:p>
      <w:pPr>
        <w:keepNext w:val="0"/>
        <w:keepLines w:val="0"/>
        <w:pageBreakBefore w:val="0"/>
        <w:widowControl w:val="0"/>
        <w:kinsoku/>
        <w:wordWrap/>
        <w:overflowPunct/>
        <w:topLinePunct w:val="0"/>
        <w:autoSpaceDE/>
        <w:autoSpaceDN/>
        <w:bidi w:val="0"/>
        <w:spacing w:line="578" w:lineRule="exact"/>
        <w:textAlignment w:val="auto"/>
        <w:rPr>
          <w:color w:val="000000" w:themeColor="text1"/>
          <w:u w:val="none"/>
          <w14:textFill>
            <w14:solidFill>
              <w14:schemeClr w14:val="tx1"/>
            </w14:solidFill>
          </w14:textFill>
        </w:rPr>
      </w:pP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bookmarkStart w:id="10" w:name="_Hlk22315268"/>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承租家庭禁止情形</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申请人和共同申请人在承租期间，不得有下列情形：</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（一）无正当理由连续六个月以上未在公共租赁住房内居住的；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（二）无正当理由连续两个月或者累计六个月以上未缴纳租金的；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（三）擅自转租、互换、出借公共租赁住房的；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（四）将公共租赁住房用于经营性用途的；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（五）擅自改变公共租赁住房使用功能的；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（六）擅自改建、扩建公共租赁住房的；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（七）因故意或者重大过失，造成公共租赁住房严重毁损的；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（八）其他违法情形。</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Style w:val="11"/>
          <w:rFonts w:ascii="仿宋_GB2312" w:hAnsi="仿宋_GB2312" w:eastAsia="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用人单位禁止情形</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Style w:val="11"/>
          <w:rFonts w:ascii="仿宋_GB2312" w:hAnsi="仿宋_GB2312" w:eastAsia="仿宋_GB2312"/>
          <w:color w:val="000000" w:themeColor="text1"/>
          <w:highlight w:val="none"/>
          <w:u w:val="none"/>
          <w14:textFill>
            <w14:solidFill>
              <w14:schemeClr w14:val="tx1"/>
            </w14:solidFill>
          </w14:textFill>
        </w:rPr>
        <w:t>用人单位</w:t>
      </w:r>
      <w:r>
        <w:rPr>
          <w:rStyle w:val="11"/>
          <w:rFonts w:hint="eastAsia" w:ascii="仿宋_GB2312" w:hAnsi="仿宋_GB2312" w:eastAsia="仿宋_GB2312"/>
          <w:color w:val="000000" w:themeColor="text1"/>
          <w:highlight w:val="none"/>
          <w:u w:val="none"/>
          <w14:textFill>
            <w14:solidFill>
              <w14:schemeClr w14:val="tx1"/>
            </w14:solidFill>
          </w14:textFill>
        </w:rPr>
        <w:t>在承租公共租赁住房期间，不得有下列情形：</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（一）无正当理由连续六个月以上空置公共租赁住房的；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（二）无正当理由连续两个月或者累计六个月以上未缴纳租金的；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（三）向非本单位人员或者不符合条件的本单位职工出租公共租赁住房，或者备案的入住职工与实际入住职工不相符的；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（四）未及时查处本单位职工违规转租、出借公共租赁住房情形的；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（五）</w:t>
      </w:r>
      <w:bookmarkStart w:id="11" w:name="_Hlk22832031"/>
      <w:r>
        <w:rPr>
          <w:rFonts w:hint="eastAsia" w:ascii="仿宋_GB2312" w:hAnsi="仿宋_GB2312"/>
          <w:color w:val="000000" w:themeColor="text1"/>
          <w:highlight w:val="none"/>
          <w:u w:val="none"/>
          <w14:textFill>
            <w14:solidFill>
              <w14:schemeClr w14:val="tx1"/>
            </w14:solidFill>
          </w14:textFill>
        </w:rPr>
        <w:t>将公共租赁住房用于经营性用途的；</w:t>
      </w:r>
      <w:bookmarkEnd w:id="11"/>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（六）擅自改变公共租赁住房使用功能的；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bookmarkStart w:id="12" w:name="_Hlk22832091"/>
      <w:r>
        <w:rPr>
          <w:rFonts w:hint="eastAsia" w:ascii="仿宋_GB2312" w:hAnsi="仿宋_GB2312"/>
          <w:color w:val="000000" w:themeColor="text1"/>
          <w:highlight w:val="none"/>
          <w:u w:val="none"/>
          <w14:textFill>
            <w14:solidFill>
              <w14:schemeClr w14:val="tx1"/>
            </w14:solidFill>
          </w14:textFill>
        </w:rPr>
        <w:t>（七）</w:t>
      </w:r>
      <w:bookmarkEnd w:id="12"/>
      <w:r>
        <w:rPr>
          <w:rFonts w:hint="eastAsia" w:ascii="仿宋_GB2312" w:hAnsi="仿宋_GB2312"/>
          <w:color w:val="000000" w:themeColor="text1"/>
          <w:highlight w:val="none"/>
          <w:u w:val="none"/>
          <w14:textFill>
            <w14:solidFill>
              <w14:schemeClr w14:val="tx1"/>
            </w14:solidFill>
          </w14:textFill>
        </w:rPr>
        <w:t>擅自改建、扩建公共租赁住房的；</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（八）因故意或者重大过失，造成公共租赁住房严重毁损的；</w:t>
      </w:r>
    </w:p>
    <w:p>
      <w:pPr>
        <w:keepNext w:val="0"/>
        <w:keepLines w:val="0"/>
        <w:pageBreakBefore w:val="0"/>
        <w:widowControl w:val="0"/>
        <w:kinsoku/>
        <w:wordWrap/>
        <w:overflowPunct/>
        <w:topLinePunct w:val="0"/>
        <w:autoSpaceDE/>
        <w:autoSpaceDN/>
        <w:bidi w:val="0"/>
        <w:spacing w:line="578" w:lineRule="exact"/>
        <w:ind w:firstLine="640"/>
        <w:textAlignment w:val="auto"/>
        <w:rPr>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（九）其他违法情形。</w:t>
      </w:r>
    </w:p>
    <w:bookmarkEnd w:id="10"/>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bookmarkStart w:id="13" w:name="_Hlk22315283"/>
      <w:r>
        <w:rPr>
          <w:rFonts w:hint="eastAsia" w:ascii="仿宋_GB2312" w:hAnsi="黑体"/>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逾期腾退或退回住房的处理</w:t>
      </w:r>
      <w:r>
        <w:rPr>
          <w:rFonts w:hint="eastAsia" w:ascii="仿宋_GB2312" w:hAnsi="黑体"/>
          <w:color w:val="000000" w:themeColor="text1"/>
          <w:highlight w:val="none"/>
          <w:u w:val="none"/>
          <w14:textFill>
            <w14:solidFill>
              <w14:schemeClr w14:val="tx1"/>
            </w14:solidFill>
          </w14:textFill>
        </w:rPr>
        <w:t>】</w:t>
      </w:r>
      <w:bookmarkEnd w:id="13"/>
      <w:r>
        <w:rPr>
          <w:rFonts w:hint="eastAsia" w:ascii="仿宋_GB2312" w:hAnsi="黑体"/>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申请人或者用人单位未按照规定腾退或者退回公共租赁住房的，由产权单位或者运营管理单位依法收回住房，并按照</w:t>
      </w:r>
      <w:bookmarkStart w:id="14" w:name="_Hlk22828935"/>
      <w:r>
        <w:rPr>
          <w:rFonts w:hint="eastAsia" w:ascii="仿宋_GB2312" w:hAnsi="仿宋_GB2312"/>
          <w:color w:val="000000" w:themeColor="text1"/>
          <w:highlight w:val="none"/>
          <w:u w:val="none"/>
          <w14:textFill>
            <w14:solidFill>
              <w14:schemeClr w14:val="tx1"/>
            </w14:solidFill>
          </w14:textFill>
        </w:rPr>
        <w:t>市场参考租金</w:t>
      </w:r>
      <w:bookmarkEnd w:id="14"/>
      <w:r>
        <w:rPr>
          <w:rFonts w:hint="eastAsia" w:ascii="仿宋_GB2312" w:hAnsi="仿宋_GB2312"/>
          <w:color w:val="000000" w:themeColor="text1"/>
          <w:highlight w:val="none"/>
          <w:u w:val="none"/>
          <w14:textFill>
            <w14:solidFill>
              <w14:schemeClr w14:val="tx1"/>
            </w14:solidFill>
          </w14:textFill>
        </w:rPr>
        <w:t>的两倍计收逾期腾退或者退回住房期间的房屋占有使用费。</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房地产经纪机构监督管理</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房地产经纪机构及其经纪人员不得提供公共租赁住房租赁经纪业务。</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信用记录</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因违反本办法规定受到行政处罚的，应当纳入不良行为记录，依法依规开展失信联合惩戒。</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社会监督</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公共租赁住房的供应分配、监督管理等活动应当接受社会监督。</w:t>
      </w:r>
    </w:p>
    <w:p>
      <w:pPr>
        <w:keepNext w:val="0"/>
        <w:keepLines w:val="0"/>
        <w:pageBreakBefore w:val="0"/>
        <w:widowControl w:val="0"/>
        <w:kinsoku/>
        <w:wordWrap/>
        <w:overflowPunct/>
        <w:topLinePunct w:val="0"/>
        <w:autoSpaceDE/>
        <w:autoSpaceDN/>
        <w:bidi w:val="0"/>
        <w:spacing w:line="578" w:lineRule="exact"/>
        <w:ind w:firstLine="640"/>
        <w:textAlignment w:val="auto"/>
        <w:rPr>
          <w:rFonts w:hint="eastAsia"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单位和个人可以对违反本办法的行为进行投诉、举报，有关部门应当按照相关规定及时处理。</w:t>
      </w:r>
    </w:p>
    <w:p>
      <w:pPr>
        <w:pStyle w:val="2"/>
        <w:keepNext w:val="0"/>
        <w:keepLines w:val="0"/>
        <w:pageBreakBefore w:val="0"/>
        <w:widowControl w:val="0"/>
        <w:kinsoku/>
        <w:wordWrap/>
        <w:overflowPunct/>
        <w:topLinePunct w:val="0"/>
        <w:autoSpaceDE/>
        <w:autoSpaceDN/>
        <w:bidi w:val="0"/>
        <w:spacing w:after="0" w:line="578" w:lineRule="exact"/>
        <w:textAlignment w:val="auto"/>
        <w:rPr>
          <w:color w:val="000000" w:themeColor="text1"/>
          <w:u w:val="none"/>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before="0" w:after="0" w:line="578" w:lineRule="exact"/>
        <w:ind w:firstLine="0" w:firstLineChars="0"/>
        <w:textAlignment w:val="auto"/>
        <w:rPr>
          <w:rFonts w:hint="eastAsia" w:ascii="黑体" w:hAnsi="黑体"/>
          <w:b w:val="0"/>
          <w:bCs w:val="0"/>
          <w:color w:val="000000" w:themeColor="text1"/>
          <w:highlight w:val="none"/>
          <w:u w:val="none"/>
          <w14:textFill>
            <w14:solidFill>
              <w14:schemeClr w14:val="tx1"/>
            </w14:solidFill>
          </w14:textFill>
        </w:rPr>
      </w:pPr>
      <w:r>
        <w:rPr>
          <w:rFonts w:hint="eastAsia" w:ascii="黑体" w:hAnsi="黑体"/>
          <w:b w:val="0"/>
          <w:bCs w:val="0"/>
          <w:color w:val="000000" w:themeColor="text1"/>
          <w:highlight w:val="none"/>
          <w:u w:val="none"/>
          <w14:textFill>
            <w14:solidFill>
              <w14:schemeClr w14:val="tx1"/>
            </w14:solidFill>
          </w14:textFill>
        </w:rPr>
        <w:t>第五章</w:t>
      </w:r>
      <w:r>
        <w:rPr>
          <w:rFonts w:ascii="黑体" w:hAnsi="黑体"/>
          <w:b w:val="0"/>
          <w:bCs w:val="0"/>
          <w:color w:val="000000" w:themeColor="text1"/>
          <w:highlight w:val="none"/>
          <w:u w:val="none"/>
          <w14:textFill>
            <w14:solidFill>
              <w14:schemeClr w14:val="tx1"/>
            </w14:solidFill>
          </w14:textFill>
        </w:rPr>
        <w:t xml:space="preserve"> </w:t>
      </w:r>
      <w:r>
        <w:rPr>
          <w:rFonts w:hint="eastAsia" w:ascii="黑体" w:hAnsi="黑体"/>
          <w:b w:val="0"/>
          <w:bCs w:val="0"/>
          <w:color w:val="000000" w:themeColor="text1"/>
          <w:highlight w:val="none"/>
          <w:u w:val="none"/>
          <w14:textFill>
            <w14:solidFill>
              <w14:schemeClr w14:val="tx1"/>
            </w14:solidFill>
          </w14:textFill>
        </w:rPr>
        <w:t>法律责任</w:t>
      </w:r>
    </w:p>
    <w:p>
      <w:pPr>
        <w:keepNext w:val="0"/>
        <w:keepLines w:val="0"/>
        <w:pageBreakBefore w:val="0"/>
        <w:widowControl w:val="0"/>
        <w:kinsoku/>
        <w:wordWrap/>
        <w:overflowPunct/>
        <w:topLinePunct w:val="0"/>
        <w:autoSpaceDE/>
        <w:autoSpaceDN/>
        <w:bidi w:val="0"/>
        <w:spacing w:line="578" w:lineRule="exact"/>
        <w:textAlignment w:val="auto"/>
        <w:rPr>
          <w:color w:val="000000" w:themeColor="text1"/>
          <w:u w:val="none"/>
          <w14:textFill>
            <w14:solidFill>
              <w14:schemeClr w14:val="tx1"/>
            </w14:solidFill>
          </w14:textFill>
        </w:rPr>
      </w:pP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szCs w:val="32"/>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骗租法律责任</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szCs w:val="32"/>
          <w:highlight w:val="none"/>
          <w:u w:val="none"/>
          <w14:textFill>
            <w14:solidFill>
              <w14:schemeClr w14:val="tx1"/>
            </w14:solidFill>
          </w14:textFill>
        </w:rPr>
        <w:t>不符合条件的申请人、共同申请人以隐瞒、虚报、</w:t>
      </w:r>
      <w:r>
        <w:rPr>
          <w:rFonts w:hint="eastAsia" w:ascii="仿宋_GB2312"/>
          <w:color w:val="000000" w:themeColor="text1"/>
          <w:szCs w:val="32"/>
          <w:highlight w:val="none"/>
          <w:u w:val="none"/>
          <w14:textFill>
            <w14:solidFill>
              <w14:schemeClr w14:val="tx1"/>
            </w14:solidFill>
          </w14:textFill>
        </w:rPr>
        <w:t>提供虚假材料等方式</w:t>
      </w:r>
      <w:r>
        <w:rPr>
          <w:rFonts w:hint="eastAsia" w:ascii="仿宋_GB2312" w:hAnsi="仿宋_GB2312" w:cs="仿宋_GB2312"/>
          <w:color w:val="000000" w:themeColor="text1"/>
          <w:szCs w:val="32"/>
          <w:highlight w:val="none"/>
          <w:u w:val="none"/>
          <w14:textFill>
            <w14:solidFill>
              <w14:schemeClr w14:val="tx1"/>
            </w14:solidFill>
          </w14:textFill>
        </w:rPr>
        <w:t>弄虚作假，</w:t>
      </w:r>
      <w:r>
        <w:rPr>
          <w:rFonts w:hint="eastAsia" w:ascii="仿宋_GB2312" w:hAnsi="仿宋_GB2312"/>
          <w:color w:val="000000" w:themeColor="text1"/>
          <w:szCs w:val="32"/>
          <w:highlight w:val="none"/>
          <w:u w:val="none"/>
          <w14:textFill>
            <w14:solidFill>
              <w14:schemeClr w14:val="tx1"/>
            </w14:solidFill>
          </w14:textFill>
        </w:rPr>
        <w:t>或者采取贿赂等不正当手段申请租赁公共租赁住房的，由主管部门驳回申请，处三万元罚款，并自驳回申请之日起十年内不予受理其住房保障申请。</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szCs w:val="32"/>
          <w:highlight w:val="none"/>
          <w:u w:val="none"/>
          <w14:textFill>
            <w14:solidFill>
              <w14:schemeClr w14:val="tx1"/>
            </w14:solidFill>
          </w14:textFill>
        </w:rPr>
      </w:pPr>
      <w:r>
        <w:rPr>
          <w:rFonts w:hint="eastAsia" w:ascii="仿宋_GB2312" w:hAnsi="仿宋_GB2312"/>
          <w:color w:val="000000" w:themeColor="text1"/>
          <w:szCs w:val="32"/>
          <w:highlight w:val="none"/>
          <w:u w:val="none"/>
          <w14:textFill>
            <w14:solidFill>
              <w14:schemeClr w14:val="tx1"/>
            </w14:solidFill>
          </w14:textFill>
        </w:rPr>
        <w:t>符合条件的申请人、共同申请人有前款违法行为的，由主管部门驳回申请，处一万元罚款，并自驳回申请之日起三年内不予受理其住房保障申请。</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szCs w:val="32"/>
          <w:highlight w:val="none"/>
          <w:u w:val="none"/>
          <w14:textFill>
            <w14:solidFill>
              <w14:schemeClr w14:val="tx1"/>
            </w14:solidFill>
          </w14:textFill>
        </w:rPr>
      </w:pPr>
      <w:bookmarkStart w:id="15" w:name="_Hlk22315309"/>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加处法律责任</w:t>
      </w:r>
      <w:r>
        <w:rPr>
          <w:rStyle w:val="11"/>
          <w:rFonts w:hint="eastAsia" w:ascii="仿宋_GB2312" w:eastAsia="仿宋_GB2312"/>
          <w:color w:val="000000" w:themeColor="text1"/>
          <w:highlight w:val="none"/>
          <w:u w:val="none"/>
          <w14:textFill>
            <w14:solidFill>
              <w14:schemeClr w14:val="tx1"/>
            </w14:solidFill>
          </w14:textFill>
        </w:rPr>
        <w:t>】</w:t>
      </w:r>
      <w:bookmarkEnd w:id="15"/>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szCs w:val="32"/>
          <w:highlight w:val="none"/>
          <w:u w:val="none"/>
          <w14:textFill>
            <w14:solidFill>
              <w14:schemeClr w14:val="tx1"/>
            </w14:solidFill>
          </w14:textFill>
        </w:rPr>
        <w:t>主管部门查明有关</w:t>
      </w:r>
      <w:r>
        <w:rPr>
          <w:rFonts w:hint="eastAsia" w:ascii="仿宋_GB2312" w:hAnsi="仿宋_GB2312"/>
          <w:color w:val="000000" w:themeColor="text1"/>
          <w:szCs w:val="32"/>
          <w:highlight w:val="none"/>
          <w:u w:val="none"/>
          <w:lang w:val="en-US" w:eastAsia="zh-CN"/>
          <w14:textFill>
            <w14:solidFill>
              <w14:schemeClr w14:val="tx1"/>
            </w14:solidFill>
          </w14:textFill>
        </w:rPr>
        <w:t>人员</w:t>
      </w:r>
      <w:r>
        <w:rPr>
          <w:rFonts w:hint="eastAsia" w:ascii="仿宋_GB2312" w:hAnsi="仿宋_GB2312"/>
          <w:color w:val="000000" w:themeColor="text1"/>
          <w:szCs w:val="32"/>
          <w:highlight w:val="none"/>
          <w:u w:val="none"/>
          <w14:textFill>
            <w14:solidFill>
              <w14:schemeClr w14:val="tx1"/>
            </w14:solidFill>
          </w14:textFill>
        </w:rPr>
        <w:t>以隐瞒、虚报、提供虚假材料等方式弄虚作假，或者采取贿赂等不正当手段获取公共租赁住房的，由主管部门收回公共租赁住房，同时按照市场参考租金补收入住期间的租金，并由主管部门按照本办法第三十八条的有关规定追究责任，加处一倍罚款。</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szCs w:val="32"/>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出具虚假证明法律责任</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szCs w:val="32"/>
          <w:highlight w:val="none"/>
          <w:u w:val="none"/>
          <w14:textFill>
            <w14:solidFill>
              <w14:schemeClr w14:val="tx1"/>
            </w14:solidFill>
          </w14:textFill>
        </w:rPr>
        <w:t>有关单位和个人为申请人、共同申请人出具虚假证明材料的，由主管部门对直接责任人员处三万元罚款，对责任单位处十万元罚款；属于国家工作人员的，依法追究</w:t>
      </w:r>
      <w:r>
        <w:rPr>
          <w:rFonts w:hint="eastAsia" w:ascii="仿宋_GB2312" w:hAnsi="仿宋_GB2312"/>
          <w:color w:val="000000" w:themeColor="text1"/>
          <w:szCs w:val="32"/>
          <w:highlight w:val="none"/>
          <w:u w:val="none"/>
          <w:lang w:val="en-US" w:eastAsia="zh-CN"/>
          <w14:textFill>
            <w14:solidFill>
              <w14:schemeClr w14:val="tx1"/>
            </w14:solidFill>
          </w14:textFill>
        </w:rPr>
        <w:t>其</w:t>
      </w:r>
      <w:r>
        <w:rPr>
          <w:rFonts w:hint="eastAsia" w:ascii="仿宋_GB2312" w:hAnsi="仿宋_GB2312"/>
          <w:color w:val="000000" w:themeColor="text1"/>
          <w:szCs w:val="32"/>
          <w:highlight w:val="none"/>
          <w:u w:val="none"/>
          <w14:textFill>
            <w14:solidFill>
              <w14:schemeClr w14:val="tx1"/>
            </w14:solidFill>
          </w14:textFill>
        </w:rPr>
        <w:t>行政责任。</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Times New Roman"/>
          <w:color w:val="000000" w:themeColor="text1"/>
          <w:szCs w:val="32"/>
          <w:highlight w:val="none"/>
          <w:u w:val="none"/>
          <w14:textFill>
            <w14:solidFill>
              <w14:schemeClr w14:val="tx1"/>
            </w14:solidFill>
          </w14:textFill>
        </w:rPr>
      </w:pPr>
      <w:r>
        <w:rPr>
          <w:rFonts w:hint="eastAsia" w:ascii="仿宋_GB2312" w:hAnsi="仿宋_GB2312"/>
          <w:color w:val="000000" w:themeColor="text1"/>
          <w:szCs w:val="32"/>
          <w:highlight w:val="none"/>
          <w:u w:val="none"/>
          <w14:textFill>
            <w14:solidFill>
              <w14:schemeClr w14:val="tx1"/>
            </w14:solidFill>
          </w14:textFill>
        </w:rPr>
        <w:t>有关</w:t>
      </w:r>
      <w:r>
        <w:rPr>
          <w:rFonts w:hint="eastAsia" w:ascii="仿宋_GB2312" w:hAnsi="仿宋_GB2312"/>
          <w:color w:val="000000" w:themeColor="text1"/>
          <w:szCs w:val="32"/>
          <w:highlight w:val="none"/>
          <w:u w:val="none"/>
          <w:lang w:val="en-US" w:eastAsia="zh-CN"/>
          <w14:textFill>
            <w14:solidFill>
              <w14:schemeClr w14:val="tx1"/>
            </w14:solidFill>
          </w14:textFill>
        </w:rPr>
        <w:t>人员</w:t>
      </w:r>
      <w:r>
        <w:rPr>
          <w:rFonts w:hint="eastAsia" w:ascii="仿宋_GB2312" w:hAnsi="仿宋_GB2312"/>
          <w:color w:val="000000" w:themeColor="text1"/>
          <w:szCs w:val="32"/>
          <w:highlight w:val="none"/>
          <w:u w:val="none"/>
          <w14:textFill>
            <w14:solidFill>
              <w14:schemeClr w14:val="tx1"/>
            </w14:solidFill>
          </w14:textFill>
        </w:rPr>
        <w:t>涉嫌伪造、变造或者使用伪造、变造的国家机关、人民团体、企事业单位或者其他组织的公文、证件、证明文件</w:t>
      </w:r>
      <w:r>
        <w:rPr>
          <w:rFonts w:hint="eastAsia" w:ascii="仿宋_GB2312" w:hAnsi="仿宋_GB2312"/>
          <w:color w:val="000000" w:themeColor="text1"/>
          <w:szCs w:val="32"/>
          <w:highlight w:val="none"/>
          <w:u w:val="none"/>
          <w:lang w:eastAsia="zh-CN"/>
          <w14:textFill>
            <w14:solidFill>
              <w14:schemeClr w14:val="tx1"/>
            </w14:solidFill>
          </w14:textFill>
        </w:rPr>
        <w:t>、</w:t>
      </w:r>
      <w:r>
        <w:rPr>
          <w:rFonts w:hint="eastAsia" w:ascii="仿宋_GB2312" w:hAnsi="仿宋_GB2312"/>
          <w:color w:val="000000" w:themeColor="text1"/>
          <w:szCs w:val="32"/>
          <w:highlight w:val="none"/>
          <w:u w:val="none"/>
          <w:lang w:val="en-US" w:eastAsia="zh-CN"/>
          <w14:textFill>
            <w14:solidFill>
              <w14:schemeClr w14:val="tx1"/>
            </w14:solidFill>
          </w14:textFill>
        </w:rPr>
        <w:t>印章</w:t>
      </w:r>
      <w:r>
        <w:rPr>
          <w:rFonts w:hint="eastAsia" w:ascii="仿宋_GB2312" w:hAnsi="仿宋_GB2312"/>
          <w:color w:val="000000" w:themeColor="text1"/>
          <w:szCs w:val="32"/>
          <w:highlight w:val="none"/>
          <w:u w:val="none"/>
          <w14:textFill>
            <w14:solidFill>
              <w14:schemeClr w14:val="tx1"/>
            </w14:solidFill>
          </w14:textFill>
        </w:rPr>
        <w:t>的，</w:t>
      </w:r>
      <w:r>
        <w:rPr>
          <w:rFonts w:hint="eastAsia" w:ascii="仿宋_GB2312" w:hAnsi="仿宋_GB2312"/>
          <w:color w:val="000000" w:themeColor="text1"/>
          <w:szCs w:val="32"/>
          <w:highlight w:val="none"/>
          <w:u w:val="none"/>
          <w:lang w:val="en-US" w:eastAsia="zh-CN"/>
          <w14:textFill>
            <w14:solidFill>
              <w14:schemeClr w14:val="tx1"/>
            </w14:solidFill>
          </w14:textFill>
        </w:rPr>
        <w:t>由</w:t>
      </w:r>
      <w:r>
        <w:rPr>
          <w:rFonts w:hint="eastAsia" w:ascii="仿宋_GB2312" w:hAnsi="仿宋_GB2312"/>
          <w:color w:val="000000" w:themeColor="text1"/>
          <w:szCs w:val="32"/>
          <w:highlight w:val="none"/>
          <w:u w:val="none"/>
          <w14:textFill>
            <w14:solidFill>
              <w14:schemeClr w14:val="tx1"/>
            </w14:solidFill>
          </w14:textFill>
        </w:rPr>
        <w:t>公安机关依法处理；</w:t>
      </w:r>
      <w:r>
        <w:rPr>
          <w:rFonts w:hint="eastAsia" w:ascii="仿宋_GB2312" w:hAnsi="仿宋_GB2312"/>
          <w:color w:val="000000" w:themeColor="text1"/>
          <w:szCs w:val="32"/>
          <w:highlight w:val="none"/>
          <w:u w:val="none"/>
          <w:lang w:val="en-US" w:eastAsia="zh-CN"/>
          <w14:textFill>
            <w14:solidFill>
              <w14:schemeClr w14:val="tx1"/>
            </w14:solidFill>
          </w14:textFill>
        </w:rPr>
        <w:t>构成犯罪的，依法追究其刑事责任</w:t>
      </w:r>
      <w:r>
        <w:rPr>
          <w:rFonts w:hint="eastAsia" w:ascii="仿宋_GB2312" w:hAnsi="仿宋_GB2312"/>
          <w:color w:val="000000" w:themeColor="text1"/>
          <w:szCs w:val="32"/>
          <w:highlight w:val="none"/>
          <w:u w:val="none"/>
          <w14:textFill>
            <w14:solidFill>
              <w14:schemeClr w14:val="tx1"/>
            </w14:solidFill>
          </w14:textFill>
        </w:rPr>
        <w:t>。</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szCs w:val="32"/>
          <w:highlight w:val="none"/>
          <w:u w:val="none"/>
          <w14:textFill>
            <w14:solidFill>
              <w14:schemeClr w14:val="tx1"/>
            </w14:solidFill>
          </w14:textFill>
        </w:rPr>
      </w:pPr>
      <w:bookmarkStart w:id="16" w:name="_Hlk22315327"/>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承租家庭法律责任</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szCs w:val="32"/>
          <w:highlight w:val="none"/>
          <w:u w:val="none"/>
          <w14:textFill>
            <w14:solidFill>
              <w14:schemeClr w14:val="tx1"/>
            </w14:solidFill>
          </w14:textFill>
        </w:rPr>
        <w:t>申请人和共同申请人有本办法第三十二条规定情形的，产权单位或者运营管理单位应当依法收回住房。</w:t>
      </w:r>
    </w:p>
    <w:p>
      <w:pPr>
        <w:keepNext w:val="0"/>
        <w:keepLines w:val="0"/>
        <w:pageBreakBefore w:val="0"/>
        <w:widowControl w:val="0"/>
        <w:numPr>
          <w:ilvl w:val="255"/>
          <w:numId w:val="0"/>
        </w:numPr>
        <w:tabs>
          <w:tab w:val="left" w:pos="0"/>
        </w:tabs>
        <w:kinsoku/>
        <w:wordWrap/>
        <w:overflowPunct/>
        <w:topLinePunct w:val="0"/>
        <w:autoSpaceDE/>
        <w:autoSpaceDN/>
        <w:bidi w:val="0"/>
        <w:spacing w:line="578" w:lineRule="exact"/>
        <w:ind w:firstLine="640" w:firstLineChars="200"/>
        <w:textAlignment w:val="auto"/>
        <w:outlineLvl w:val="2"/>
        <w:rPr>
          <w:rFonts w:ascii="仿宋_GB2312" w:hAnsi="仿宋_GB2312"/>
          <w:color w:val="000000" w:themeColor="text1"/>
          <w:szCs w:val="32"/>
          <w:highlight w:val="none"/>
          <w:u w:val="none"/>
          <w14:textFill>
            <w14:solidFill>
              <w14:schemeClr w14:val="tx1"/>
            </w14:solidFill>
          </w14:textFill>
        </w:rPr>
      </w:pPr>
      <w:r>
        <w:rPr>
          <w:rFonts w:hint="eastAsia" w:ascii="仿宋_GB2312" w:hAnsi="仿宋_GB2312"/>
          <w:color w:val="000000" w:themeColor="text1"/>
          <w:szCs w:val="32"/>
          <w:highlight w:val="none"/>
          <w:u w:val="none"/>
          <w14:textFill>
            <w14:solidFill>
              <w14:schemeClr w14:val="tx1"/>
            </w14:solidFill>
          </w14:textFill>
        </w:rPr>
        <w:t>申请人和共同申请人有本办法第三十二条第三项至七项规定情形之一的，由主管部门责令限期改正，逾期未改正的，处一万元罚款；情节严重的，处五万元罚款；有违法所得的，依法没收。</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szCs w:val="32"/>
          <w:highlight w:val="none"/>
          <w:u w:val="none"/>
          <w14:textFill>
            <w14:solidFill>
              <w14:schemeClr w14:val="tx1"/>
            </w14:solidFill>
          </w14:textFill>
        </w:rPr>
      </w:pPr>
      <w:r>
        <w:rPr>
          <w:rFonts w:hint="eastAsia" w:ascii="仿宋_GB2312" w:hAnsi="仿宋_GB2312"/>
          <w:color w:val="000000" w:themeColor="text1"/>
          <w:szCs w:val="32"/>
          <w:highlight w:val="none"/>
          <w:u w:val="none"/>
          <w14:textFill>
            <w14:solidFill>
              <w14:schemeClr w14:val="tx1"/>
            </w14:solidFill>
          </w14:textFill>
        </w:rPr>
        <w:t>申请人和共同申请人有本办法第三十二条规定情形之一被解除合同的，主管部门自该租赁合同解除之日起五年内不予受理其住房保障申请。</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szCs w:val="32"/>
          <w:highlight w:val="none"/>
          <w:u w:val="none"/>
          <w14:textFill>
            <w14:solidFill>
              <w14:schemeClr w14:val="tx1"/>
            </w14:solidFill>
          </w14:textFill>
        </w:rPr>
      </w:pPr>
      <w:bookmarkStart w:id="17" w:name="_Hlk22315339"/>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用人单位法律责任</w:t>
      </w:r>
      <w:r>
        <w:rPr>
          <w:rStyle w:val="11"/>
          <w:rFonts w:hint="eastAsia" w:ascii="仿宋_GB2312" w:eastAsia="仿宋_GB2312"/>
          <w:color w:val="000000" w:themeColor="text1"/>
          <w:highlight w:val="none"/>
          <w:u w:val="none"/>
          <w14:textFill>
            <w14:solidFill>
              <w14:schemeClr w14:val="tx1"/>
            </w14:solidFill>
          </w14:textFill>
        </w:rPr>
        <w:t>】</w:t>
      </w:r>
      <w:bookmarkEnd w:id="17"/>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szCs w:val="32"/>
          <w:highlight w:val="none"/>
          <w:u w:val="none"/>
          <w14:textFill>
            <w14:solidFill>
              <w14:schemeClr w14:val="tx1"/>
            </w14:solidFill>
          </w14:textFill>
        </w:rPr>
        <w:t>承租定向配租公共租赁住房的用人单位有本办法第三十三条规定情形的，产权单位或者</w:t>
      </w:r>
      <w:bookmarkStart w:id="18" w:name="_Hlk22828640"/>
      <w:r>
        <w:rPr>
          <w:rFonts w:hint="eastAsia" w:ascii="仿宋_GB2312" w:hAnsi="仿宋_GB2312"/>
          <w:color w:val="000000" w:themeColor="text1"/>
          <w:szCs w:val="32"/>
          <w:highlight w:val="none"/>
          <w:u w:val="none"/>
          <w14:textFill>
            <w14:solidFill>
              <w14:schemeClr w14:val="tx1"/>
            </w14:solidFill>
          </w14:textFill>
        </w:rPr>
        <w:t>运营管理单位应当依法收回违法违规使用的公共租赁住房；情节严重的，依法收回全部公共租赁住房</w:t>
      </w:r>
      <w:bookmarkEnd w:id="18"/>
      <w:r>
        <w:rPr>
          <w:rFonts w:hint="eastAsia" w:ascii="仿宋_GB2312" w:hAnsi="仿宋_GB2312"/>
          <w:color w:val="000000" w:themeColor="text1"/>
          <w:szCs w:val="32"/>
          <w:highlight w:val="none"/>
          <w:u w:val="none"/>
          <w14:textFill>
            <w14:solidFill>
              <w14:schemeClr w14:val="tx1"/>
            </w14:solidFill>
          </w14:textFill>
        </w:rPr>
        <w:t>。</w:t>
      </w:r>
    </w:p>
    <w:p>
      <w:pPr>
        <w:keepNext w:val="0"/>
        <w:keepLines w:val="0"/>
        <w:pageBreakBefore w:val="0"/>
        <w:widowControl w:val="0"/>
        <w:numPr>
          <w:ilvl w:val="255"/>
          <w:numId w:val="0"/>
        </w:numPr>
        <w:tabs>
          <w:tab w:val="left" w:pos="0"/>
        </w:tabs>
        <w:kinsoku/>
        <w:wordWrap/>
        <w:overflowPunct/>
        <w:topLinePunct w:val="0"/>
        <w:autoSpaceDE/>
        <w:autoSpaceDN/>
        <w:bidi w:val="0"/>
        <w:spacing w:line="578" w:lineRule="exact"/>
        <w:ind w:firstLine="640"/>
        <w:textAlignment w:val="auto"/>
        <w:outlineLvl w:val="2"/>
        <w:rPr>
          <w:rFonts w:ascii="仿宋_GB2312" w:hAnsi="仿宋_GB2312"/>
          <w:color w:val="000000" w:themeColor="text1"/>
          <w:szCs w:val="32"/>
          <w:highlight w:val="none"/>
          <w:u w:val="none"/>
          <w14:textFill>
            <w14:solidFill>
              <w14:schemeClr w14:val="tx1"/>
            </w14:solidFill>
          </w14:textFill>
        </w:rPr>
      </w:pPr>
      <w:r>
        <w:rPr>
          <w:rFonts w:hint="eastAsia" w:ascii="仿宋_GB2312" w:hAnsi="仿宋_GB2312"/>
          <w:color w:val="000000" w:themeColor="text1"/>
          <w:szCs w:val="32"/>
          <w:highlight w:val="none"/>
          <w:u w:val="none"/>
          <w14:textFill>
            <w14:solidFill>
              <w14:schemeClr w14:val="tx1"/>
            </w14:solidFill>
          </w14:textFill>
        </w:rPr>
        <w:t>用人单位有本办法第三十三条第三项至八项规定情形之一的，由主管部门责令限期改正，逾期未改正的，处五万元罚款；情节严重的，处十万元罚款；有违法所得的，依法没收。</w:t>
      </w:r>
    </w:p>
    <w:p>
      <w:pPr>
        <w:pStyle w:val="2"/>
        <w:keepNext w:val="0"/>
        <w:keepLines w:val="0"/>
        <w:pageBreakBefore w:val="0"/>
        <w:widowControl w:val="0"/>
        <w:kinsoku/>
        <w:wordWrap/>
        <w:overflowPunct/>
        <w:topLinePunct w:val="0"/>
        <w:autoSpaceDE/>
        <w:autoSpaceDN/>
        <w:bidi w:val="0"/>
        <w:spacing w:after="0" w:line="578" w:lineRule="exact"/>
        <w:ind w:firstLine="640"/>
        <w:textAlignment w:val="auto"/>
        <w:rPr>
          <w:rFonts w:ascii="仿宋_GB2312" w:hAnsi="仿宋_GB2312"/>
          <w:color w:val="000000" w:themeColor="text1"/>
          <w:szCs w:val="32"/>
          <w:highlight w:val="none"/>
          <w:u w:val="none"/>
          <w14:textFill>
            <w14:solidFill>
              <w14:schemeClr w14:val="tx1"/>
            </w14:solidFill>
          </w14:textFill>
        </w:rPr>
      </w:pPr>
      <w:r>
        <w:rPr>
          <w:rFonts w:hint="eastAsia" w:ascii="仿宋_GB2312" w:hAnsi="仿宋_GB2312"/>
          <w:color w:val="000000" w:themeColor="text1"/>
          <w:szCs w:val="32"/>
          <w:highlight w:val="none"/>
          <w:u w:val="none"/>
          <w14:textFill>
            <w14:solidFill>
              <w14:schemeClr w14:val="tx1"/>
            </w14:solidFill>
          </w14:textFill>
        </w:rPr>
        <w:t>用人单位有本办法第三十三条</w:t>
      </w:r>
      <w:bookmarkStart w:id="19" w:name="_Hlk22315556"/>
      <w:r>
        <w:rPr>
          <w:rFonts w:hint="eastAsia" w:ascii="仿宋_GB2312" w:hAnsi="仿宋_GB2312"/>
          <w:color w:val="000000" w:themeColor="text1"/>
          <w:szCs w:val="32"/>
          <w:highlight w:val="none"/>
          <w:u w:val="none"/>
          <w14:textFill>
            <w14:solidFill>
              <w14:schemeClr w14:val="tx1"/>
            </w14:solidFill>
          </w14:textFill>
        </w:rPr>
        <w:t>规定</w:t>
      </w:r>
      <w:bookmarkEnd w:id="19"/>
      <w:r>
        <w:rPr>
          <w:rFonts w:hint="eastAsia" w:ascii="仿宋_GB2312" w:hAnsi="仿宋_GB2312"/>
          <w:color w:val="000000" w:themeColor="text1"/>
          <w:szCs w:val="32"/>
          <w:highlight w:val="none"/>
          <w:u w:val="none"/>
          <w14:textFill>
            <w14:solidFill>
              <w14:schemeClr w14:val="tx1"/>
            </w14:solidFill>
          </w14:textFill>
        </w:rPr>
        <w:t>情形之一被解除合同的，主管部门自该租赁合同解除</w:t>
      </w:r>
      <w:r>
        <w:rPr>
          <w:rFonts w:hint="eastAsia" w:ascii="仿宋_GB2312" w:hAnsi="仿宋_GB2312"/>
          <w:color w:val="000000" w:themeColor="text1"/>
          <w:sz w:val="32"/>
          <w:szCs w:val="32"/>
          <w:highlight w:val="none"/>
          <w:u w:val="none"/>
          <w14:textFill>
            <w14:solidFill>
              <w14:schemeClr w14:val="tx1"/>
            </w14:solidFill>
          </w14:textFill>
        </w:rPr>
        <w:t>之日</w:t>
      </w:r>
      <w:r>
        <w:rPr>
          <w:rFonts w:hint="eastAsia" w:ascii="仿宋_GB2312" w:hAnsi="仿宋_GB2312"/>
          <w:color w:val="000000" w:themeColor="text1"/>
          <w:szCs w:val="32"/>
          <w:highlight w:val="none"/>
          <w:u w:val="none"/>
          <w14:textFill>
            <w14:solidFill>
              <w14:schemeClr w14:val="tx1"/>
            </w14:solidFill>
          </w14:textFill>
        </w:rPr>
        <w:t>起五年内不予受理其住房保障申请。</w:t>
      </w:r>
    </w:p>
    <w:bookmarkEnd w:id="16"/>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szCs w:val="32"/>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房地产经纪机构违规处理</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szCs w:val="32"/>
          <w:highlight w:val="none"/>
          <w:u w:val="none"/>
          <w14:textFill>
            <w14:solidFill>
              <w14:schemeClr w14:val="tx1"/>
            </w14:solidFill>
          </w14:textFill>
        </w:rPr>
        <w:t>房地产经纪机构及经纪人员违反本办法第三十五条规定的，由主管部门责令限期改正，记入房地产经纪信用档案；对房地产经纪人员，处三万元罚款；对房地产经纪机构，暂停网上签约权限，处十万元罚款。</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部门及工作人员法律责任</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Style w:val="11"/>
          <w:rFonts w:hint="eastAsia" w:ascii="仿宋_GB2312" w:hAnsi="仿宋_GB2312" w:eastAsia="仿宋_GB2312"/>
          <w:color w:val="000000" w:themeColor="text1"/>
          <w:highlight w:val="none"/>
          <w:u w:val="none"/>
          <w14:textFill>
            <w14:solidFill>
              <w14:schemeClr w14:val="tx1"/>
            </w14:solidFill>
          </w14:textFill>
        </w:rPr>
        <w:t>主管部门或者</w:t>
      </w:r>
      <w:r>
        <w:rPr>
          <w:rFonts w:hint="eastAsia" w:ascii="仿宋_GB2312" w:hAnsi="仿宋_GB2312"/>
          <w:color w:val="000000" w:themeColor="text1"/>
          <w:szCs w:val="32"/>
          <w:highlight w:val="none"/>
          <w:u w:val="none"/>
          <w14:textFill>
            <w14:solidFill>
              <w14:schemeClr w14:val="tx1"/>
            </w14:solidFill>
          </w14:textFill>
        </w:rPr>
        <w:t>其他相关部门及其工作人员违反本办法规定不履行职责的，依法追究</w:t>
      </w:r>
      <w:r>
        <w:rPr>
          <w:rFonts w:hint="eastAsia" w:ascii="仿宋_GB2312" w:hAnsi="仿宋_GB2312"/>
          <w:color w:val="000000" w:themeColor="text1"/>
          <w:szCs w:val="32"/>
          <w:highlight w:val="none"/>
          <w:u w:val="none"/>
          <w:lang w:eastAsia="zh-CN"/>
          <w14:textFill>
            <w14:solidFill>
              <w14:schemeClr w14:val="tx1"/>
            </w14:solidFill>
          </w14:textFill>
        </w:rPr>
        <w:t>其</w:t>
      </w:r>
      <w:r>
        <w:rPr>
          <w:rFonts w:hint="eastAsia" w:ascii="仿宋_GB2312" w:hAnsi="仿宋_GB2312"/>
          <w:color w:val="000000" w:themeColor="text1"/>
          <w:szCs w:val="32"/>
          <w:highlight w:val="none"/>
          <w:u w:val="none"/>
          <w14:textFill>
            <w14:solidFill>
              <w14:schemeClr w14:val="tx1"/>
            </w14:solidFill>
          </w14:textFill>
        </w:rPr>
        <w:t>行政责任；构成犯罪的，依法追究</w:t>
      </w:r>
      <w:r>
        <w:rPr>
          <w:rFonts w:hint="eastAsia" w:ascii="仿宋_GB2312" w:hAnsi="仿宋_GB2312"/>
          <w:color w:val="000000" w:themeColor="text1"/>
          <w:szCs w:val="32"/>
          <w:highlight w:val="none"/>
          <w:u w:val="none"/>
          <w:lang w:eastAsia="zh-CN"/>
          <w14:textFill>
            <w14:solidFill>
              <w14:schemeClr w14:val="tx1"/>
            </w14:solidFill>
          </w14:textFill>
        </w:rPr>
        <w:t>其</w:t>
      </w:r>
      <w:r>
        <w:rPr>
          <w:rFonts w:hint="eastAsia" w:ascii="仿宋_GB2312" w:hAnsi="仿宋_GB2312"/>
          <w:color w:val="000000" w:themeColor="text1"/>
          <w:szCs w:val="32"/>
          <w:highlight w:val="none"/>
          <w:u w:val="none"/>
          <w14:textFill>
            <w14:solidFill>
              <w14:schemeClr w14:val="tx1"/>
            </w14:solidFill>
          </w14:textFill>
        </w:rPr>
        <w:t>刑事责任。</w:t>
      </w:r>
    </w:p>
    <w:p>
      <w:pPr>
        <w:pStyle w:val="2"/>
        <w:keepNext w:val="0"/>
        <w:keepLines w:val="0"/>
        <w:pageBreakBefore w:val="0"/>
        <w:widowControl w:val="0"/>
        <w:kinsoku/>
        <w:wordWrap/>
        <w:overflowPunct/>
        <w:topLinePunct w:val="0"/>
        <w:autoSpaceDE/>
        <w:autoSpaceDN/>
        <w:bidi w:val="0"/>
        <w:spacing w:after="0" w:line="578" w:lineRule="exact"/>
        <w:textAlignment w:val="auto"/>
        <w:rPr>
          <w:color w:val="000000" w:themeColor="text1"/>
          <w:u w:val="none"/>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before="0" w:after="0" w:line="578" w:lineRule="exact"/>
        <w:ind w:firstLine="0" w:firstLineChars="0"/>
        <w:textAlignment w:val="auto"/>
        <w:rPr>
          <w:rFonts w:hint="eastAsia" w:ascii="黑体" w:hAnsi="黑体"/>
          <w:b w:val="0"/>
          <w:bCs w:val="0"/>
          <w:color w:val="000000" w:themeColor="text1"/>
          <w:highlight w:val="none"/>
          <w:u w:val="none"/>
          <w14:textFill>
            <w14:solidFill>
              <w14:schemeClr w14:val="tx1"/>
            </w14:solidFill>
          </w14:textFill>
        </w:rPr>
      </w:pPr>
      <w:r>
        <w:rPr>
          <w:rFonts w:hint="eastAsia" w:ascii="黑体" w:hAnsi="黑体"/>
          <w:b w:val="0"/>
          <w:bCs w:val="0"/>
          <w:color w:val="000000" w:themeColor="text1"/>
          <w:highlight w:val="none"/>
          <w:u w:val="none"/>
          <w14:textFill>
            <w14:solidFill>
              <w14:schemeClr w14:val="tx1"/>
            </w14:solidFill>
          </w14:textFill>
        </w:rPr>
        <w:t>第六章</w:t>
      </w:r>
      <w:r>
        <w:rPr>
          <w:rFonts w:ascii="黑体" w:hAnsi="黑体"/>
          <w:b w:val="0"/>
          <w:bCs w:val="0"/>
          <w:color w:val="000000" w:themeColor="text1"/>
          <w:highlight w:val="none"/>
          <w:u w:val="none"/>
          <w14:textFill>
            <w14:solidFill>
              <w14:schemeClr w14:val="tx1"/>
            </w14:solidFill>
          </w14:textFill>
        </w:rPr>
        <w:t xml:space="preserve"> </w:t>
      </w:r>
      <w:r>
        <w:rPr>
          <w:rFonts w:hint="eastAsia" w:ascii="黑体" w:hAnsi="黑体"/>
          <w:b w:val="0"/>
          <w:bCs w:val="0"/>
          <w:color w:val="000000" w:themeColor="text1"/>
          <w:highlight w:val="none"/>
          <w:u w:val="none"/>
          <w14:textFill>
            <w14:solidFill>
              <w14:schemeClr w14:val="tx1"/>
            </w14:solidFill>
          </w14:textFill>
        </w:rPr>
        <w:t>附则</w:t>
      </w:r>
    </w:p>
    <w:p>
      <w:pPr>
        <w:keepNext w:val="0"/>
        <w:keepLines w:val="0"/>
        <w:pageBreakBefore w:val="0"/>
        <w:widowControl w:val="0"/>
        <w:kinsoku/>
        <w:wordWrap/>
        <w:overflowPunct/>
        <w:topLinePunct w:val="0"/>
        <w:autoSpaceDE/>
        <w:autoSpaceDN/>
        <w:bidi w:val="0"/>
        <w:spacing w:line="578" w:lineRule="exact"/>
        <w:textAlignment w:val="auto"/>
        <w:rPr>
          <w:color w:val="000000" w:themeColor="text1"/>
          <w:u w:val="none"/>
          <w14:textFill>
            <w14:solidFill>
              <w14:schemeClr w14:val="tx1"/>
            </w14:solidFill>
          </w14:textFill>
        </w:rPr>
      </w:pP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用语定义</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本办法下列用语的含义是：</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（一）自有住房</w:t>
      </w:r>
      <w:bookmarkStart w:id="20" w:name="_Hlk18501635"/>
      <w:r>
        <w:rPr>
          <w:rFonts w:hint="eastAsia" w:ascii="仿宋_GB2312" w:hAnsi="仿宋_GB2312"/>
          <w:color w:val="000000" w:themeColor="text1"/>
          <w:highlight w:val="none"/>
          <w:u w:val="none"/>
          <w14:textFill>
            <w14:solidFill>
              <w14:schemeClr w14:val="tx1"/>
            </w14:solidFill>
          </w14:textFill>
        </w:rPr>
        <w:t>，是指已经取得权属证书或者实际拥有但未取得权属证书的各类具有居住功能的房屋，</w:t>
      </w:r>
      <w:bookmarkEnd w:id="20"/>
      <w:r>
        <w:rPr>
          <w:rFonts w:hint="eastAsia" w:ascii="仿宋_GB2312" w:hAnsi="仿宋_GB2312"/>
          <w:color w:val="000000" w:themeColor="text1"/>
          <w:highlight w:val="none"/>
          <w:u w:val="none"/>
          <w14:textFill>
            <w14:solidFill>
              <w14:schemeClr w14:val="tx1"/>
            </w14:solidFill>
          </w14:textFill>
        </w:rPr>
        <w:t>包括</w:t>
      </w:r>
      <w:bookmarkStart w:id="21" w:name="_Hlk18501647"/>
      <w:r>
        <w:rPr>
          <w:rFonts w:hint="eastAsia" w:ascii="仿宋_GB2312" w:hAnsi="仿宋_GB2312"/>
          <w:color w:val="000000" w:themeColor="text1"/>
          <w:highlight w:val="none"/>
          <w:u w:val="none"/>
          <w14:textFill>
            <w14:solidFill>
              <w14:schemeClr w14:val="tx1"/>
            </w14:solidFill>
          </w14:textFill>
        </w:rPr>
        <w:t>但不限于</w:t>
      </w:r>
      <w:bookmarkEnd w:id="21"/>
      <w:r>
        <w:rPr>
          <w:rFonts w:hint="eastAsia" w:ascii="仿宋_GB2312" w:hAnsi="仿宋_GB2312"/>
          <w:color w:val="000000" w:themeColor="text1"/>
          <w:highlight w:val="none"/>
          <w:u w:val="none"/>
          <w14:textFill>
            <w14:solidFill>
              <w14:schemeClr w14:val="tx1"/>
            </w14:solidFill>
          </w14:textFill>
        </w:rPr>
        <w:t>政策性住房、拆迁安置房、军产房、自建私房、商品住房等；</w:t>
      </w:r>
    </w:p>
    <w:p>
      <w:pPr>
        <w:keepNext w:val="0"/>
        <w:keepLines w:val="0"/>
        <w:pageBreakBefore w:val="0"/>
        <w:widowControl w:val="0"/>
        <w:kinsoku/>
        <w:wordWrap/>
        <w:overflowPunct/>
        <w:topLinePunct w:val="0"/>
        <w:autoSpaceDE/>
        <w:autoSpaceDN/>
        <w:bidi w:val="0"/>
        <w:spacing w:line="578" w:lineRule="exact"/>
        <w:ind w:firstLine="640"/>
        <w:textAlignment w:val="auto"/>
        <w:rPr>
          <w:rFonts w:hint="eastAsia"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（二）政策性住房，是指各类带有政策优惠性质的住房，包括准成本房、全成本房、全成本微利房、社会微利房、</w:t>
      </w:r>
      <w:r>
        <w:rPr>
          <w:rFonts w:hint="eastAsia" w:ascii="仿宋_GB2312" w:hAnsi="仿宋_GB2312" w:cs="仿宋_GB2312"/>
          <w:color w:val="000000" w:themeColor="text1"/>
          <w:szCs w:val="32"/>
          <w:highlight w:val="none"/>
          <w:u w:val="none"/>
          <w14:textFill>
            <w14:solidFill>
              <w14:schemeClr w14:val="tx1"/>
            </w14:solidFill>
          </w14:textFill>
        </w:rPr>
        <w:t>单位集资合作建房、</w:t>
      </w:r>
      <w:r>
        <w:rPr>
          <w:rFonts w:hint="eastAsia" w:ascii="仿宋_GB2312" w:hAnsi="仿宋_GB2312"/>
          <w:color w:val="000000" w:themeColor="text1"/>
          <w:highlight w:val="none"/>
          <w:u w:val="none"/>
          <w14:textFill>
            <w14:solidFill>
              <w14:schemeClr w14:val="tx1"/>
            </w14:solidFill>
          </w14:textFill>
        </w:rPr>
        <w:t>经济适用住房、限价商品房、安居型商品房和共有产权住房等；</w:t>
      </w:r>
    </w:p>
    <w:p>
      <w:pPr>
        <w:pStyle w:val="2"/>
        <w:keepNext w:val="0"/>
        <w:keepLines w:val="0"/>
        <w:pageBreakBefore w:val="0"/>
        <w:widowControl w:val="0"/>
        <w:kinsoku/>
        <w:wordWrap/>
        <w:overflowPunct/>
        <w:topLinePunct w:val="0"/>
        <w:autoSpaceDE/>
        <w:autoSpaceDN/>
        <w:bidi w:val="0"/>
        <w:spacing w:after="0" w:line="578" w:lineRule="exact"/>
        <w:ind w:firstLine="640"/>
        <w:textAlignment w:val="auto"/>
        <w:rPr>
          <w:rFonts w:hint="default" w:eastAsia="仿宋_GB2312"/>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（三）</w:t>
      </w:r>
      <w:r>
        <w:rPr>
          <w:rFonts w:hint="eastAsia"/>
          <w:color w:val="000000" w:themeColor="text1"/>
          <w:u w:val="none"/>
          <w14:textFill>
            <w14:solidFill>
              <w14:schemeClr w14:val="tx1"/>
            </w14:solidFill>
          </w14:textFill>
        </w:rPr>
        <w:t>住房保障优惠政策，是指根据住房保障的相关法规、规章、规范性文件规定，在承租、购买具有保障性质的住房或者领取货币补贴等方面享受的相关优惠政策</w:t>
      </w:r>
      <w:r>
        <w:rPr>
          <w:rFonts w:hint="eastAsia"/>
          <w:color w:val="000000" w:themeColor="text1"/>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bookmarkStart w:id="22" w:name="_Hlk22829762"/>
      <w:r>
        <w:rPr>
          <w:rFonts w:hint="eastAsia" w:ascii="仿宋_GB2312" w:hAnsi="仿宋_GB2312"/>
          <w:color w:val="000000" w:themeColor="text1"/>
          <w:highlight w:val="none"/>
          <w:u w:val="none"/>
          <w14:textFill>
            <w14:solidFill>
              <w14:schemeClr w14:val="tx1"/>
            </w14:solidFill>
          </w14:textFill>
        </w:rPr>
        <w:t>（</w:t>
      </w:r>
      <w:r>
        <w:rPr>
          <w:rFonts w:hint="eastAsia" w:ascii="仿宋_GB2312" w:hAnsi="仿宋_GB2312"/>
          <w:color w:val="000000" w:themeColor="text1"/>
          <w:highlight w:val="none"/>
          <w:u w:val="none"/>
          <w:lang w:val="en-US" w:eastAsia="zh-CN"/>
          <w14:textFill>
            <w14:solidFill>
              <w14:schemeClr w14:val="tx1"/>
            </w14:solidFill>
          </w14:textFill>
        </w:rPr>
        <w:t>四</w:t>
      </w:r>
      <w:r>
        <w:rPr>
          <w:rFonts w:hint="eastAsia" w:ascii="仿宋_GB2312" w:hAnsi="仿宋_GB2312"/>
          <w:color w:val="000000" w:themeColor="text1"/>
          <w:highlight w:val="none"/>
          <w:u w:val="none"/>
          <w14:textFill>
            <w14:solidFill>
              <w14:schemeClr w14:val="tx1"/>
            </w14:solidFill>
          </w14:textFill>
        </w:rPr>
        <w:t>）住房租赁补贴，是指面向符合条件的特困人员、低保和低保边缘家庭以及其他住房困难居民发放的货币补贴；</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w:t>
      </w:r>
      <w:r>
        <w:rPr>
          <w:rFonts w:hint="eastAsia" w:ascii="仿宋_GB2312" w:hAnsi="仿宋_GB2312"/>
          <w:color w:val="000000" w:themeColor="text1"/>
          <w:highlight w:val="none"/>
          <w:u w:val="none"/>
          <w:lang w:val="en-US" w:eastAsia="zh-CN"/>
          <w14:textFill>
            <w14:solidFill>
              <w14:schemeClr w14:val="tx1"/>
            </w14:solidFill>
          </w14:textFill>
        </w:rPr>
        <w:t>五</w:t>
      </w:r>
      <w:r>
        <w:rPr>
          <w:rFonts w:hint="eastAsia" w:ascii="仿宋_GB2312" w:hAnsi="仿宋_GB2312"/>
          <w:color w:val="000000" w:themeColor="text1"/>
          <w:highlight w:val="none"/>
          <w:u w:val="none"/>
          <w14:textFill>
            <w14:solidFill>
              <w14:schemeClr w14:val="tx1"/>
            </w14:solidFill>
          </w14:textFill>
        </w:rPr>
        <w:t>）运营管理单位，是指受产权单位委托，对公共租赁住房进行租赁和运营管理的组织；</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w:t>
      </w:r>
      <w:r>
        <w:rPr>
          <w:rFonts w:hint="eastAsia" w:ascii="仿宋_GB2312" w:hAnsi="仿宋_GB2312"/>
          <w:color w:val="000000" w:themeColor="text1"/>
          <w:highlight w:val="none"/>
          <w:u w:val="none"/>
          <w:lang w:val="en-US" w:eastAsia="zh-CN"/>
          <w14:textFill>
            <w14:solidFill>
              <w14:schemeClr w14:val="tx1"/>
            </w14:solidFill>
          </w14:textFill>
        </w:rPr>
        <w:t>六</w:t>
      </w:r>
      <w:r>
        <w:rPr>
          <w:rFonts w:hint="eastAsia" w:ascii="仿宋_GB2312" w:hAnsi="仿宋_GB2312"/>
          <w:color w:val="000000" w:themeColor="text1"/>
          <w:highlight w:val="none"/>
          <w:u w:val="none"/>
          <w14:textFill>
            <w14:solidFill>
              <w14:schemeClr w14:val="tx1"/>
            </w14:solidFill>
          </w14:textFill>
        </w:rPr>
        <w:t>）在册轮候人，是指已纳入公共租赁住房轮候册的申请家庭和单身居民；</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w:t>
      </w:r>
      <w:r>
        <w:rPr>
          <w:rFonts w:hint="eastAsia" w:ascii="仿宋_GB2312" w:hAnsi="仿宋_GB2312"/>
          <w:color w:val="000000" w:themeColor="text1"/>
          <w:highlight w:val="none"/>
          <w:u w:val="none"/>
          <w:lang w:val="en-US" w:eastAsia="zh-CN"/>
          <w14:textFill>
            <w14:solidFill>
              <w14:schemeClr w14:val="tx1"/>
            </w14:solidFill>
          </w14:textFill>
        </w:rPr>
        <w:t>七</w:t>
      </w:r>
      <w:r>
        <w:rPr>
          <w:rFonts w:hint="eastAsia" w:ascii="仿宋_GB2312" w:hAnsi="仿宋_GB2312"/>
          <w:color w:val="000000" w:themeColor="text1"/>
          <w:highlight w:val="none"/>
          <w:u w:val="none"/>
          <w14:textFill>
            <w14:solidFill>
              <w14:schemeClr w14:val="tx1"/>
            </w14:solidFill>
          </w14:textFill>
        </w:rPr>
        <w:t>）认租申请家庭，是指按照配租通告的要求在线提交认租申请的在册轮候人。</w:t>
      </w:r>
      <w:bookmarkEnd w:id="22"/>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color w:val="000000" w:themeColor="text1"/>
          <w:highlight w:val="none"/>
          <w:u w:val="none"/>
          <w14:textFill>
            <w14:solidFill>
              <w14:schemeClr w14:val="tx1"/>
            </w14:solidFill>
          </w14:textFill>
        </w:rPr>
      </w:pPr>
      <w:r>
        <w:rPr>
          <w:rFonts w:ascii="黑体" w:hAnsi="黑体" w:eastAsia="黑体"/>
          <w:color w:val="000000" w:themeColor="text1"/>
          <w:szCs w:val="32"/>
          <w:highlight w:val="none"/>
          <w:u w:val="none"/>
          <w14:textFill>
            <w14:solidFill>
              <w14:schemeClr w14:val="tx1"/>
            </w14:solidFill>
          </w14:textFill>
        </w:rPr>
        <w:t>【</w:t>
      </w:r>
      <w:r>
        <w:rPr>
          <w:rFonts w:hint="eastAsia" w:ascii="黑体" w:hAnsi="黑体" w:eastAsia="黑体"/>
          <w:color w:val="000000" w:themeColor="text1"/>
          <w:szCs w:val="32"/>
          <w:highlight w:val="none"/>
          <w:u w:val="none"/>
          <w14:textFill>
            <w14:solidFill>
              <w14:schemeClr w14:val="tx1"/>
            </w14:solidFill>
          </w14:textFill>
        </w:rPr>
        <w:t>住房租赁</w:t>
      </w:r>
      <w:r>
        <w:rPr>
          <w:rFonts w:ascii="黑体" w:hAnsi="黑体" w:eastAsia="黑体"/>
          <w:color w:val="000000" w:themeColor="text1"/>
          <w:szCs w:val="32"/>
          <w:highlight w:val="none"/>
          <w:u w:val="none"/>
          <w14:textFill>
            <w14:solidFill>
              <w14:schemeClr w14:val="tx1"/>
            </w14:solidFill>
          </w14:textFill>
        </w:rPr>
        <w:t>补贴】</w:t>
      </w:r>
      <w:r>
        <w:rPr>
          <w:rFonts w:hint="eastAsia" w:ascii="黑体" w:hAnsi="黑体" w:eastAsia="黑体"/>
          <w:color w:val="000000" w:themeColor="text1"/>
          <w:szCs w:val="32"/>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公共租赁住房采取实物配置和货币补贴两种方式实施。</w:t>
      </w:r>
      <w:r>
        <w:rPr>
          <w:rFonts w:ascii="仿宋_GB2312" w:hAnsi="仿宋_GB2312"/>
          <w:color w:val="000000" w:themeColor="text1"/>
          <w:szCs w:val="32"/>
          <w:highlight w:val="none"/>
          <w:u w:val="none"/>
          <w14:textFill>
            <w14:solidFill>
              <w14:schemeClr w14:val="tx1"/>
            </w14:solidFill>
          </w14:textFill>
        </w:rPr>
        <w:t>对符合条件的</w:t>
      </w:r>
      <w:r>
        <w:rPr>
          <w:rFonts w:hint="eastAsia" w:ascii="仿宋_GB2312" w:hAnsi="仿宋_GB2312"/>
          <w:color w:val="000000" w:themeColor="text1"/>
          <w:szCs w:val="32"/>
          <w:highlight w:val="none"/>
          <w:u w:val="none"/>
          <w14:textFill>
            <w14:solidFill>
              <w14:schemeClr w14:val="tx1"/>
            </w14:solidFill>
          </w14:textFill>
        </w:rPr>
        <w:t>在册轮候人</w:t>
      </w:r>
      <w:r>
        <w:rPr>
          <w:rFonts w:ascii="仿宋_GB2312" w:hAnsi="仿宋_GB2312"/>
          <w:color w:val="000000" w:themeColor="text1"/>
          <w:szCs w:val="32"/>
          <w:highlight w:val="none"/>
          <w:u w:val="none"/>
          <w14:textFill>
            <w14:solidFill>
              <w14:schemeClr w14:val="tx1"/>
            </w14:solidFill>
          </w14:textFill>
        </w:rPr>
        <w:t>，可以</w:t>
      </w:r>
      <w:r>
        <w:rPr>
          <w:rFonts w:hint="eastAsia" w:ascii="仿宋_GB2312" w:hAnsi="仿宋_GB2312"/>
          <w:color w:val="000000" w:themeColor="text1"/>
          <w:szCs w:val="32"/>
          <w:highlight w:val="none"/>
          <w:u w:val="none"/>
          <w14:textFill>
            <w14:solidFill>
              <w14:schemeClr w14:val="tx1"/>
            </w14:solidFill>
          </w14:textFill>
        </w:rPr>
        <w:t>按</w:t>
      </w:r>
      <w:r>
        <w:rPr>
          <w:rFonts w:hint="eastAsia" w:ascii="仿宋_GB2312" w:hAnsi="仿宋_GB2312"/>
          <w:color w:val="000000" w:themeColor="text1"/>
          <w:szCs w:val="32"/>
          <w:highlight w:val="none"/>
          <w:u w:val="none"/>
          <w:lang w:val="en-US" w:eastAsia="zh-CN"/>
          <w14:textFill>
            <w14:solidFill>
              <w14:schemeClr w14:val="tx1"/>
            </w14:solidFill>
          </w14:textFill>
        </w:rPr>
        <w:t>照</w:t>
      </w:r>
      <w:r>
        <w:rPr>
          <w:rFonts w:hint="eastAsia" w:ascii="仿宋_GB2312" w:hAnsi="仿宋_GB2312"/>
          <w:color w:val="000000" w:themeColor="text1"/>
          <w:szCs w:val="32"/>
          <w:highlight w:val="none"/>
          <w:u w:val="none"/>
          <w14:textFill>
            <w14:solidFill>
              <w14:schemeClr w14:val="tx1"/>
            </w14:solidFill>
          </w14:textFill>
        </w:rPr>
        <w:t>规定</w:t>
      </w:r>
      <w:r>
        <w:rPr>
          <w:rFonts w:ascii="仿宋_GB2312" w:hAnsi="仿宋_GB2312"/>
          <w:color w:val="000000" w:themeColor="text1"/>
          <w:szCs w:val="32"/>
          <w:highlight w:val="none"/>
          <w:u w:val="none"/>
          <w14:textFill>
            <w14:solidFill>
              <w14:schemeClr w14:val="tx1"/>
            </w14:solidFill>
          </w14:textFill>
        </w:rPr>
        <w:t>申请</w:t>
      </w:r>
      <w:r>
        <w:rPr>
          <w:rFonts w:hint="eastAsia" w:ascii="仿宋_GB2312" w:hAnsi="仿宋_GB2312"/>
          <w:color w:val="000000" w:themeColor="text1"/>
          <w:szCs w:val="32"/>
          <w:highlight w:val="none"/>
          <w:u w:val="none"/>
          <w14:textFill>
            <w14:solidFill>
              <w14:schemeClr w14:val="tx1"/>
            </w14:solidFill>
          </w14:textFill>
        </w:rPr>
        <w:t>住房租赁</w:t>
      </w:r>
      <w:r>
        <w:rPr>
          <w:rFonts w:ascii="仿宋_GB2312" w:hAnsi="仿宋_GB2312"/>
          <w:color w:val="000000" w:themeColor="text1"/>
          <w:szCs w:val="32"/>
          <w:highlight w:val="none"/>
          <w:u w:val="none"/>
          <w14:textFill>
            <w14:solidFill>
              <w14:schemeClr w14:val="tx1"/>
            </w14:solidFill>
          </w14:textFill>
        </w:rPr>
        <w:t>补贴</w:t>
      </w:r>
      <w:r>
        <w:rPr>
          <w:rFonts w:hint="eastAsia" w:ascii="仿宋_GB2312" w:hAnsi="仿宋_GB2312"/>
          <w:color w:val="000000" w:themeColor="text1"/>
          <w:szCs w:val="32"/>
          <w:highlight w:val="none"/>
          <w:u w:val="none"/>
          <w14:textFill>
            <w14:solidFill>
              <w14:schemeClr w14:val="tx1"/>
            </w14:solidFill>
          </w14:textFill>
        </w:rPr>
        <w:t>，</w:t>
      </w:r>
      <w:r>
        <w:rPr>
          <w:rFonts w:ascii="仿宋_GB2312" w:hAnsi="仿宋_GB2312"/>
          <w:color w:val="000000" w:themeColor="text1"/>
          <w:szCs w:val="32"/>
          <w:highlight w:val="none"/>
          <w:u w:val="none"/>
          <w14:textFill>
            <w14:solidFill>
              <w14:schemeClr w14:val="tx1"/>
            </w14:solidFill>
          </w14:textFill>
        </w:rPr>
        <w:t>领取</w:t>
      </w:r>
      <w:r>
        <w:rPr>
          <w:rFonts w:hint="eastAsia" w:ascii="仿宋_GB2312" w:hAnsi="仿宋_GB2312"/>
          <w:color w:val="000000" w:themeColor="text1"/>
          <w:szCs w:val="32"/>
          <w:highlight w:val="none"/>
          <w:u w:val="none"/>
          <w14:textFill>
            <w14:solidFill>
              <w14:schemeClr w14:val="tx1"/>
            </w14:solidFill>
          </w14:textFill>
        </w:rPr>
        <w:t>住房租赁</w:t>
      </w:r>
      <w:r>
        <w:rPr>
          <w:rFonts w:ascii="仿宋_GB2312" w:hAnsi="仿宋_GB2312"/>
          <w:color w:val="000000" w:themeColor="text1"/>
          <w:szCs w:val="32"/>
          <w:highlight w:val="none"/>
          <w:u w:val="none"/>
          <w14:textFill>
            <w14:solidFill>
              <w14:schemeClr w14:val="tx1"/>
            </w14:solidFill>
          </w14:textFill>
        </w:rPr>
        <w:t>补贴</w:t>
      </w:r>
      <w:r>
        <w:rPr>
          <w:rFonts w:hint="eastAsia" w:ascii="仿宋_GB2312" w:hAnsi="仿宋_GB2312"/>
          <w:color w:val="000000" w:themeColor="text1"/>
          <w:szCs w:val="32"/>
          <w:highlight w:val="none"/>
          <w:u w:val="none"/>
          <w14:textFill>
            <w14:solidFill>
              <w14:schemeClr w14:val="tx1"/>
            </w14:solidFill>
          </w14:textFill>
        </w:rPr>
        <w:t>后，</w:t>
      </w:r>
      <w:r>
        <w:rPr>
          <w:rFonts w:ascii="仿宋_GB2312" w:hAnsi="仿宋_GB2312"/>
          <w:color w:val="000000" w:themeColor="text1"/>
          <w:szCs w:val="32"/>
          <w:highlight w:val="none"/>
          <w:u w:val="none"/>
          <w14:textFill>
            <w14:solidFill>
              <w14:schemeClr w14:val="tx1"/>
            </w14:solidFill>
          </w14:textFill>
        </w:rPr>
        <w:t>应当退出轮候册。</w:t>
      </w:r>
      <w:r>
        <w:rPr>
          <w:rFonts w:hint="eastAsia" w:ascii="仿宋_GB2312" w:hAnsi="仿宋_GB2312"/>
          <w:color w:val="000000" w:themeColor="text1"/>
          <w:szCs w:val="32"/>
          <w:highlight w:val="none"/>
          <w:u w:val="none"/>
          <w14:textFill>
            <w14:solidFill>
              <w14:schemeClr w14:val="tx1"/>
            </w14:solidFill>
          </w14:textFill>
        </w:rPr>
        <w:t>住房租赁</w:t>
      </w:r>
      <w:r>
        <w:rPr>
          <w:rFonts w:ascii="仿宋_GB2312" w:hAnsi="仿宋_GB2312"/>
          <w:color w:val="000000" w:themeColor="text1"/>
          <w:szCs w:val="32"/>
          <w:highlight w:val="none"/>
          <w:u w:val="none"/>
          <w14:textFill>
            <w14:solidFill>
              <w14:schemeClr w14:val="tx1"/>
            </w14:solidFill>
          </w14:textFill>
        </w:rPr>
        <w:t>补贴</w:t>
      </w:r>
      <w:r>
        <w:rPr>
          <w:rFonts w:hint="eastAsia" w:ascii="仿宋_GB2312" w:hAnsi="仿宋_GB2312"/>
          <w:color w:val="000000" w:themeColor="text1"/>
          <w:szCs w:val="32"/>
          <w:highlight w:val="none"/>
          <w:u w:val="none"/>
          <w14:textFill>
            <w14:solidFill>
              <w14:schemeClr w14:val="tx1"/>
            </w14:solidFill>
          </w14:textFill>
        </w:rPr>
        <w:t>政策</w:t>
      </w:r>
      <w:r>
        <w:rPr>
          <w:rFonts w:ascii="仿宋_GB2312" w:hAnsi="仿宋_GB2312"/>
          <w:color w:val="000000" w:themeColor="text1"/>
          <w:szCs w:val="32"/>
          <w:highlight w:val="none"/>
          <w:u w:val="none"/>
          <w14:textFill>
            <w14:solidFill>
              <w14:schemeClr w14:val="tx1"/>
            </w14:solidFill>
          </w14:textFill>
        </w:rPr>
        <w:t>由市主管部门会同相关部门另行制定。</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color w:val="000000" w:themeColor="text1"/>
          <w:highlight w:val="none"/>
          <w:u w:val="none"/>
          <w14:textFill>
            <w14:solidFill>
              <w14:schemeClr w14:val="tx1"/>
            </w14:solidFill>
          </w14:textFill>
        </w:rPr>
      </w:pPr>
      <w:r>
        <w:rPr>
          <w:rFonts w:hint="eastAsia" w:ascii="黑体" w:hAnsi="黑体" w:eastAsia="黑体" w:cs="黑体"/>
          <w:color w:val="000000" w:themeColor="text1"/>
          <w:highlight w:val="none"/>
          <w:u w:val="none"/>
          <w14:textFill>
            <w14:solidFill>
              <w14:schemeClr w14:val="tx1"/>
            </w14:solidFill>
          </w14:textFill>
        </w:rPr>
        <w:t>【数量关系界定】</w:t>
      </w:r>
      <w:r>
        <w:rPr>
          <w:rFonts w:hint="eastAsia" w:ascii="黑体" w:hAnsi="黑体" w:eastAsia="黑体" w:cs="黑体"/>
          <w:color w:val="000000" w:themeColor="text1"/>
          <w:highlight w:val="none"/>
          <w:u w:val="none"/>
          <w:lang w:val="en-US" w:eastAsia="zh-CN"/>
          <w14:textFill>
            <w14:solidFill>
              <w14:schemeClr w14:val="tx1"/>
            </w14:solidFill>
          </w14:textFill>
        </w:rPr>
        <w:t xml:space="preserve">  </w:t>
      </w:r>
      <w:r>
        <w:rPr>
          <w:rFonts w:hint="eastAsia"/>
          <w:color w:val="000000" w:themeColor="text1"/>
          <w:highlight w:val="none"/>
          <w:u w:val="none"/>
          <w14:textFill>
            <w14:solidFill>
              <w14:schemeClr w14:val="tx1"/>
            </w14:solidFill>
          </w14:textFill>
        </w:rPr>
        <w:t>本办法所称的“以上”</w:t>
      </w:r>
      <w:r>
        <w:rPr>
          <w:rFonts w:hint="eastAsia"/>
          <w:color w:val="000000" w:themeColor="text1"/>
          <w:highlight w:val="none"/>
          <w:u w:val="none"/>
          <w:lang w:eastAsia="zh-CN"/>
          <w14:textFill>
            <w14:solidFill>
              <w14:schemeClr w14:val="tx1"/>
            </w14:solidFill>
          </w14:textFill>
        </w:rPr>
        <w:t>“</w:t>
      </w:r>
      <w:r>
        <w:rPr>
          <w:rFonts w:hint="eastAsia"/>
          <w:color w:val="000000" w:themeColor="text1"/>
          <w:highlight w:val="none"/>
          <w:u w:val="none"/>
          <w:lang w:val="en-US" w:eastAsia="zh-CN"/>
          <w14:textFill>
            <w14:solidFill>
              <w14:schemeClr w14:val="tx1"/>
            </w14:solidFill>
          </w14:textFill>
        </w:rPr>
        <w:t>以内</w:t>
      </w:r>
      <w:r>
        <w:rPr>
          <w:rFonts w:hint="eastAsia"/>
          <w:color w:val="000000" w:themeColor="text1"/>
          <w:highlight w:val="none"/>
          <w:u w:val="none"/>
          <w:lang w:eastAsia="zh-CN"/>
          <w14:textFill>
            <w14:solidFill>
              <w14:schemeClr w14:val="tx1"/>
            </w14:solidFill>
          </w14:textFill>
        </w:rPr>
        <w:t>”</w:t>
      </w:r>
      <w:r>
        <w:rPr>
          <w:rFonts w:hint="eastAsia"/>
          <w:color w:val="000000" w:themeColor="text1"/>
          <w:highlight w:val="none"/>
          <w:u w:val="none"/>
          <w14:textFill>
            <w14:solidFill>
              <w14:schemeClr w14:val="tx1"/>
            </w14:solidFill>
          </w14:textFill>
        </w:rPr>
        <w:t>“满”“不超过”，包括本数；所称的“未满”“超过”，不包括本数。</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hAnsi="仿宋_GB2312"/>
          <w:color w:val="000000" w:themeColor="text1"/>
          <w:highlight w:val="none"/>
          <w:u w:val="none"/>
          <w14:textFill>
            <w14:solidFill>
              <w14:schemeClr w14:val="tx1"/>
            </w14:solidFill>
          </w14:textFill>
        </w:rPr>
      </w:pPr>
      <w:r>
        <w:rPr>
          <w:rStyle w:val="11"/>
          <w:rFonts w:hint="eastAsia" w:ascii="黑体" w:hAnsi="黑体"/>
          <w:color w:val="000000" w:themeColor="text1"/>
          <w:highlight w:val="none"/>
          <w:u w:val="none"/>
          <w14:textFill>
            <w14:solidFill>
              <w14:schemeClr w14:val="tx1"/>
            </w14:solidFill>
          </w14:textFill>
        </w:rPr>
        <w:t>【特殊家庭</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本办法所称的特殊家庭包括：</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（一）属现役军人、现役军人家属、残疾军人、退役军人、烈士遗属、因公牺牲军人遗属、病故军人遗属或者经本市退役军人事务部门认定为抚恤定补优抚对象的申请人或者共同申请人；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（二）经本市残疾人联合会认定为残疾人（含一、二、三、四级残疾人）的申请人或者共同申请人；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（三）</w:t>
      </w:r>
      <w:r>
        <w:rPr>
          <w:rFonts w:hint="eastAsia" w:ascii="仿宋_GB2312" w:hAnsi="仿宋_GB2312"/>
          <w:color w:val="000000" w:themeColor="text1"/>
          <w:highlight w:val="none"/>
          <w:u w:val="none"/>
          <w:lang w:val="en-US" w:eastAsia="zh-CN"/>
          <w14:textFill>
            <w14:solidFill>
              <w14:schemeClr w14:val="tx1"/>
            </w14:solidFill>
          </w14:textFill>
        </w:rPr>
        <w:t>属</w:t>
      </w:r>
      <w:r>
        <w:rPr>
          <w:rFonts w:hint="eastAsia" w:ascii="仿宋_GB2312" w:hAnsi="仿宋_GB2312"/>
          <w:color w:val="000000" w:themeColor="text1"/>
          <w:highlight w:val="none"/>
          <w:u w:val="none"/>
          <w14:textFill>
            <w14:solidFill>
              <w14:schemeClr w14:val="tx1"/>
            </w14:solidFill>
          </w14:textFill>
        </w:rPr>
        <w:t>因公殉职基层干部家属的申请人或者共同申请人；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（四）属消防救援人员或者烈士、因公牺牲、病故消防救援人员遗属的申请人或者共同申请人；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（五）</w:t>
      </w:r>
      <w:r>
        <w:rPr>
          <w:rFonts w:hint="eastAsia" w:ascii="仿宋_GB2312" w:hAnsi="仿宋_GB2312"/>
          <w:color w:val="000000" w:themeColor="text1"/>
          <w:highlight w:val="none"/>
          <w:u w:val="none"/>
          <w:lang w:val="en-US" w:eastAsia="zh-CN"/>
          <w14:textFill>
            <w14:solidFill>
              <w14:schemeClr w14:val="tx1"/>
            </w14:solidFill>
          </w14:textFill>
        </w:rPr>
        <w:t>属</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社会福利机构集中供养的孤儿年满</w:t>
      </w:r>
      <w:r>
        <w:rPr>
          <w:rFonts w:hint="eastAsia" w:ascii="仿宋_GB2312" w:hAnsi="仿宋_GB2312" w:cs="仿宋_GB2312"/>
          <w:color w:val="000000" w:themeColor="text1"/>
          <w:sz w:val="32"/>
          <w:szCs w:val="32"/>
          <w:u w:val="none"/>
          <w:lang w:val="en-US" w:eastAsia="zh-CN"/>
          <w14:textFill>
            <w14:solidFill>
              <w14:schemeClr w14:val="tx1"/>
            </w14:solidFill>
          </w14:textFill>
        </w:rPr>
        <w:t>十八</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周岁且可</w:t>
      </w:r>
      <w:r>
        <w:rPr>
          <w:rFonts w:hint="eastAsia" w:ascii="仿宋_GB2312" w:hAnsi="仿宋_GB2312" w:cs="仿宋_GB2312"/>
          <w:color w:val="000000" w:themeColor="text1"/>
          <w:sz w:val="32"/>
          <w:szCs w:val="32"/>
          <w:u w:val="none"/>
          <w:lang w:val="en-US" w:eastAsia="zh-CN"/>
          <w14:textFill>
            <w14:solidFill>
              <w14:schemeClr w14:val="tx1"/>
            </w14:solidFill>
          </w14:textFill>
        </w:rPr>
        <w:t>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进行社会安置</w:t>
      </w:r>
      <w:r>
        <w:rPr>
          <w:rFonts w:hint="eastAsia" w:ascii="仿宋_GB2312" w:hAnsi="仿宋_GB2312"/>
          <w:color w:val="000000" w:themeColor="text1"/>
          <w:highlight w:val="none"/>
          <w:u w:val="none"/>
          <w:lang w:val="en-US" w:eastAsia="zh-CN"/>
          <w14:textFill>
            <w14:solidFill>
              <w14:schemeClr w14:val="tx1"/>
            </w14:solidFill>
          </w14:textFill>
        </w:rPr>
        <w:t>的</w:t>
      </w:r>
      <w:r>
        <w:rPr>
          <w:rFonts w:hint="eastAsia" w:ascii="仿宋_GB2312" w:hAnsi="仿宋_GB2312"/>
          <w:color w:val="000000" w:themeColor="text1"/>
          <w:highlight w:val="none"/>
          <w:u w:val="none"/>
          <w14:textFill>
            <w14:solidFill>
              <w14:schemeClr w14:val="tx1"/>
            </w14:solidFill>
          </w14:textFill>
        </w:rPr>
        <w:t>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（六）经本市卫生健康部门认定为计划生育特殊家庭的申请人或者共同申请人；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（七）申请人及共同申请人均为六十周岁以上，或者申请人为六十周岁以上的单亲家庭、单身居民；</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（八）经国家、广东省政府或者深圳市、区政府认定为见义勇为人员的申请人或者共同申请人；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（九）属全国道德模范及提名获得者、广东省道德模范或者深圳市文明市民的申请人或者共同申请人；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（十）</w:t>
      </w:r>
      <w:bookmarkStart w:id="23" w:name="_Hlk22829909"/>
      <w:r>
        <w:rPr>
          <w:rFonts w:hint="eastAsia" w:ascii="仿宋_GB2312" w:hAnsi="仿宋_GB2312"/>
          <w:color w:val="000000" w:themeColor="text1"/>
          <w:highlight w:val="none"/>
          <w:u w:val="none"/>
          <w14:textFill>
            <w14:solidFill>
              <w14:schemeClr w14:val="tx1"/>
            </w14:solidFill>
          </w14:textFill>
        </w:rPr>
        <w:t>经总工会认定为深圳市级以上劳动模范或者</w:t>
      </w:r>
      <w:bookmarkEnd w:id="23"/>
      <w:r>
        <w:rPr>
          <w:rFonts w:hint="eastAsia" w:ascii="仿宋_GB2312" w:hAnsi="仿宋_GB2312"/>
          <w:color w:val="000000" w:themeColor="text1"/>
          <w:highlight w:val="none"/>
          <w:u w:val="none"/>
          <w14:textFill>
            <w14:solidFill>
              <w14:schemeClr w14:val="tx1"/>
            </w14:solidFill>
          </w14:textFill>
        </w:rPr>
        <w:t>五一劳动奖章获得者的申请人或者共同申请人；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（十一）经市政府认定的其他特殊家庭。</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Fonts w:hint="eastAsia" w:ascii="仿宋_GB2312"/>
          <w:color w:val="000000" w:themeColor="text1"/>
          <w:highlight w:val="none"/>
          <w:u w:val="none"/>
          <w14:textFill>
            <w14:solidFill>
              <w14:schemeClr w14:val="tx1"/>
            </w14:solidFill>
          </w14:textFill>
        </w:rPr>
        <w:t>【</w:t>
      </w:r>
      <w:r>
        <w:rPr>
          <w:rFonts w:hint="eastAsia" w:ascii="黑体" w:hAnsi="黑体" w:eastAsia="黑体" w:cs="黑体"/>
          <w:color w:val="000000" w:themeColor="text1"/>
          <w:highlight w:val="none"/>
          <w:u w:val="none"/>
          <w14:textFill>
            <w14:solidFill>
              <w14:schemeClr w14:val="tx1"/>
            </w14:solidFill>
          </w14:textFill>
        </w:rPr>
        <w:t>合同示范文本</w:t>
      </w:r>
      <w:r>
        <w:rPr>
          <w:rFonts w:hint="eastAsia" w:ascii="仿宋_GB2312"/>
          <w:color w:val="000000" w:themeColor="text1"/>
          <w:highlight w:val="none"/>
          <w:u w:val="none"/>
          <w14:textFill>
            <w14:solidFill>
              <w14:schemeClr w14:val="tx1"/>
            </w14:solidFill>
          </w14:textFill>
        </w:rPr>
        <w:t>】</w:t>
      </w:r>
      <w:r>
        <w:rPr>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color w:val="000000" w:themeColor="text1"/>
          <w:highlight w:val="none"/>
          <w:u w:val="none"/>
          <w14:textFill>
            <w14:solidFill>
              <w14:schemeClr w14:val="tx1"/>
            </w14:solidFill>
          </w14:textFill>
        </w:rPr>
        <w:t>市主管部门会同市市场监督管理部门制定公共租赁住房租赁合同示范文本。</w:t>
      </w:r>
    </w:p>
    <w:p>
      <w:pPr>
        <w:keepNext w:val="0"/>
        <w:keepLines w:val="0"/>
        <w:pageBreakBefore w:val="0"/>
        <w:widowControl w:val="0"/>
        <w:numPr>
          <w:ilvl w:val="2"/>
          <w:numId w:val="1"/>
        </w:numPr>
        <w:kinsoku/>
        <w:wordWrap/>
        <w:overflowPunct/>
        <w:topLinePunct w:val="0"/>
        <w:autoSpaceDE/>
        <w:autoSpaceDN/>
        <w:bidi w:val="0"/>
        <w:spacing w:line="578" w:lineRule="exact"/>
        <w:ind w:firstLine="640"/>
        <w:textAlignment w:val="auto"/>
        <w:outlineLvl w:val="2"/>
        <w:rPr>
          <w:rFonts w:ascii="仿宋_GB2312"/>
          <w:color w:val="000000" w:themeColor="text1"/>
          <w:highlight w:val="none"/>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新旧政策衔接</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本办法施行之日起，相关事项按照以下规定执行：</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olor w:val="000000" w:themeColor="text1"/>
          <w:highlight w:val="none"/>
          <w:u w:val="none"/>
          <w14:textFill>
            <w14:solidFill>
              <w14:schemeClr w14:val="tx1"/>
            </w14:solidFill>
          </w14:textFill>
        </w:rPr>
      </w:pPr>
      <w:r>
        <w:rPr>
          <w:rFonts w:hint="eastAsia" w:ascii="仿宋_GB2312" w:hAnsi="仿宋_GB2312"/>
          <w:color w:val="000000" w:themeColor="text1"/>
          <w:highlight w:val="none"/>
          <w:u w:val="none"/>
          <w14:textFill>
            <w14:solidFill>
              <w14:schemeClr w14:val="tx1"/>
            </w14:solidFill>
          </w14:textFill>
        </w:rPr>
        <w:t>（一）本办法施行之日</w:t>
      </w:r>
      <w:r>
        <w:rPr>
          <w:rFonts w:ascii="仿宋_GB2312" w:hAnsi="仿宋_GB2312"/>
          <w:color w:val="000000" w:themeColor="text1"/>
          <w:highlight w:val="none"/>
          <w:u w:val="none"/>
          <w14:textFill>
            <w14:solidFill>
              <w14:schemeClr w14:val="tx1"/>
            </w14:solidFill>
          </w14:textFill>
        </w:rPr>
        <w:t>前</w:t>
      </w:r>
      <w:r>
        <w:rPr>
          <w:rFonts w:hint="eastAsia" w:ascii="仿宋_GB2312" w:hAnsi="仿宋_GB2312"/>
          <w:color w:val="000000" w:themeColor="text1"/>
          <w:highlight w:val="none"/>
          <w:u w:val="none"/>
          <w14:textFill>
            <w14:solidFill>
              <w14:schemeClr w14:val="tx1"/>
            </w14:solidFill>
          </w14:textFill>
        </w:rPr>
        <w:t>已经取得轮候申请受理回执的家庭和单身居民，依照原轮候申请条件进行审核，符合条件的纳入公共租赁住房轮候册</w:t>
      </w:r>
      <w:r>
        <w:rPr>
          <w:rFonts w:hint="eastAsia" w:ascii="仿宋_GB2312" w:hAnsi="仿宋_GB2312"/>
          <w:color w:val="000000" w:themeColor="text1"/>
          <w:highlight w:val="none"/>
          <w:u w:val="none"/>
          <w:lang w:eastAsia="zh-CN"/>
          <w14:textFill>
            <w14:solidFill>
              <w14:schemeClr w14:val="tx1"/>
            </w14:solidFill>
          </w14:textFill>
        </w:rPr>
        <w:t>，</w:t>
      </w:r>
      <w:r>
        <w:rPr>
          <w:rFonts w:hint="eastAsia" w:ascii="仿宋_GB2312" w:hAnsi="仿宋_GB2312"/>
          <w:color w:val="000000" w:themeColor="text1"/>
          <w:highlight w:val="none"/>
          <w:u w:val="none"/>
          <w14:textFill>
            <w14:solidFill>
              <w14:schemeClr w14:val="tx1"/>
            </w14:solidFill>
          </w14:textFill>
        </w:rPr>
        <w:t>在册轮候人按照申请人户籍所在地分解到各区；</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仿宋_GB2312" w:hAnsi="仿宋_GB2312" w:cs="仿宋_GB2312"/>
          <w:bCs/>
          <w:color w:val="000000" w:themeColor="text1"/>
          <w:highlight w:val="none"/>
          <w:u w:val="none"/>
          <w14:textFill>
            <w14:solidFill>
              <w14:schemeClr w14:val="tx1"/>
            </w14:solidFill>
          </w14:textFill>
        </w:rPr>
      </w:pPr>
      <w:bookmarkStart w:id="24" w:name="_Hlk18326397"/>
      <w:r>
        <w:rPr>
          <w:rFonts w:hint="eastAsia" w:ascii="仿宋_GB2312" w:hAnsi="仿宋_GB2312" w:cs="仿宋_GB2312"/>
          <w:bCs/>
          <w:color w:val="000000" w:themeColor="text1"/>
          <w:highlight w:val="none"/>
          <w:u w:val="none"/>
          <w14:textFill>
            <w14:solidFill>
              <w14:schemeClr w14:val="tx1"/>
            </w14:solidFill>
          </w14:textFill>
        </w:rPr>
        <w:t>（二）本办法施行之日前的公共租赁住房在册轮候人或者承租公共租赁住房的申请人，在本办法施行后认租或者续租公共租赁住房的，可以选择按照原政策或者本办法相关规定执行。选择按照原政策执行的，认租和续租时不审核家庭收入财产状况，租金按照原政策租金定价规则确定；选择按照本办法相关规定执行的，续租时不再适用原政策；</w:t>
      </w:r>
    </w:p>
    <w:p>
      <w:pPr>
        <w:pStyle w:val="2"/>
        <w:keepNext w:val="0"/>
        <w:keepLines w:val="0"/>
        <w:pageBreakBefore w:val="0"/>
        <w:widowControl w:val="0"/>
        <w:kinsoku/>
        <w:wordWrap/>
        <w:overflowPunct/>
        <w:topLinePunct w:val="0"/>
        <w:autoSpaceDE/>
        <w:autoSpaceDN/>
        <w:bidi w:val="0"/>
        <w:spacing w:after="0" w:line="578" w:lineRule="exact"/>
        <w:ind w:firstLine="640"/>
        <w:textAlignment w:val="auto"/>
        <w:rPr>
          <w:rFonts w:ascii="仿宋_GB2312" w:hAnsi="仿宋_GB2312" w:cs="仿宋_GB2312"/>
          <w:bCs/>
          <w:color w:val="000000" w:themeColor="text1"/>
          <w:highlight w:val="none"/>
          <w:u w:val="none"/>
          <w14:textFill>
            <w14:solidFill>
              <w14:schemeClr w14:val="tx1"/>
            </w14:solidFill>
          </w14:textFill>
        </w:rPr>
      </w:pPr>
      <w:r>
        <w:rPr>
          <w:rFonts w:hint="eastAsia" w:ascii="仿宋_GB2312" w:hAnsi="仿宋_GB2312" w:cs="仿宋_GB2312"/>
          <w:bCs/>
          <w:color w:val="000000" w:themeColor="text1"/>
          <w:highlight w:val="none"/>
          <w:u w:val="none"/>
          <w14:textFill>
            <w14:solidFill>
              <w14:schemeClr w14:val="tx1"/>
            </w14:solidFill>
          </w14:textFill>
        </w:rPr>
        <w:t>（三）</w:t>
      </w:r>
      <w:bookmarkEnd w:id="24"/>
      <w:r>
        <w:rPr>
          <w:rFonts w:hint="eastAsia" w:ascii="仿宋_GB2312" w:hAnsi="仿宋_GB2312" w:cs="仿宋_GB2312"/>
          <w:bCs/>
          <w:color w:val="000000" w:themeColor="text1"/>
          <w:highlight w:val="none"/>
          <w:u w:val="none"/>
          <w14:textFill>
            <w14:solidFill>
              <w14:schemeClr w14:val="tx1"/>
            </w14:solidFill>
          </w14:textFill>
        </w:rPr>
        <w:t>市、区两级存量公共租赁住房和企事业单位自建公共租赁住房由主管部门按照尊重历史、有序衔接的原则，结合实际情况实施管理。</w:t>
      </w:r>
    </w:p>
    <w:p>
      <w:pPr>
        <w:keepNext w:val="0"/>
        <w:keepLines w:val="0"/>
        <w:pageBreakBefore w:val="0"/>
        <w:widowControl w:val="0"/>
        <w:numPr>
          <w:ilvl w:val="2"/>
          <w:numId w:val="1"/>
        </w:numPr>
        <w:kinsoku/>
        <w:wordWrap/>
        <w:overflowPunct/>
        <w:topLinePunct w:val="0"/>
        <w:autoSpaceDE/>
        <w:autoSpaceDN/>
        <w:bidi w:val="0"/>
        <w:adjustRightInd/>
        <w:snapToGrid/>
        <w:spacing w:line="578" w:lineRule="exact"/>
        <w:ind w:firstLine="640"/>
        <w:textAlignment w:val="auto"/>
        <w:outlineLvl w:val="2"/>
        <w:rPr>
          <w:color w:val="000000" w:themeColor="text1"/>
          <w:u w:val="none"/>
          <w14:textFill>
            <w14:solidFill>
              <w14:schemeClr w14:val="tx1"/>
            </w14:solidFill>
          </w14:textFill>
        </w:rPr>
      </w:pP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黑体" w:hAnsi="黑体"/>
          <w:color w:val="000000" w:themeColor="text1"/>
          <w:highlight w:val="none"/>
          <w:u w:val="none"/>
          <w14:textFill>
            <w14:solidFill>
              <w14:schemeClr w14:val="tx1"/>
            </w14:solidFill>
          </w14:textFill>
        </w:rPr>
        <w:t>施行日期</w:t>
      </w:r>
      <w:r>
        <w:rPr>
          <w:rStyle w:val="11"/>
          <w:rFonts w:hint="eastAsia" w:ascii="仿宋_GB2312" w:eastAsia="仿宋_GB2312"/>
          <w:color w:val="000000" w:themeColor="text1"/>
          <w:highlight w:val="none"/>
          <w:u w:val="none"/>
          <w14:textFill>
            <w14:solidFill>
              <w14:schemeClr w14:val="tx1"/>
            </w14:solidFill>
          </w14:textFill>
        </w:rPr>
        <w:t>】</w:t>
      </w:r>
      <w:r>
        <w:rPr>
          <w:rStyle w:val="11"/>
          <w:rFonts w:hint="eastAsia" w:ascii="仿宋_GB2312"/>
          <w:color w:val="000000" w:themeColor="text1"/>
          <w:highlight w:val="none"/>
          <w:u w:val="none"/>
          <w:lang w:val="en-US" w:eastAsia="zh-CN"/>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本办法自</w:t>
      </w:r>
      <w:r>
        <w:rPr>
          <w:rFonts w:ascii="仿宋_GB2312" w:hAnsi="仿宋_GB2312"/>
          <w:color w:val="000000" w:themeColor="text1"/>
          <w:highlight w:val="none"/>
          <w:u w:val="none"/>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年</w:t>
      </w:r>
      <w:r>
        <w:rPr>
          <w:rFonts w:ascii="仿宋_GB2312" w:hAnsi="仿宋_GB2312"/>
          <w:color w:val="000000" w:themeColor="text1"/>
          <w:highlight w:val="none"/>
          <w:u w:val="none"/>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月</w:t>
      </w:r>
      <w:r>
        <w:rPr>
          <w:rFonts w:ascii="仿宋_GB2312" w:hAnsi="仿宋_GB2312"/>
          <w:color w:val="000000" w:themeColor="text1"/>
          <w:highlight w:val="none"/>
          <w:u w:val="none"/>
          <w14:textFill>
            <w14:solidFill>
              <w14:schemeClr w14:val="tx1"/>
            </w14:solidFill>
          </w14:textFill>
        </w:rPr>
        <w:t xml:space="preserve">  </w:t>
      </w:r>
      <w:r>
        <w:rPr>
          <w:rFonts w:hint="eastAsia" w:ascii="仿宋_GB2312" w:hAnsi="仿宋_GB2312"/>
          <w:color w:val="000000" w:themeColor="text1"/>
          <w:highlight w:val="none"/>
          <w:u w:val="none"/>
          <w14:textFill>
            <w14:solidFill>
              <w14:schemeClr w14:val="tx1"/>
            </w14:solidFill>
          </w14:textFill>
        </w:rPr>
        <w:t>日起施行。</w:t>
      </w:r>
      <w:bookmarkEnd w:id="1"/>
    </w:p>
    <w:p>
      <w:pPr>
        <w:pStyle w:val="2"/>
        <w:keepNext w:val="0"/>
        <w:keepLines w:val="0"/>
        <w:pageBreakBefore w:val="0"/>
        <w:widowControl w:val="0"/>
        <w:kinsoku/>
        <w:wordWrap/>
        <w:overflowPunct/>
        <w:topLinePunct w:val="0"/>
        <w:autoSpaceDE/>
        <w:autoSpaceDN/>
        <w:bidi w:val="0"/>
        <w:adjustRightInd/>
        <w:snapToGrid/>
        <w:spacing w:after="0" w:line="578" w:lineRule="exact"/>
        <w:ind w:firstLine="0" w:firstLineChars="0"/>
        <w:textAlignment w:val="auto"/>
      </w:pPr>
    </w:p>
    <w:p>
      <w:pPr>
        <w:pStyle w:val="2"/>
        <w:keepNext w:val="0"/>
        <w:keepLines w:val="0"/>
        <w:pageBreakBefore w:val="0"/>
        <w:widowControl w:val="0"/>
        <w:kinsoku/>
        <w:wordWrap/>
        <w:overflowPunct/>
        <w:topLinePunct w:val="0"/>
        <w:autoSpaceDE/>
        <w:autoSpaceDN/>
        <w:bidi w:val="0"/>
        <w:adjustRightInd/>
        <w:snapToGrid/>
        <w:spacing w:after="0" w:line="578" w:lineRule="exact"/>
        <w:ind w:firstLine="1600" w:firstLineChars="5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850" w:h="16783"/>
      <w:pgMar w:top="1701" w:right="1474" w:bottom="1701" w:left="1587"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both"/>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jc w:val="both"/>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sz w:val="28"/>
                              <w:szCs w:val="28"/>
                            </w:rPr>
                            <w:t xml:space="preserve"> 22 -</w:t>
                          </w:r>
                          <w:r>
                            <w:rPr>
                              <w:rFonts w:hint="eastAsia" w:ascii="仿宋_GB2312" w:eastAsia="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ind w:firstLine="0" w:firstLineChars="0"/>
                      <w:jc w:val="both"/>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sz w:val="28"/>
                        <w:szCs w:val="28"/>
                      </w:rPr>
                      <w:t xml:space="preserve"> 22 -</w:t>
                    </w:r>
                    <w:r>
                      <w:rPr>
                        <w:rFonts w:hint="eastAsia" w:ascii="仿宋_GB2312" w:eastAsia="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24652"/>
    <w:multiLevelType w:val="singleLevel"/>
    <w:tmpl w:val="BF124652"/>
    <w:lvl w:ilvl="0" w:tentative="0">
      <w:start w:val="1"/>
      <w:numFmt w:val="chineseCounting"/>
      <w:suff w:val="nothing"/>
      <w:lvlText w:val="（%1）"/>
      <w:lvlJc w:val="left"/>
      <w:rPr>
        <w:rFonts w:hint="eastAsia"/>
      </w:rPr>
    </w:lvl>
  </w:abstractNum>
  <w:abstractNum w:abstractNumId="1">
    <w:nsid w:val="6445F792"/>
    <w:multiLevelType w:val="multilevel"/>
    <w:tmpl w:val="6445F792"/>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w:lvlJc w:val="left"/>
      <w:pPr>
        <w:tabs>
          <w:tab w:val="left" w:pos="0"/>
        </w:tabs>
        <w:ind w:left="0" w:firstLine="402"/>
      </w:pPr>
      <w:rPr>
        <w:rFonts w:hint="eastAsia" w:ascii="宋体" w:hAnsi="宋体" w:eastAsia="黑体" w:cs="宋体"/>
        <w:sz w:val="32"/>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 w:name="KSO_WPS_MARK_KEY" w:val="1156622d-b172-4947-928a-63b7855d7a32"/>
  </w:docVars>
  <w:rsids>
    <w:rsidRoot w:val="04640C8D"/>
    <w:rsid w:val="00AD603C"/>
    <w:rsid w:val="01260D30"/>
    <w:rsid w:val="025D5B37"/>
    <w:rsid w:val="026278B7"/>
    <w:rsid w:val="02663ED7"/>
    <w:rsid w:val="02731D23"/>
    <w:rsid w:val="02C40969"/>
    <w:rsid w:val="02D03362"/>
    <w:rsid w:val="02DA1F3A"/>
    <w:rsid w:val="02E132C9"/>
    <w:rsid w:val="043F3054"/>
    <w:rsid w:val="04640C8D"/>
    <w:rsid w:val="04C25484"/>
    <w:rsid w:val="04C44C50"/>
    <w:rsid w:val="04DA7571"/>
    <w:rsid w:val="054F4E62"/>
    <w:rsid w:val="05C64978"/>
    <w:rsid w:val="05CD5D86"/>
    <w:rsid w:val="06190FCC"/>
    <w:rsid w:val="06B50CF4"/>
    <w:rsid w:val="06B55198"/>
    <w:rsid w:val="079E18B2"/>
    <w:rsid w:val="07A30A68"/>
    <w:rsid w:val="07CE011E"/>
    <w:rsid w:val="080E6350"/>
    <w:rsid w:val="095A5B83"/>
    <w:rsid w:val="097A6225"/>
    <w:rsid w:val="0A9E7CF1"/>
    <w:rsid w:val="0AE24082"/>
    <w:rsid w:val="0B352404"/>
    <w:rsid w:val="0B484DCA"/>
    <w:rsid w:val="0B6526B7"/>
    <w:rsid w:val="0B983AE7"/>
    <w:rsid w:val="0BF4388C"/>
    <w:rsid w:val="0CC60E0A"/>
    <w:rsid w:val="0D934957"/>
    <w:rsid w:val="0E440BB0"/>
    <w:rsid w:val="0ED4048E"/>
    <w:rsid w:val="0F9718DF"/>
    <w:rsid w:val="0FD61CDB"/>
    <w:rsid w:val="0FE763CC"/>
    <w:rsid w:val="102248A5"/>
    <w:rsid w:val="10867EF8"/>
    <w:rsid w:val="10DD04B0"/>
    <w:rsid w:val="11FA405D"/>
    <w:rsid w:val="1204112C"/>
    <w:rsid w:val="120C103E"/>
    <w:rsid w:val="12650523"/>
    <w:rsid w:val="1292638E"/>
    <w:rsid w:val="12D26317"/>
    <w:rsid w:val="13217712"/>
    <w:rsid w:val="139D6742"/>
    <w:rsid w:val="14315236"/>
    <w:rsid w:val="14904B4F"/>
    <w:rsid w:val="161517B0"/>
    <w:rsid w:val="16DB5A45"/>
    <w:rsid w:val="170A118C"/>
    <w:rsid w:val="17421926"/>
    <w:rsid w:val="17E91AD9"/>
    <w:rsid w:val="1800023D"/>
    <w:rsid w:val="187654AB"/>
    <w:rsid w:val="18B72424"/>
    <w:rsid w:val="19313669"/>
    <w:rsid w:val="19474AE2"/>
    <w:rsid w:val="199B1FCC"/>
    <w:rsid w:val="19B27315"/>
    <w:rsid w:val="1A8C4E48"/>
    <w:rsid w:val="1A9D5CC4"/>
    <w:rsid w:val="1AC94544"/>
    <w:rsid w:val="1AEE0821"/>
    <w:rsid w:val="1B6D1746"/>
    <w:rsid w:val="1B7B0307"/>
    <w:rsid w:val="1BDB2B53"/>
    <w:rsid w:val="1C1222ED"/>
    <w:rsid w:val="1D5472BC"/>
    <w:rsid w:val="1DAFFD79"/>
    <w:rsid w:val="1DC064A5"/>
    <w:rsid w:val="1DFC2602"/>
    <w:rsid w:val="1FC7498D"/>
    <w:rsid w:val="1FF7FE36"/>
    <w:rsid w:val="20034AD4"/>
    <w:rsid w:val="20A91472"/>
    <w:rsid w:val="20B40659"/>
    <w:rsid w:val="21760AEC"/>
    <w:rsid w:val="2186530F"/>
    <w:rsid w:val="21A41C3A"/>
    <w:rsid w:val="22146DBF"/>
    <w:rsid w:val="225E2230"/>
    <w:rsid w:val="227710FC"/>
    <w:rsid w:val="22B91715"/>
    <w:rsid w:val="22C32A7D"/>
    <w:rsid w:val="23AA7752"/>
    <w:rsid w:val="23B57EEF"/>
    <w:rsid w:val="24791BCC"/>
    <w:rsid w:val="24897B3B"/>
    <w:rsid w:val="24F904EE"/>
    <w:rsid w:val="255F65A3"/>
    <w:rsid w:val="256B071B"/>
    <w:rsid w:val="271D5562"/>
    <w:rsid w:val="272F69CE"/>
    <w:rsid w:val="27545EB0"/>
    <w:rsid w:val="278C3ACF"/>
    <w:rsid w:val="281C39D2"/>
    <w:rsid w:val="286E6AFD"/>
    <w:rsid w:val="293058CC"/>
    <w:rsid w:val="29B6791E"/>
    <w:rsid w:val="29E3101E"/>
    <w:rsid w:val="2A2C0A1E"/>
    <w:rsid w:val="2AD86A5A"/>
    <w:rsid w:val="2ADA2E19"/>
    <w:rsid w:val="2BF073D4"/>
    <w:rsid w:val="2BF437BD"/>
    <w:rsid w:val="2C1E35D9"/>
    <w:rsid w:val="2C482EB5"/>
    <w:rsid w:val="2C4867D1"/>
    <w:rsid w:val="2C5A1872"/>
    <w:rsid w:val="2C8E0EB2"/>
    <w:rsid w:val="2CFD06B6"/>
    <w:rsid w:val="2D0446E9"/>
    <w:rsid w:val="2D1078ED"/>
    <w:rsid w:val="2D2A7FBD"/>
    <w:rsid w:val="2D4542D1"/>
    <w:rsid w:val="2DDE2027"/>
    <w:rsid w:val="2E1A078F"/>
    <w:rsid w:val="2E690493"/>
    <w:rsid w:val="2F590507"/>
    <w:rsid w:val="315947EF"/>
    <w:rsid w:val="31BE28A4"/>
    <w:rsid w:val="33925D96"/>
    <w:rsid w:val="339D7EA2"/>
    <w:rsid w:val="345E5892"/>
    <w:rsid w:val="34FA0097"/>
    <w:rsid w:val="359611EB"/>
    <w:rsid w:val="3603457D"/>
    <w:rsid w:val="376F2575"/>
    <w:rsid w:val="37730EB2"/>
    <w:rsid w:val="386F25DF"/>
    <w:rsid w:val="38C64A6F"/>
    <w:rsid w:val="391D4E88"/>
    <w:rsid w:val="395B30CE"/>
    <w:rsid w:val="398E2459"/>
    <w:rsid w:val="39B34CB8"/>
    <w:rsid w:val="39C8220B"/>
    <w:rsid w:val="3B1310C0"/>
    <w:rsid w:val="3BB80364"/>
    <w:rsid w:val="3BBC7A73"/>
    <w:rsid w:val="3BF78277"/>
    <w:rsid w:val="3C7C1A98"/>
    <w:rsid w:val="3CF065A4"/>
    <w:rsid w:val="3D7F2524"/>
    <w:rsid w:val="3DB84972"/>
    <w:rsid w:val="3DF02037"/>
    <w:rsid w:val="3E150F71"/>
    <w:rsid w:val="3F0A7128"/>
    <w:rsid w:val="401966BE"/>
    <w:rsid w:val="40673917"/>
    <w:rsid w:val="412D09E5"/>
    <w:rsid w:val="416C40CA"/>
    <w:rsid w:val="41AA074E"/>
    <w:rsid w:val="41B96BE3"/>
    <w:rsid w:val="41BB295C"/>
    <w:rsid w:val="41C07FFC"/>
    <w:rsid w:val="421B164C"/>
    <w:rsid w:val="42D0226B"/>
    <w:rsid w:val="43630B30"/>
    <w:rsid w:val="44915BF6"/>
    <w:rsid w:val="44F8676B"/>
    <w:rsid w:val="453C3DB3"/>
    <w:rsid w:val="457F59E5"/>
    <w:rsid w:val="4596241B"/>
    <w:rsid w:val="45EE1552"/>
    <w:rsid w:val="46601D24"/>
    <w:rsid w:val="46EA7593"/>
    <w:rsid w:val="48A83A00"/>
    <w:rsid w:val="491D5CAA"/>
    <w:rsid w:val="495C23BF"/>
    <w:rsid w:val="49816184"/>
    <w:rsid w:val="49A563CB"/>
    <w:rsid w:val="4A02200B"/>
    <w:rsid w:val="4A7212D4"/>
    <w:rsid w:val="4AC36756"/>
    <w:rsid w:val="4BE11211"/>
    <w:rsid w:val="4BE8259F"/>
    <w:rsid w:val="4C1C049B"/>
    <w:rsid w:val="4D1F6539"/>
    <w:rsid w:val="4D6D5452"/>
    <w:rsid w:val="4E1C4782"/>
    <w:rsid w:val="504A0F0D"/>
    <w:rsid w:val="50B9275C"/>
    <w:rsid w:val="516F72BF"/>
    <w:rsid w:val="51FD4EFC"/>
    <w:rsid w:val="527F38F7"/>
    <w:rsid w:val="52D22367"/>
    <w:rsid w:val="53316F22"/>
    <w:rsid w:val="53C54C16"/>
    <w:rsid w:val="53F87A3F"/>
    <w:rsid w:val="550C3F15"/>
    <w:rsid w:val="55434C81"/>
    <w:rsid w:val="5572737D"/>
    <w:rsid w:val="558275C0"/>
    <w:rsid w:val="55E47B8A"/>
    <w:rsid w:val="57223ECA"/>
    <w:rsid w:val="576C3B76"/>
    <w:rsid w:val="57956898"/>
    <w:rsid w:val="582B2FC0"/>
    <w:rsid w:val="586079BB"/>
    <w:rsid w:val="58F44187"/>
    <w:rsid w:val="59341DDE"/>
    <w:rsid w:val="594E2740"/>
    <w:rsid w:val="598A2EE8"/>
    <w:rsid w:val="5A8758DB"/>
    <w:rsid w:val="5AF665BA"/>
    <w:rsid w:val="5B694D7F"/>
    <w:rsid w:val="5BE15701"/>
    <w:rsid w:val="5C3D2493"/>
    <w:rsid w:val="5C9969F1"/>
    <w:rsid w:val="5CB0427E"/>
    <w:rsid w:val="5D074AB3"/>
    <w:rsid w:val="5DD30A68"/>
    <w:rsid w:val="5DDE592F"/>
    <w:rsid w:val="5E056FE1"/>
    <w:rsid w:val="5E1436C8"/>
    <w:rsid w:val="5E1D25AE"/>
    <w:rsid w:val="5E453881"/>
    <w:rsid w:val="5EEE7AEA"/>
    <w:rsid w:val="5F1D024A"/>
    <w:rsid w:val="5F3C0373"/>
    <w:rsid w:val="60D34721"/>
    <w:rsid w:val="61E3552F"/>
    <w:rsid w:val="633645B4"/>
    <w:rsid w:val="634738A3"/>
    <w:rsid w:val="63950E07"/>
    <w:rsid w:val="63CFC181"/>
    <w:rsid w:val="63D74E09"/>
    <w:rsid w:val="64295F03"/>
    <w:rsid w:val="64695946"/>
    <w:rsid w:val="648F482B"/>
    <w:rsid w:val="64C51278"/>
    <w:rsid w:val="64C76E57"/>
    <w:rsid w:val="64D63485"/>
    <w:rsid w:val="64FDFDAE"/>
    <w:rsid w:val="658D71C3"/>
    <w:rsid w:val="65C77271"/>
    <w:rsid w:val="663A42F8"/>
    <w:rsid w:val="66916871"/>
    <w:rsid w:val="6692361E"/>
    <w:rsid w:val="66AF21DF"/>
    <w:rsid w:val="671458E7"/>
    <w:rsid w:val="684921C0"/>
    <w:rsid w:val="68EF2D67"/>
    <w:rsid w:val="69220CDF"/>
    <w:rsid w:val="69BF098B"/>
    <w:rsid w:val="6AD401AE"/>
    <w:rsid w:val="6B0A20DA"/>
    <w:rsid w:val="6B4037BE"/>
    <w:rsid w:val="6B610AC2"/>
    <w:rsid w:val="6BF455E1"/>
    <w:rsid w:val="6D1F7993"/>
    <w:rsid w:val="6D59C39A"/>
    <w:rsid w:val="6E034F06"/>
    <w:rsid w:val="6E3A3E78"/>
    <w:rsid w:val="6E4A6612"/>
    <w:rsid w:val="6E5E2248"/>
    <w:rsid w:val="6EAB238D"/>
    <w:rsid w:val="6EAE0FCF"/>
    <w:rsid w:val="6EBD37BA"/>
    <w:rsid w:val="6EE9068B"/>
    <w:rsid w:val="6EFA2466"/>
    <w:rsid w:val="6FF96E2B"/>
    <w:rsid w:val="704E2A69"/>
    <w:rsid w:val="70622071"/>
    <w:rsid w:val="717209D9"/>
    <w:rsid w:val="71E52F59"/>
    <w:rsid w:val="732B5247"/>
    <w:rsid w:val="745A5543"/>
    <w:rsid w:val="74802574"/>
    <w:rsid w:val="74E05C5A"/>
    <w:rsid w:val="76E032EC"/>
    <w:rsid w:val="76EA6E23"/>
    <w:rsid w:val="770E6AAE"/>
    <w:rsid w:val="78B43685"/>
    <w:rsid w:val="79551CB5"/>
    <w:rsid w:val="79B76AA6"/>
    <w:rsid w:val="79CE0777"/>
    <w:rsid w:val="7A573286"/>
    <w:rsid w:val="7A691C0E"/>
    <w:rsid w:val="7A832404"/>
    <w:rsid w:val="7AFFC118"/>
    <w:rsid w:val="7B073F40"/>
    <w:rsid w:val="7B7F2C98"/>
    <w:rsid w:val="7BAC2D3A"/>
    <w:rsid w:val="7C4B3E23"/>
    <w:rsid w:val="7C4E5B9F"/>
    <w:rsid w:val="7C69658B"/>
    <w:rsid w:val="7C6E6676"/>
    <w:rsid w:val="7C815F74"/>
    <w:rsid w:val="7D7358BD"/>
    <w:rsid w:val="7E062257"/>
    <w:rsid w:val="7E6E3B48"/>
    <w:rsid w:val="7E8458A8"/>
    <w:rsid w:val="7F7F5638"/>
    <w:rsid w:val="7FE0658A"/>
    <w:rsid w:val="9FCB18F2"/>
    <w:rsid w:val="BCFD5E02"/>
    <w:rsid w:val="BFFE43FF"/>
    <w:rsid w:val="D7FFB729"/>
    <w:rsid w:val="DF796604"/>
    <w:rsid w:val="DFDCA498"/>
    <w:rsid w:val="F2C5D8E4"/>
    <w:rsid w:val="F76CB0E8"/>
    <w:rsid w:val="FF12F291"/>
    <w:rsid w:val="FFFF5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link w:val="10"/>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3"/>
    <w:basedOn w:val="1"/>
    <w:next w:val="1"/>
    <w:link w:val="11"/>
    <w:qFormat/>
    <w:uiPriority w:val="0"/>
    <w:pPr>
      <w:keepNext/>
      <w:keepLines/>
      <w:outlineLvl w:val="2"/>
    </w:pPr>
    <w:rPr>
      <w:rFonts w:eastAsia="黑体"/>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customStyle="1" w:styleId="10">
    <w:name w:val="标题 1 字符"/>
    <w:link w:val="4"/>
    <w:qFormat/>
    <w:uiPriority w:val="0"/>
    <w:rPr>
      <w:rFonts w:ascii="Times New Roman" w:hAnsi="Times New Roman" w:eastAsia="黑体"/>
      <w:b/>
      <w:bCs/>
      <w:kern w:val="44"/>
      <w:szCs w:val="44"/>
    </w:rPr>
  </w:style>
  <w:style w:type="character" w:customStyle="1" w:styleId="11">
    <w:name w:val="标题 3 字符"/>
    <w:link w:val="5"/>
    <w:qFormat/>
    <w:uiPriority w:val="0"/>
    <w:rPr>
      <w:rFonts w:eastAsia="黑体"/>
      <w:bCs/>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9896</Words>
  <Characters>9898</Characters>
  <Lines>0</Lines>
  <Paragraphs>0</Paragraphs>
  <TotalTime>23</TotalTime>
  <ScaleCrop>false</ScaleCrop>
  <LinksUpToDate>false</LinksUpToDate>
  <CharactersWithSpaces>10016</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2022-04-21T10:12:00Z</dcterms:created>
  <dc:creator>董远智</dc:creator>
  <cp:lastModifiedBy>CYH</cp:lastModifiedBy>
  <cp:lastPrinted>2023-01-15T17:20:00Z</cp:lastPrinted>
  <dcterms:modified xsi:type="dcterms:W3CDTF">2023-01-16T09:48:42Z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39E5D720EE66474D91D6260A172A95AC</vt:lpwstr>
  </property>
</Properties>
</file>