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bookmarkStart w:id="0" w:name="_GoBack"/>
      <w:r>
        <w:rPr>
          <w:rFonts w:hint="eastAsia" w:ascii="方正小标宋_GBK" w:hAnsi="方正小标宋_GBK" w:eastAsia="方正小标宋_GBK" w:cs="方正小标宋_GBK"/>
          <w:sz w:val="36"/>
          <w:szCs w:val="36"/>
          <w:lang w:val="en-US" w:eastAsia="zh-CN"/>
        </w:rPr>
        <w:t>2021年</w:t>
      </w:r>
      <w:r>
        <w:rPr>
          <w:rFonts w:hint="eastAsia" w:ascii="方正小标宋_GBK" w:hAnsi="方正小标宋_GBK" w:eastAsia="方正小标宋_GBK" w:cs="方正小标宋_GBK"/>
          <w:sz w:val="36"/>
          <w:szCs w:val="36"/>
        </w:rPr>
        <w:t>盐田区城市管理和综合执法局“双随机</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一公开”随机抽查计划表</w:t>
      </w:r>
      <w:bookmarkEnd w:id="0"/>
    </w:p>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7"/>
        <w:gridCol w:w="3240"/>
        <w:gridCol w:w="810"/>
        <w:gridCol w:w="1380"/>
        <w:gridCol w:w="1125"/>
        <w:gridCol w:w="930"/>
        <w:gridCol w:w="735"/>
        <w:gridCol w:w="810"/>
        <w:gridCol w:w="81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37" w:type="dxa"/>
            <w:tcBorders>
              <w:top w:val="single" w:color="auto" w:sz="4" w:space="0"/>
              <w:left w:val="single" w:color="auto" w:sz="4" w:space="0"/>
              <w:bottom w:val="single" w:color="auto" w:sz="4" w:space="0"/>
              <w:right w:val="single" w:color="auto" w:sz="4" w:space="0"/>
            </w:tcBorders>
            <w:vAlign w:val="center"/>
          </w:tcPr>
          <w:p>
            <w:pPr>
              <w:jc w:val="center"/>
              <w:rPr>
                <w:kern w:val="2"/>
                <w:sz w:val="24"/>
                <w:szCs w:val="24"/>
              </w:rPr>
            </w:pPr>
            <w:r>
              <w:rPr>
                <w:rFonts w:hint="eastAsia"/>
                <w:kern w:val="0"/>
                <w:sz w:val="24"/>
                <w:szCs w:val="24"/>
              </w:rPr>
              <w:t>项目</w:t>
            </w:r>
          </w:p>
        </w:tc>
        <w:tc>
          <w:tcPr>
            <w:tcW w:w="3240"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kern w:val="0"/>
                <w:sz w:val="24"/>
                <w:szCs w:val="24"/>
              </w:rPr>
              <w:t>具体安排计划</w:t>
            </w:r>
          </w:p>
        </w:tc>
        <w:tc>
          <w:tcPr>
            <w:tcW w:w="810"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检查对象</w:t>
            </w:r>
          </w:p>
        </w:tc>
        <w:tc>
          <w:tcPr>
            <w:tcW w:w="1380"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检查时间</w:t>
            </w:r>
          </w:p>
        </w:tc>
        <w:tc>
          <w:tcPr>
            <w:tcW w:w="1125" w:type="dxa"/>
            <w:tcBorders>
              <w:top w:val="single" w:color="auto" w:sz="4" w:space="0"/>
              <w:left w:val="nil"/>
              <w:bottom w:val="single" w:color="auto" w:sz="4" w:space="0"/>
              <w:right w:val="single" w:color="auto" w:sz="4" w:space="0"/>
            </w:tcBorders>
            <w:vAlign w:val="center"/>
          </w:tcPr>
          <w:p>
            <w:pPr>
              <w:jc w:val="center"/>
              <w:rPr>
                <w:rFonts w:ascii="黑体" w:hAnsi="黑体" w:eastAsia="黑体"/>
                <w:kern w:val="2"/>
                <w:sz w:val="24"/>
                <w:szCs w:val="24"/>
              </w:rPr>
            </w:pPr>
            <w:r>
              <w:rPr>
                <w:rFonts w:hint="eastAsia" w:ascii="黑体" w:hAnsi="黑体" w:eastAsia="黑体"/>
                <w:kern w:val="0"/>
                <w:sz w:val="24"/>
                <w:szCs w:val="24"/>
              </w:rPr>
              <w:t>抽取检查对象数量</w:t>
            </w:r>
          </w:p>
          <w:p>
            <w:pPr>
              <w:jc w:val="center"/>
              <w:rPr>
                <w:kern w:val="2"/>
                <w:sz w:val="24"/>
                <w:szCs w:val="24"/>
              </w:rPr>
            </w:pPr>
            <w:r>
              <w:rPr>
                <w:rFonts w:hint="eastAsia" w:ascii="黑体" w:hAnsi="黑体" w:eastAsia="黑体"/>
                <w:kern w:val="0"/>
                <w:sz w:val="24"/>
                <w:szCs w:val="24"/>
              </w:rPr>
              <w:t>（户）</w:t>
            </w:r>
          </w:p>
        </w:tc>
        <w:tc>
          <w:tcPr>
            <w:tcW w:w="930"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牵头部门</w:t>
            </w:r>
          </w:p>
        </w:tc>
        <w:tc>
          <w:tcPr>
            <w:tcW w:w="735"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响应部门</w:t>
            </w:r>
          </w:p>
        </w:tc>
        <w:tc>
          <w:tcPr>
            <w:tcW w:w="810"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抽取检查人</w:t>
            </w:r>
          </w:p>
        </w:tc>
        <w:tc>
          <w:tcPr>
            <w:tcW w:w="810"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检查方法</w:t>
            </w:r>
          </w:p>
        </w:tc>
        <w:tc>
          <w:tcPr>
            <w:tcW w:w="1597" w:type="dxa"/>
            <w:tcBorders>
              <w:top w:val="single" w:color="auto" w:sz="4" w:space="0"/>
              <w:left w:val="nil"/>
              <w:bottom w:val="single" w:color="auto" w:sz="4" w:space="0"/>
              <w:right w:val="single" w:color="auto" w:sz="4" w:space="0"/>
            </w:tcBorders>
            <w:vAlign w:val="center"/>
          </w:tcPr>
          <w:p>
            <w:pPr>
              <w:jc w:val="center"/>
              <w:rPr>
                <w:kern w:val="2"/>
                <w:sz w:val="24"/>
                <w:szCs w:val="24"/>
              </w:rPr>
            </w:pPr>
            <w:r>
              <w:rPr>
                <w:rFonts w:hint="eastAsia" w:ascii="黑体" w:hAnsi="黑体" w:eastAsia="黑体"/>
                <w:kern w:val="0"/>
                <w:sz w:val="24"/>
                <w:szCs w:val="24"/>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6" w:hRule="atLeast"/>
        </w:trPr>
        <w:tc>
          <w:tcPr>
            <w:tcW w:w="2737"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kern w:val="2"/>
                <w:sz w:val="24"/>
                <w:szCs w:val="24"/>
              </w:rPr>
            </w:pPr>
            <w:r>
              <w:rPr>
                <w:rFonts w:hint="eastAsia" w:ascii="仿宋_GB2312" w:eastAsia="仿宋_GB2312"/>
                <w:kern w:val="0"/>
                <w:sz w:val="24"/>
                <w:szCs w:val="24"/>
              </w:rPr>
              <w:t>检查餐饮经营单位是否存在拒不与特许经营企业签订餐厨垃圾收运合同或者未将收运合同报区主管部门备案的；是否存在将餐厨垃圾交给个人或者未取得特许经营资格的企业收运的；是否存在餐厨垃圾中混入其他生活垃圾。</w:t>
            </w:r>
          </w:p>
        </w:tc>
        <w:tc>
          <w:tcPr>
            <w:tcW w:w="3240" w:type="dxa"/>
            <w:tcBorders>
              <w:top w:val="single" w:color="auto" w:sz="4" w:space="0"/>
              <w:left w:val="nil"/>
              <w:bottom w:val="single" w:color="auto" w:sz="4" w:space="0"/>
              <w:right w:val="single" w:color="auto" w:sz="4" w:space="0"/>
            </w:tcBorders>
            <w:vAlign w:val="center"/>
          </w:tcPr>
          <w:p>
            <w:pPr>
              <w:numPr>
                <w:ilvl w:val="0"/>
                <w:numId w:val="1"/>
              </w:numPr>
              <w:jc w:val="left"/>
              <w:rPr>
                <w:rFonts w:ascii="仿宋_GB2312" w:eastAsia="仿宋_GB2312"/>
                <w:kern w:val="2"/>
                <w:sz w:val="24"/>
                <w:szCs w:val="24"/>
              </w:rPr>
            </w:pPr>
            <w:r>
              <w:rPr>
                <w:rFonts w:hint="eastAsia" w:ascii="仿宋_GB2312" w:eastAsia="仿宋_GB2312"/>
                <w:kern w:val="0"/>
                <w:sz w:val="24"/>
                <w:szCs w:val="24"/>
              </w:rPr>
              <w:t>查阅餐饮单位餐厨垃圾台账资料，内包括与特许经营企业签订餐厨垃圾收运合同（完整的电子版资料+部分纸质）；</w:t>
            </w:r>
          </w:p>
          <w:p>
            <w:pPr>
              <w:numPr>
                <w:ilvl w:val="0"/>
                <w:numId w:val="1"/>
              </w:numPr>
              <w:jc w:val="left"/>
              <w:rPr>
                <w:rFonts w:hint="eastAsia" w:ascii="仿宋_GB2312" w:eastAsia="仿宋_GB2312"/>
                <w:kern w:val="0"/>
                <w:sz w:val="24"/>
                <w:szCs w:val="24"/>
              </w:rPr>
            </w:pPr>
            <w:r>
              <w:rPr>
                <w:rFonts w:hint="eastAsia" w:ascii="仿宋_GB2312" w:eastAsia="仿宋_GB2312"/>
                <w:kern w:val="0"/>
                <w:sz w:val="24"/>
                <w:szCs w:val="24"/>
              </w:rPr>
              <w:t>检查餐厨垃圾收运企业经营资格证书；</w:t>
            </w:r>
          </w:p>
          <w:p>
            <w:pPr>
              <w:numPr>
                <w:ilvl w:val="0"/>
                <w:numId w:val="1"/>
              </w:numPr>
              <w:jc w:val="left"/>
              <w:rPr>
                <w:rFonts w:hint="eastAsia" w:ascii="仿宋_GB2312" w:eastAsia="仿宋_GB2312"/>
                <w:kern w:val="0"/>
                <w:sz w:val="24"/>
                <w:szCs w:val="24"/>
              </w:rPr>
            </w:pPr>
            <w:r>
              <w:rPr>
                <w:rFonts w:hint="eastAsia" w:ascii="仿宋_GB2312" w:eastAsia="仿宋_GB2312"/>
                <w:kern w:val="0"/>
                <w:sz w:val="24"/>
                <w:szCs w:val="24"/>
              </w:rPr>
              <w:t>检查是否将餐厨垃圾与其他生活垃圾分开投放；</w:t>
            </w:r>
          </w:p>
          <w:p>
            <w:pPr>
              <w:numPr>
                <w:ilvl w:val="0"/>
                <w:numId w:val="1"/>
              </w:numPr>
              <w:jc w:val="left"/>
              <w:rPr>
                <w:rFonts w:hint="eastAsia" w:ascii="仿宋_GB2312" w:eastAsia="仿宋_GB2312"/>
                <w:kern w:val="0"/>
                <w:sz w:val="24"/>
                <w:szCs w:val="24"/>
              </w:rPr>
            </w:pPr>
            <w:r>
              <w:rPr>
                <w:rFonts w:hint="eastAsia" w:ascii="仿宋_GB2312" w:eastAsia="仿宋_GB2312"/>
                <w:kern w:val="0"/>
                <w:sz w:val="24"/>
                <w:szCs w:val="24"/>
              </w:rPr>
              <w:t>检查餐厨垃圾运输车是否加盖车盖密封运输，车体是否清洁。</w:t>
            </w:r>
          </w:p>
          <w:p>
            <w:pPr>
              <w:jc w:val="left"/>
              <w:rPr>
                <w:rFonts w:ascii="仿宋_GB2312" w:eastAsia="仿宋_GB2312"/>
                <w:kern w:val="2"/>
                <w:sz w:val="24"/>
                <w:szCs w:val="24"/>
              </w:rPr>
            </w:pPr>
          </w:p>
        </w:tc>
        <w:tc>
          <w:tcPr>
            <w:tcW w:w="810" w:type="dxa"/>
            <w:tcBorders>
              <w:top w:val="single" w:color="auto" w:sz="4" w:space="0"/>
              <w:left w:val="nil"/>
              <w:bottom w:val="single" w:color="auto" w:sz="4" w:space="0"/>
              <w:right w:val="single" w:color="auto" w:sz="4" w:space="0"/>
            </w:tcBorders>
            <w:vAlign w:val="center"/>
          </w:tcPr>
          <w:p>
            <w:pPr>
              <w:rPr>
                <w:rFonts w:hint="eastAsia" w:ascii="仿宋_GB2312" w:eastAsia="仿宋_GB2312"/>
                <w:kern w:val="0"/>
                <w:sz w:val="24"/>
                <w:szCs w:val="24"/>
              </w:rPr>
            </w:pPr>
            <w:r>
              <w:rPr>
                <w:rFonts w:hint="eastAsia" w:ascii="仿宋_GB2312" w:eastAsia="仿宋_GB2312"/>
                <w:kern w:val="0"/>
                <w:sz w:val="24"/>
                <w:szCs w:val="24"/>
              </w:rPr>
              <w:t>湘里湘味餐厅</w:t>
            </w:r>
          </w:p>
          <w:p>
            <w:pPr>
              <w:jc w:val="center"/>
              <w:rPr>
                <w:rFonts w:ascii="仿宋_GB2312" w:eastAsia="仿宋_GB2312"/>
                <w:kern w:val="2"/>
                <w:sz w:val="24"/>
                <w:szCs w:val="24"/>
              </w:rPr>
            </w:pPr>
          </w:p>
        </w:tc>
        <w:tc>
          <w:tcPr>
            <w:tcW w:w="138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2"/>
                <w:sz w:val="24"/>
                <w:szCs w:val="24"/>
              </w:rPr>
            </w:pPr>
            <w:r>
              <w:rPr>
                <w:rFonts w:hint="eastAsia" w:ascii="仿宋_GB2312" w:eastAsia="仿宋_GB2312"/>
                <w:kern w:val="0"/>
                <w:sz w:val="24"/>
                <w:szCs w:val="24"/>
              </w:rPr>
              <w:t>2021年9月13日上午10：00—12：00</w:t>
            </w:r>
          </w:p>
        </w:tc>
        <w:tc>
          <w:tcPr>
            <w:tcW w:w="112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2"/>
                <w:sz w:val="24"/>
                <w:szCs w:val="24"/>
              </w:rPr>
            </w:pPr>
            <w:r>
              <w:rPr>
                <w:rFonts w:hint="eastAsia" w:ascii="仿宋_GB2312" w:eastAsia="仿宋_GB2312"/>
                <w:kern w:val="0"/>
                <w:sz w:val="24"/>
                <w:szCs w:val="24"/>
              </w:rPr>
              <w:t>1户</w:t>
            </w:r>
          </w:p>
        </w:tc>
        <w:tc>
          <w:tcPr>
            <w:tcW w:w="93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2"/>
                <w:sz w:val="24"/>
                <w:szCs w:val="24"/>
              </w:rPr>
            </w:pPr>
            <w:r>
              <w:rPr>
                <w:rFonts w:hint="eastAsia" w:ascii="仿宋_GB2312" w:eastAsia="仿宋_GB2312"/>
                <w:kern w:val="0"/>
                <w:sz w:val="24"/>
                <w:szCs w:val="24"/>
              </w:rPr>
              <w:t>盐田区城市管理和综合执法局</w:t>
            </w:r>
          </w:p>
        </w:tc>
        <w:tc>
          <w:tcPr>
            <w:tcW w:w="735"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2"/>
                <w:sz w:val="24"/>
                <w:szCs w:val="24"/>
              </w:rPr>
            </w:pPr>
            <w:r>
              <w:rPr>
                <w:rFonts w:hint="eastAsia" w:ascii="仿宋_GB2312" w:eastAsia="仿宋_GB2312"/>
                <w:kern w:val="0"/>
                <w:sz w:val="24"/>
                <w:szCs w:val="24"/>
              </w:rPr>
              <w:t>沙头角街道综合行政执法队</w:t>
            </w:r>
          </w:p>
        </w:tc>
        <w:tc>
          <w:tcPr>
            <w:tcW w:w="810" w:type="dxa"/>
            <w:tcBorders>
              <w:top w:val="single" w:color="auto" w:sz="4" w:space="0"/>
              <w:left w:val="nil"/>
              <w:bottom w:val="single" w:color="auto" w:sz="4" w:space="0"/>
              <w:right w:val="single" w:color="auto" w:sz="4" w:space="0"/>
            </w:tcBorders>
            <w:vAlign w:val="center"/>
          </w:tcPr>
          <w:p>
            <w:pPr>
              <w:rPr>
                <w:kern w:val="0"/>
                <w:sz w:val="24"/>
                <w:szCs w:val="24"/>
              </w:rPr>
            </w:pPr>
            <w:r>
              <w:rPr>
                <w:rFonts w:hint="eastAsia" w:ascii="仿宋_GB2312" w:eastAsia="仿宋_GB2312"/>
                <w:kern w:val="0"/>
                <w:sz w:val="24"/>
                <w:szCs w:val="24"/>
              </w:rPr>
              <w:t>蔡学杰</w:t>
            </w:r>
          </w:p>
          <w:p>
            <w:pPr>
              <w:rPr>
                <w:kern w:val="0"/>
                <w:sz w:val="24"/>
                <w:szCs w:val="24"/>
              </w:rPr>
            </w:pPr>
            <w:r>
              <w:rPr>
                <w:rFonts w:hint="eastAsia" w:ascii="仿宋_GB2312" w:eastAsia="仿宋_GB2312"/>
                <w:kern w:val="0"/>
                <w:sz w:val="24"/>
                <w:szCs w:val="24"/>
              </w:rPr>
              <w:t>、冼景辉</w:t>
            </w:r>
          </w:p>
          <w:p>
            <w:pPr>
              <w:jc w:val="center"/>
              <w:rPr>
                <w:rFonts w:ascii="仿宋_GB2312" w:eastAsia="仿宋_GB2312"/>
                <w:kern w:val="2"/>
                <w:sz w:val="24"/>
                <w:szCs w:val="24"/>
              </w:rPr>
            </w:pPr>
          </w:p>
        </w:tc>
        <w:tc>
          <w:tcPr>
            <w:tcW w:w="810"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2"/>
                <w:sz w:val="24"/>
                <w:szCs w:val="24"/>
              </w:rPr>
            </w:pPr>
            <w:r>
              <w:rPr>
                <w:rFonts w:hint="eastAsia" w:ascii="仿宋_GB2312" w:eastAsia="仿宋_GB2312"/>
                <w:kern w:val="0"/>
                <w:sz w:val="24"/>
                <w:szCs w:val="24"/>
              </w:rPr>
              <w:t>实地检查</w:t>
            </w:r>
          </w:p>
        </w:tc>
        <w:tc>
          <w:tcPr>
            <w:tcW w:w="1597" w:type="dxa"/>
            <w:tcBorders>
              <w:top w:val="single" w:color="auto" w:sz="4" w:space="0"/>
              <w:left w:val="nil"/>
              <w:bottom w:val="single" w:color="auto" w:sz="4" w:space="0"/>
              <w:right w:val="single" w:color="auto" w:sz="4" w:space="0"/>
            </w:tcBorders>
            <w:vAlign w:val="center"/>
          </w:tcPr>
          <w:p>
            <w:pPr>
              <w:jc w:val="center"/>
              <w:rPr>
                <w:rFonts w:ascii="仿宋_GB2312" w:eastAsia="仿宋_GB2312"/>
                <w:kern w:val="2"/>
                <w:sz w:val="24"/>
                <w:szCs w:val="24"/>
              </w:rPr>
            </w:pPr>
            <w:r>
              <w:rPr>
                <w:rFonts w:hint="eastAsia" w:ascii="仿宋_GB2312" w:eastAsia="仿宋_GB2312"/>
                <w:kern w:val="0"/>
                <w:sz w:val="24"/>
                <w:szCs w:val="24"/>
              </w:rPr>
              <w:t>《深圳经济特区市容和环境卫生管理条例》第二十一条、《深圳经济特区城市管理综合执法条例》、《深圳市餐厨垃圾管理办法》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15E20"/>
    <w:multiLevelType w:val="multilevel"/>
    <w:tmpl w:val="6EA15E2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AB"/>
    <w:rsid w:val="00023293"/>
    <w:rsid w:val="00E35AC4"/>
    <w:rsid w:val="00F20FAB"/>
    <w:rsid w:val="03402E33"/>
    <w:rsid w:val="64F5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unhideWhenUsed/>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381</Characters>
  <Lines>3</Lines>
  <Paragraphs>1</Paragraphs>
  <TotalTime>22</TotalTime>
  <ScaleCrop>false</ScaleCrop>
  <LinksUpToDate>false</LinksUpToDate>
  <CharactersWithSpaces>446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2021-12-14T07:01:00Z</dcterms:created>
  <dc:creator>赵乾</dc:creator>
  <cp:lastModifiedBy>YT</cp:lastModifiedBy>
  <dcterms:modified xsi:type="dcterms:W3CDTF">2023-02-09T03:03:03Z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