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深圳市盐田区人民政府关于202</w:t>
      </w:r>
      <w:r>
        <w:rPr>
          <w:rFonts w:hint="eastAsia"/>
          <w:lang w:val="en-US" w:eastAsia="zh-CN"/>
        </w:rPr>
        <w:t>3</w:t>
      </w:r>
      <w:r>
        <w:rPr>
          <w:rFonts w:hint="eastAsia"/>
        </w:rPr>
        <w:t>年重点</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rPr>
        <w:t>民生实事项目</w:t>
      </w:r>
      <w:r>
        <w:rPr>
          <w:rFonts w:hint="eastAsia"/>
          <w:lang w:eastAsia="zh-CN"/>
        </w:rPr>
        <w:t>上半年</w:t>
      </w:r>
      <w:r>
        <w:rPr>
          <w:rFonts w:hint="eastAsia"/>
          <w:lang w:val="en-US" w:eastAsia="zh-CN"/>
        </w:rPr>
        <w:t>进展</w:t>
      </w:r>
      <w:r>
        <w:rPr>
          <w:rFonts w:hint="eastAsia"/>
        </w:rPr>
        <w:t>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一、总体情况</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sz w:val="32"/>
          <w:szCs w:val="32"/>
          <w:lang w:val="en-US" w:eastAsia="zh-CN"/>
        </w:rPr>
      </w:pPr>
      <w:r>
        <w:rPr>
          <w:rFonts w:hint="eastAsia" w:ascii="仿宋_GB2312" w:hAnsi="仿宋_GB2312" w:eastAsia="仿宋_GB2312" w:cs="仿宋_GB2312"/>
          <w:lang w:val="en-US" w:eastAsia="zh-CN"/>
        </w:rPr>
        <w:t>202</w:t>
      </w:r>
      <w:r>
        <w:rPr>
          <w:rFonts w:hint="eastAsia" w:ascii="仿宋_GB2312" w:hAnsi="仿宋_GB2312" w:cs="仿宋_GB2312"/>
          <w:lang w:val="en-US" w:eastAsia="zh-CN"/>
        </w:rPr>
        <w:t>3</w:t>
      </w:r>
      <w:r>
        <w:rPr>
          <w:rFonts w:hint="eastAsia" w:ascii="仿宋_GB2312" w:hAnsi="仿宋_GB2312" w:eastAsia="仿宋_GB2312" w:cs="仿宋_GB2312"/>
          <w:lang w:val="en-US" w:eastAsia="zh-CN"/>
        </w:rPr>
        <w:t>年区</w:t>
      </w:r>
      <w:r>
        <w:rPr>
          <w:rFonts w:hint="eastAsia" w:ascii="仿宋_GB2312" w:hAnsi="仿宋_GB2312" w:cs="仿宋_GB2312"/>
          <w:lang w:val="en-US" w:eastAsia="zh-CN"/>
        </w:rPr>
        <w:t>十件</w:t>
      </w:r>
      <w:r>
        <w:rPr>
          <w:rFonts w:hint="eastAsia" w:ascii="仿宋_GB2312" w:hAnsi="仿宋_GB2312" w:eastAsia="仿宋_GB2312" w:cs="仿宋_GB2312"/>
          <w:lang w:val="en-US" w:eastAsia="zh-CN"/>
        </w:rPr>
        <w:t>重点民生实事项目</w:t>
      </w:r>
      <w:r>
        <w:rPr>
          <w:rFonts w:hint="eastAsia" w:ascii="仿宋_GB2312" w:hAnsi="仿宋" w:eastAsia="仿宋_GB2312"/>
          <w:sz w:val="32"/>
          <w:szCs w:val="32"/>
          <w:lang w:val="en-US" w:eastAsia="zh-CN"/>
        </w:rPr>
        <w:t>具体涉及教育、医疗、</w:t>
      </w:r>
      <w:r>
        <w:rPr>
          <w:rFonts w:hint="eastAsia" w:ascii="仿宋_GB2312" w:hAnsi="仿宋"/>
          <w:sz w:val="32"/>
          <w:szCs w:val="32"/>
          <w:lang w:val="en-US" w:eastAsia="zh-CN"/>
        </w:rPr>
        <w:t>住房、</w:t>
      </w:r>
      <w:r>
        <w:rPr>
          <w:rFonts w:hint="eastAsia" w:ascii="仿宋_GB2312" w:hAnsi="仿宋" w:eastAsia="仿宋_GB2312"/>
          <w:sz w:val="32"/>
          <w:szCs w:val="32"/>
          <w:lang w:val="en-US" w:eastAsia="zh-CN"/>
        </w:rPr>
        <w:t>民政、城管、文体、交通</w:t>
      </w:r>
      <w:r>
        <w:rPr>
          <w:rFonts w:hint="eastAsia" w:ascii="仿宋_GB2312" w:hAnsi="仿宋"/>
          <w:sz w:val="32"/>
          <w:szCs w:val="32"/>
          <w:lang w:val="en-US" w:eastAsia="zh-CN"/>
        </w:rPr>
        <w:t>、公共安全</w:t>
      </w:r>
      <w:r>
        <w:rPr>
          <w:rFonts w:hint="eastAsia" w:ascii="仿宋_GB2312" w:hAnsi="仿宋" w:eastAsia="仿宋_GB2312"/>
          <w:sz w:val="32"/>
          <w:szCs w:val="32"/>
          <w:lang w:val="en-US" w:eastAsia="zh-CN"/>
        </w:rPr>
        <w:t>等民生重点热点领域</w:t>
      </w:r>
      <w:r>
        <w:rPr>
          <w:rFonts w:hint="eastAsia" w:ascii="仿宋_GB2312" w:hAnsi="仿宋"/>
          <w:sz w:val="32"/>
          <w:szCs w:val="32"/>
          <w:lang w:val="en-US" w:eastAsia="zh-CN"/>
        </w:rPr>
        <w:t>，</w:t>
      </w:r>
      <w:r>
        <w:rPr>
          <w:rFonts w:hint="eastAsia" w:ascii="仿宋_GB2312" w:hAnsi="仿宋"/>
          <w:sz w:val="32"/>
          <w:szCs w:val="32"/>
          <w:lang w:val="en" w:eastAsia="zh-CN"/>
        </w:rPr>
        <w:t>共</w:t>
      </w:r>
      <w:r>
        <w:rPr>
          <w:rFonts w:hint="eastAsia" w:ascii="仿宋_GB2312" w:hAnsi="仿宋"/>
          <w:sz w:val="32"/>
          <w:szCs w:val="32"/>
          <w:lang w:val="en-US" w:eastAsia="zh-CN"/>
        </w:rPr>
        <w:t>6</w:t>
      </w:r>
      <w:r>
        <w:rPr>
          <w:rFonts w:hint="eastAsia" w:ascii="仿宋_GB2312" w:hAnsi="仿宋" w:eastAsia="仿宋_GB2312"/>
          <w:sz w:val="32"/>
          <w:szCs w:val="32"/>
          <w:lang w:val="en-US" w:eastAsia="zh-CN"/>
        </w:rPr>
        <w:t>个</w:t>
      </w:r>
      <w:r>
        <w:rPr>
          <w:rFonts w:hint="default" w:ascii="仿宋_GB2312" w:hAnsi="仿宋" w:eastAsia="仿宋_GB2312"/>
          <w:sz w:val="32"/>
          <w:szCs w:val="32"/>
          <w:lang w:val="en" w:eastAsia="zh-CN"/>
        </w:rPr>
        <w:t>工程</w:t>
      </w:r>
      <w:r>
        <w:rPr>
          <w:rFonts w:hint="eastAsia" w:ascii="仿宋_GB2312" w:hAnsi="仿宋" w:eastAsia="仿宋_GB2312"/>
          <w:sz w:val="32"/>
          <w:szCs w:val="32"/>
          <w:lang w:val="en" w:eastAsia="zh-CN"/>
        </w:rPr>
        <w:t>类</w:t>
      </w:r>
      <w:r>
        <w:rPr>
          <w:rFonts w:hint="default" w:ascii="仿宋_GB2312" w:hAnsi="仿宋" w:eastAsia="仿宋_GB2312"/>
          <w:sz w:val="32"/>
          <w:szCs w:val="32"/>
          <w:lang w:val="en" w:eastAsia="zh-CN"/>
        </w:rPr>
        <w:t>项目</w:t>
      </w:r>
      <w:r>
        <w:rPr>
          <w:rFonts w:hint="eastAsia" w:ascii="仿宋_GB2312" w:hAnsi="仿宋" w:eastAsia="仿宋_GB2312"/>
          <w:sz w:val="32"/>
          <w:szCs w:val="32"/>
          <w:lang w:val="en" w:eastAsia="zh-CN"/>
        </w:rPr>
        <w:t>和</w:t>
      </w:r>
      <w:r>
        <w:rPr>
          <w:rFonts w:hint="eastAsia" w:ascii="仿宋_GB2312" w:hAnsi="仿宋"/>
          <w:sz w:val="32"/>
          <w:szCs w:val="32"/>
          <w:lang w:val="en-US" w:eastAsia="zh-CN"/>
        </w:rPr>
        <w:t>4</w:t>
      </w:r>
      <w:r>
        <w:rPr>
          <w:rFonts w:hint="eastAsia" w:ascii="仿宋_GB2312" w:hAnsi="仿宋" w:eastAsia="仿宋_GB2312"/>
          <w:sz w:val="32"/>
          <w:szCs w:val="32"/>
          <w:lang w:val="en-US" w:eastAsia="zh-CN"/>
        </w:rPr>
        <w:t>个</w:t>
      </w:r>
      <w:r>
        <w:rPr>
          <w:rFonts w:hint="default" w:ascii="仿宋_GB2312" w:hAnsi="仿宋" w:eastAsia="仿宋_GB2312"/>
          <w:sz w:val="32"/>
          <w:szCs w:val="32"/>
          <w:lang w:val="en" w:eastAsia="zh-CN"/>
        </w:rPr>
        <w:t>服务</w:t>
      </w:r>
      <w:r>
        <w:rPr>
          <w:rFonts w:hint="eastAsia" w:ascii="仿宋_GB2312" w:hAnsi="仿宋" w:eastAsia="仿宋_GB2312"/>
          <w:sz w:val="32"/>
          <w:szCs w:val="32"/>
          <w:lang w:val="en" w:eastAsia="zh-CN"/>
        </w:rPr>
        <w:t>类项目</w:t>
      </w:r>
      <w:r>
        <w:rPr>
          <w:rFonts w:hint="eastAsia" w:ascii="仿宋_GB2312" w:hAnsi="仿宋" w:eastAsia="仿宋_GB2312"/>
          <w:sz w:val="32"/>
          <w:szCs w:val="32"/>
          <w:lang w:val="en-US" w:eastAsia="zh-CN"/>
        </w:rPr>
        <w:t>。</w:t>
      </w:r>
      <w:r>
        <w:rPr>
          <w:rFonts w:hint="eastAsia" w:ascii="仿宋_GB2312" w:hAnsi="仿宋"/>
          <w:sz w:val="32"/>
          <w:szCs w:val="32"/>
          <w:lang w:val="en-US" w:eastAsia="zh-CN"/>
        </w:rPr>
        <w:t>上半年</w:t>
      </w:r>
      <w:r>
        <w:rPr>
          <w:rFonts w:hint="eastAsia" w:ascii="仿宋_GB2312" w:hAnsi="仿宋" w:eastAsia="仿宋_GB2312"/>
          <w:sz w:val="32"/>
          <w:szCs w:val="32"/>
          <w:lang w:val="en-US" w:eastAsia="zh-CN"/>
        </w:rPr>
        <w:t>，在</w:t>
      </w:r>
      <w:r>
        <w:rPr>
          <w:rFonts w:hint="eastAsia" w:ascii="仿宋_GB2312" w:hAnsi="仿宋"/>
          <w:sz w:val="32"/>
          <w:szCs w:val="32"/>
          <w:lang w:val="en-US" w:eastAsia="zh-CN"/>
        </w:rPr>
        <w:t>区委正确</w:t>
      </w:r>
      <w:r>
        <w:rPr>
          <w:rFonts w:hint="eastAsia" w:ascii="仿宋_GB2312" w:hAnsi="仿宋" w:eastAsia="仿宋_GB2312"/>
          <w:sz w:val="32"/>
          <w:szCs w:val="32"/>
          <w:lang w:val="en-US" w:eastAsia="zh-CN"/>
        </w:rPr>
        <w:t>领导</w:t>
      </w:r>
      <w:r>
        <w:rPr>
          <w:rFonts w:hint="eastAsia" w:ascii="仿宋_GB2312" w:hAnsi="仿宋"/>
          <w:sz w:val="32"/>
          <w:szCs w:val="32"/>
          <w:lang w:val="en-US" w:eastAsia="zh-CN"/>
        </w:rPr>
        <w:t>和区</w:t>
      </w:r>
      <w:r>
        <w:rPr>
          <w:rFonts w:hint="eastAsia" w:ascii="仿宋_GB2312" w:hAnsi="仿宋" w:eastAsia="仿宋_GB2312"/>
          <w:sz w:val="32"/>
          <w:szCs w:val="32"/>
          <w:lang w:val="en-US" w:eastAsia="zh-CN"/>
        </w:rPr>
        <w:t>人大监督</w:t>
      </w:r>
      <w:r>
        <w:rPr>
          <w:rFonts w:hint="eastAsia" w:ascii="仿宋_GB2312" w:hAnsi="仿宋"/>
          <w:sz w:val="32"/>
          <w:szCs w:val="32"/>
          <w:lang w:val="en-US" w:eastAsia="zh-CN"/>
        </w:rPr>
        <w:t>支持</w:t>
      </w:r>
      <w:r>
        <w:rPr>
          <w:rFonts w:hint="eastAsia" w:ascii="仿宋_GB2312" w:hAnsi="仿宋" w:eastAsia="仿宋_GB2312"/>
          <w:sz w:val="32"/>
          <w:szCs w:val="32"/>
          <w:lang w:val="en-US" w:eastAsia="zh-CN"/>
        </w:rPr>
        <w:t>下，</w:t>
      </w:r>
      <w:r>
        <w:rPr>
          <w:rFonts w:hint="eastAsia" w:ascii="仿宋_GB2312" w:hAnsi="仿宋"/>
          <w:sz w:val="32"/>
          <w:szCs w:val="32"/>
          <w:lang w:val="en-US" w:eastAsia="zh-CN"/>
        </w:rPr>
        <w:t>区政府各民生实事办理部门高度重视</w:t>
      </w:r>
      <w:r>
        <w:rPr>
          <w:rFonts w:hint="eastAsia" w:ascii="仿宋_GB2312" w:hAnsi="仿宋" w:eastAsia="仿宋_GB2312"/>
          <w:sz w:val="32"/>
          <w:szCs w:val="32"/>
          <w:lang w:val="en-US" w:eastAsia="zh-CN"/>
        </w:rPr>
        <w:t>，紧盯</w:t>
      </w:r>
      <w:r>
        <w:rPr>
          <w:rFonts w:hint="eastAsia" w:ascii="仿宋_GB2312" w:hAnsi="仿宋"/>
          <w:sz w:val="32"/>
          <w:szCs w:val="32"/>
          <w:lang w:val="en-US" w:eastAsia="zh-CN"/>
        </w:rPr>
        <w:t>各项任务</w:t>
      </w:r>
      <w:r>
        <w:rPr>
          <w:rFonts w:hint="eastAsia" w:ascii="仿宋_GB2312" w:hAnsi="仿宋" w:eastAsia="仿宋_GB2312"/>
          <w:sz w:val="32"/>
          <w:szCs w:val="32"/>
          <w:lang w:val="en-US" w:eastAsia="zh-CN"/>
        </w:rPr>
        <w:t>目标</w:t>
      </w:r>
      <w:r>
        <w:rPr>
          <w:rFonts w:hint="eastAsia" w:ascii="仿宋_GB2312" w:hAnsi="仿宋"/>
          <w:sz w:val="32"/>
          <w:szCs w:val="32"/>
          <w:lang w:val="en-US" w:eastAsia="zh-CN"/>
        </w:rPr>
        <w:t>，</w:t>
      </w:r>
      <w:r>
        <w:rPr>
          <w:rFonts w:hint="eastAsia" w:ascii="仿宋_GB2312" w:hAnsi="仿宋" w:eastAsia="仿宋_GB2312"/>
          <w:sz w:val="32"/>
          <w:szCs w:val="32"/>
          <w:lang w:val="en-US" w:eastAsia="zh-CN"/>
        </w:rPr>
        <w:t>精心组织、</w:t>
      </w:r>
      <w:r>
        <w:rPr>
          <w:rFonts w:hint="eastAsia" w:ascii="仿宋_GB2312" w:hAnsi="仿宋"/>
          <w:sz w:val="32"/>
          <w:szCs w:val="32"/>
          <w:lang w:val="en-US" w:eastAsia="zh-CN"/>
        </w:rPr>
        <w:t>全力推进</w:t>
      </w:r>
      <w:r>
        <w:rPr>
          <w:rFonts w:hint="eastAsia" w:ascii="仿宋_GB2312" w:hAnsi="仿宋" w:eastAsia="仿宋_GB2312"/>
          <w:sz w:val="32"/>
          <w:szCs w:val="32"/>
          <w:lang w:val="en-US" w:eastAsia="zh-CN"/>
        </w:rPr>
        <w:t>，较好</w:t>
      </w:r>
      <w:r>
        <w:rPr>
          <w:rFonts w:hint="eastAsia" w:ascii="仿宋_GB2312" w:hAnsi="仿宋"/>
          <w:sz w:val="32"/>
          <w:szCs w:val="32"/>
          <w:lang w:val="en-US" w:eastAsia="zh-CN"/>
        </w:rPr>
        <w:t>地</w:t>
      </w:r>
      <w:r>
        <w:rPr>
          <w:rFonts w:hint="eastAsia" w:ascii="仿宋_GB2312" w:hAnsi="仿宋" w:eastAsia="仿宋_GB2312"/>
          <w:sz w:val="32"/>
          <w:szCs w:val="32"/>
          <w:lang w:val="en-US" w:eastAsia="zh-CN"/>
        </w:rPr>
        <w:t>完成了</w:t>
      </w:r>
      <w:r>
        <w:rPr>
          <w:rFonts w:hint="eastAsia" w:ascii="仿宋_GB2312" w:hAnsi="仿宋"/>
          <w:sz w:val="32"/>
          <w:szCs w:val="32"/>
          <w:lang w:val="en-US" w:eastAsia="zh-CN"/>
        </w:rPr>
        <w:t>上</w:t>
      </w:r>
      <w:r>
        <w:rPr>
          <w:rFonts w:hint="eastAsia" w:ascii="仿宋_GB2312" w:hAnsi="仿宋" w:eastAsia="仿宋_GB2312"/>
          <w:sz w:val="32"/>
          <w:szCs w:val="32"/>
          <w:lang w:val="en-US" w:eastAsia="zh-CN"/>
        </w:rPr>
        <w:t>半年度</w:t>
      </w:r>
      <w:r>
        <w:rPr>
          <w:rFonts w:hint="eastAsia" w:ascii="仿宋_GB2312" w:hAnsi="仿宋"/>
          <w:sz w:val="32"/>
          <w:szCs w:val="32"/>
          <w:lang w:val="en-US" w:eastAsia="zh-CN"/>
        </w:rPr>
        <w:t>的</w:t>
      </w:r>
      <w:r>
        <w:rPr>
          <w:rFonts w:hint="eastAsia" w:ascii="仿宋_GB2312" w:hAnsi="仿宋" w:eastAsia="仿宋_GB2312"/>
          <w:sz w:val="32"/>
          <w:szCs w:val="32"/>
          <w:lang w:val="en-US" w:eastAsia="zh-CN"/>
        </w:rPr>
        <w:t>工作目标。</w:t>
      </w:r>
      <w:r>
        <w:rPr>
          <w:rFonts w:hint="eastAsia" w:ascii="仿宋_GB2312" w:hAnsi="仿宋"/>
          <w:sz w:val="32"/>
          <w:szCs w:val="32"/>
          <w:lang w:val="en-US" w:eastAsia="zh-CN"/>
        </w:rPr>
        <w:t>十件重点民生实事项目包括的19项具体任务中</w:t>
      </w:r>
      <w:r>
        <w:rPr>
          <w:rFonts w:hint="default" w:ascii="仿宋_GB2312" w:hAnsi="仿宋"/>
          <w:sz w:val="32"/>
          <w:szCs w:val="32"/>
          <w:lang w:val="en" w:eastAsia="zh-CN"/>
        </w:rPr>
        <w:t>，</w:t>
      </w:r>
      <w:r>
        <w:rPr>
          <w:rFonts w:hint="eastAsia" w:ascii="仿宋_GB2312" w:hAnsi="仿宋"/>
          <w:sz w:val="32"/>
          <w:szCs w:val="32"/>
          <w:lang w:val="en-US" w:eastAsia="zh-CN"/>
        </w:rPr>
        <w:t>部分具体任务</w:t>
      </w:r>
      <w:r>
        <w:rPr>
          <w:rFonts w:hint="eastAsia" w:ascii="仿宋_GB2312" w:hAnsi="仿宋"/>
          <w:b/>
          <w:bCs/>
          <w:sz w:val="32"/>
          <w:szCs w:val="32"/>
          <w:lang w:val="en-US" w:eastAsia="zh-CN"/>
        </w:rPr>
        <w:t>已圆满完成</w:t>
      </w:r>
      <w:r>
        <w:rPr>
          <w:rFonts w:hint="default" w:ascii="仿宋_GB2312" w:hAnsi="仿宋"/>
          <w:sz w:val="32"/>
          <w:szCs w:val="32"/>
          <w:lang w:val="en" w:eastAsia="zh-CN"/>
        </w:rPr>
        <w:t>（永安北三街、洪安四街</w:t>
      </w:r>
      <w:r>
        <w:rPr>
          <w:rFonts w:hint="eastAsia" w:ascii="仿宋_GB2312" w:hAnsi="仿宋"/>
          <w:b w:val="0"/>
          <w:bCs w:val="0"/>
          <w:sz w:val="32"/>
          <w:szCs w:val="32"/>
          <w:lang w:val="en-US" w:eastAsia="zh-CN"/>
        </w:rPr>
        <w:t>道路整治</w:t>
      </w:r>
      <w:r>
        <w:rPr>
          <w:rFonts w:hint="default" w:ascii="仿宋_GB2312" w:hAnsi="仿宋"/>
          <w:sz w:val="32"/>
          <w:szCs w:val="32"/>
          <w:lang w:val="en" w:eastAsia="zh-CN"/>
        </w:rPr>
        <w:t>；</w:t>
      </w:r>
      <w:r>
        <w:rPr>
          <w:rFonts w:hint="eastAsia" w:ascii="仿宋_GB2312" w:hAnsi="仿宋"/>
          <w:sz w:val="32"/>
          <w:szCs w:val="32"/>
          <w:lang w:val="en-US" w:eastAsia="zh-CN"/>
        </w:rPr>
        <w:t>520</w:t>
      </w:r>
      <w:r>
        <w:rPr>
          <w:rFonts w:hint="default" w:ascii="仿宋_GB2312" w:hAnsi="仿宋"/>
          <w:sz w:val="32"/>
          <w:szCs w:val="32"/>
          <w:lang w:val="en" w:eastAsia="zh-CN"/>
        </w:rPr>
        <w:t>香樟公园</w:t>
      </w:r>
      <w:r>
        <w:rPr>
          <w:rFonts w:hint="eastAsia" w:ascii="仿宋_GB2312" w:hAnsi="仿宋"/>
          <w:sz w:val="32"/>
          <w:szCs w:val="32"/>
          <w:lang w:val="en" w:eastAsia="zh-CN"/>
        </w:rPr>
        <w:t>和</w:t>
      </w:r>
      <w:r>
        <w:rPr>
          <w:rFonts w:hint="eastAsia" w:ascii="仿宋_GB2312" w:hAnsi="仿宋"/>
          <w:sz w:val="32"/>
          <w:szCs w:val="32"/>
          <w:lang w:val="en-US" w:eastAsia="zh-CN"/>
        </w:rPr>
        <w:t>4个社区公园</w:t>
      </w:r>
      <w:r>
        <w:rPr>
          <w:rFonts w:hint="default" w:ascii="仿宋_GB2312" w:hAnsi="仿宋"/>
          <w:sz w:val="32"/>
          <w:szCs w:val="32"/>
          <w:lang w:val="en" w:eastAsia="zh-CN"/>
        </w:rPr>
        <w:t>建设；</w:t>
      </w:r>
      <w:r>
        <w:rPr>
          <w:rFonts w:hint="eastAsia" w:ascii="仿宋_GB2312" w:hAnsi="仿宋"/>
          <w:sz w:val="32"/>
          <w:szCs w:val="32"/>
          <w:lang w:val="en" w:eastAsia="zh-CN"/>
        </w:rPr>
        <w:t>建设</w:t>
      </w:r>
      <w:r>
        <w:rPr>
          <w:rFonts w:hint="default" w:ascii="仿宋_GB2312" w:hAnsi="仿宋"/>
          <w:sz w:val="32"/>
          <w:szCs w:val="32"/>
          <w:lang w:val="en" w:eastAsia="zh-CN"/>
        </w:rPr>
        <w:t>掌上智慧医院</w:t>
      </w:r>
      <w:r>
        <w:rPr>
          <w:rFonts w:hint="eastAsia" w:ascii="仿宋_GB2312" w:hAnsi="仿宋"/>
          <w:sz w:val="32"/>
          <w:szCs w:val="32"/>
          <w:lang w:val="en" w:eastAsia="zh-CN"/>
        </w:rPr>
        <w:t>系统</w:t>
      </w:r>
      <w:r>
        <w:rPr>
          <w:rFonts w:hint="default" w:ascii="仿宋_GB2312" w:hAnsi="仿宋"/>
          <w:sz w:val="32"/>
          <w:szCs w:val="32"/>
          <w:lang w:val="en" w:eastAsia="zh-CN"/>
        </w:rPr>
        <w:t>），部分项目</w:t>
      </w:r>
      <w:r>
        <w:rPr>
          <w:rFonts w:hint="eastAsia" w:ascii="仿宋_GB2312" w:hAnsi="仿宋"/>
          <w:sz w:val="32"/>
          <w:szCs w:val="32"/>
          <w:lang w:val="en" w:eastAsia="zh-CN"/>
        </w:rPr>
        <w:t>任务</w:t>
      </w:r>
      <w:r>
        <w:rPr>
          <w:rFonts w:hint="eastAsia" w:ascii="仿宋_GB2312" w:hAnsi="仿宋"/>
          <w:b/>
          <w:bCs/>
          <w:sz w:val="32"/>
          <w:szCs w:val="32"/>
          <w:lang w:val="en" w:eastAsia="zh-CN"/>
        </w:rPr>
        <w:t>顺利推进、</w:t>
      </w:r>
      <w:r>
        <w:rPr>
          <w:rFonts w:hint="default" w:ascii="仿宋_GB2312" w:hAnsi="仿宋"/>
          <w:b/>
          <w:bCs/>
          <w:sz w:val="32"/>
          <w:szCs w:val="32"/>
          <w:lang w:val="en" w:eastAsia="zh-CN"/>
        </w:rPr>
        <w:t>完成较好</w:t>
      </w:r>
      <w:r>
        <w:rPr>
          <w:rFonts w:hint="default" w:ascii="仿宋_GB2312" w:hAnsi="仿宋"/>
          <w:sz w:val="32"/>
          <w:szCs w:val="32"/>
          <w:lang w:val="en" w:eastAsia="zh-CN"/>
        </w:rPr>
        <w:t>（山海学校建设；为学生</w:t>
      </w:r>
      <w:r>
        <w:rPr>
          <w:rFonts w:hint="eastAsia" w:ascii="仿宋_GB2312" w:hAnsi="仿宋"/>
          <w:sz w:val="32"/>
          <w:szCs w:val="32"/>
          <w:lang w:val="en" w:eastAsia="zh-CN"/>
        </w:rPr>
        <w:t>加餐</w:t>
      </w:r>
      <w:r>
        <w:rPr>
          <w:rFonts w:hint="default" w:ascii="仿宋_GB2312" w:hAnsi="仿宋"/>
          <w:sz w:val="32"/>
          <w:szCs w:val="32"/>
          <w:lang w:val="en" w:eastAsia="zh-CN"/>
        </w:rPr>
        <w:t>；盐田区未来农业科技示范与科普教育基地建设；区人民医院医疗综合楼建设；</w:t>
      </w:r>
      <w:r>
        <w:rPr>
          <w:rFonts w:hint="eastAsia" w:ascii="仿宋_GB2312" w:hAnsi="仿宋"/>
          <w:sz w:val="32"/>
          <w:szCs w:val="32"/>
          <w:lang w:val="en" w:eastAsia="zh-CN"/>
        </w:rPr>
        <w:t>建成启用第八期人才住房项目</w:t>
      </w:r>
      <w:r>
        <w:rPr>
          <w:rFonts w:hint="default" w:ascii="仿宋_GB2312" w:hAnsi="仿宋"/>
          <w:sz w:val="32"/>
          <w:szCs w:val="32"/>
          <w:lang w:val="en" w:eastAsia="zh-CN"/>
        </w:rPr>
        <w:t>；提供更多就业岗位；为辖区老年人提供更好的安全保障和助餐服务；残疾儿童精准助残行动），部分项目</w:t>
      </w:r>
      <w:r>
        <w:rPr>
          <w:rFonts w:hint="eastAsia" w:ascii="仿宋_GB2312" w:hAnsi="仿宋"/>
          <w:sz w:val="32"/>
          <w:szCs w:val="32"/>
          <w:lang w:val="en" w:eastAsia="zh-CN"/>
        </w:rPr>
        <w:t>任务</w:t>
      </w:r>
      <w:r>
        <w:rPr>
          <w:rFonts w:hint="default" w:ascii="仿宋_GB2312" w:hAnsi="仿宋"/>
          <w:b/>
          <w:bCs/>
          <w:sz w:val="32"/>
          <w:szCs w:val="32"/>
          <w:lang w:val="en" w:eastAsia="zh-CN"/>
        </w:rPr>
        <w:t>进度滞后</w:t>
      </w:r>
      <w:r>
        <w:rPr>
          <w:rFonts w:hint="default" w:ascii="仿宋_GB2312" w:hAnsi="仿宋"/>
          <w:sz w:val="32"/>
          <w:szCs w:val="32"/>
          <w:lang w:val="en" w:eastAsia="zh-CN"/>
        </w:rPr>
        <w:t>（</w:t>
      </w:r>
      <w:r>
        <w:rPr>
          <w:rFonts w:hint="eastAsia" w:ascii="仿宋_GB2312" w:hAnsi="仿宋"/>
          <w:sz w:val="32"/>
          <w:szCs w:val="32"/>
          <w:lang w:val="en" w:eastAsia="zh-CN"/>
        </w:rPr>
        <w:t>主要涉及第一项重点民生实事项目“盐田街道道路和环境综合整治”，具体包括</w:t>
      </w:r>
      <w:r>
        <w:rPr>
          <w:rFonts w:hint="default" w:ascii="仿宋_GB2312" w:hAnsi="仿宋"/>
          <w:sz w:val="32"/>
          <w:szCs w:val="32"/>
          <w:lang w:val="en" w:eastAsia="zh-CN"/>
        </w:rPr>
        <w:t>东海道</w:t>
      </w:r>
      <w:r>
        <w:rPr>
          <w:rFonts w:hint="eastAsia" w:ascii="仿宋_GB2312" w:hAnsi="仿宋"/>
          <w:sz w:val="32"/>
          <w:szCs w:val="32"/>
          <w:lang w:val="en" w:eastAsia="zh-CN"/>
        </w:rPr>
        <w:t>和</w:t>
      </w:r>
      <w:r>
        <w:rPr>
          <w:rFonts w:hint="default" w:ascii="仿宋_GB2312" w:hAnsi="仿宋"/>
          <w:sz w:val="32"/>
          <w:szCs w:val="32"/>
          <w:lang w:val="en" w:eastAsia="zh-CN"/>
        </w:rPr>
        <w:t>永安路整治工程</w:t>
      </w:r>
      <w:r>
        <w:rPr>
          <w:rFonts w:hint="eastAsia" w:ascii="仿宋_GB2312" w:hAnsi="仿宋"/>
          <w:sz w:val="32"/>
          <w:szCs w:val="32"/>
          <w:lang w:val="en" w:eastAsia="zh-CN"/>
        </w:rPr>
        <w:t>、</w:t>
      </w:r>
      <w:r>
        <w:rPr>
          <w:rFonts w:hint="default" w:ascii="仿宋_GB2312" w:hAnsi="仿宋"/>
          <w:sz w:val="32"/>
          <w:szCs w:val="32"/>
          <w:lang w:val="en" w:eastAsia="zh-CN"/>
        </w:rPr>
        <w:t>明珠道绿廊公园带建设</w:t>
      </w:r>
      <w:r>
        <w:rPr>
          <w:rFonts w:hint="eastAsia" w:ascii="仿宋_GB2312" w:hAnsi="仿宋"/>
          <w:sz w:val="32"/>
          <w:szCs w:val="32"/>
          <w:lang w:val="en" w:eastAsia="zh-CN"/>
        </w:rPr>
        <w:t>两项具体任务</w:t>
      </w:r>
      <w:r>
        <w:rPr>
          <w:rFonts w:hint="default" w:ascii="仿宋_GB2312" w:hAnsi="仿宋"/>
          <w:sz w:val="32"/>
          <w:szCs w:val="32"/>
          <w:lang w:val="en" w:eastAsia="zh-CN"/>
        </w:rPr>
        <w:t>），</w:t>
      </w:r>
      <w:r>
        <w:rPr>
          <w:rFonts w:hint="eastAsia" w:ascii="仿宋_GB2312" w:hAnsi="仿宋"/>
          <w:sz w:val="32"/>
          <w:szCs w:val="32"/>
          <w:lang w:val="en-US" w:eastAsia="zh-CN"/>
        </w:rPr>
        <w:t>其余民生实事均按计划有序推进中。</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lang w:val="en-US" w:eastAsia="zh-CN"/>
        </w:rPr>
      </w:pPr>
      <w:r>
        <w:rPr>
          <w:rFonts w:hint="eastAsia" w:ascii="黑体" w:hAnsi="黑体" w:eastAsia="黑体" w:cs="黑体"/>
          <w:lang w:val="en-US" w:eastAsia="zh-CN"/>
        </w:rPr>
        <w:t>二、存在问题</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sz w:val="32"/>
          <w:szCs w:val="32"/>
          <w:lang w:val="en-US" w:eastAsia="zh-CN"/>
        </w:rPr>
      </w:pPr>
      <w:r>
        <w:rPr>
          <w:rFonts w:hint="eastAsia" w:ascii="楷体_GB2312" w:hAnsi="楷体_GB2312" w:eastAsia="楷体_GB2312" w:cs="楷体_GB2312"/>
          <w:lang w:val="en-US" w:eastAsia="zh-CN"/>
        </w:rPr>
        <w:t>（一）部分</w:t>
      </w:r>
      <w:r>
        <w:rPr>
          <w:rFonts w:hint="eastAsia" w:ascii="楷体_GB2312" w:hAnsi="楷体_GB2312" w:eastAsia="楷体_GB2312" w:cs="楷体_GB2312"/>
          <w:lang w:val="en-US" w:eastAsia="zh-CN"/>
        </w:rPr>
        <w:t>工程类项目暂未完成前期工作。</w:t>
      </w:r>
      <w:r>
        <w:rPr>
          <w:rFonts w:hint="eastAsia" w:ascii="仿宋_GB2312" w:hAnsi="仿宋_GB2312" w:cs="仿宋_GB2312"/>
          <w:lang w:val="en-US" w:eastAsia="zh-CN"/>
        </w:rPr>
        <w:t>如</w:t>
      </w:r>
      <w:r>
        <w:rPr>
          <w:rFonts w:hint="eastAsia" w:ascii="仿宋_GB2312" w:hAnsi="仿宋"/>
          <w:sz w:val="32"/>
          <w:szCs w:val="32"/>
          <w:lang w:val="en-US" w:eastAsia="zh-CN"/>
        </w:rPr>
        <w:t>东海道、永安路整治工程为盐田街道道路整治二期工程的子项目，因工程实施方案暂未通过区政府审议仍需进一步作修改完善，一定程度上影响后续施工进度。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（二）部分</w:t>
      </w:r>
      <w:r>
        <w:rPr>
          <w:rFonts w:hint="eastAsia" w:ascii="楷体_GB2312" w:hAnsi="楷体_GB2312" w:eastAsia="楷体_GB2312" w:cs="楷体_GB2312"/>
          <w:lang w:val="en-US" w:eastAsia="zh-CN"/>
        </w:rPr>
        <w:t>工程类项目协调推进力度存在不足。</w:t>
      </w:r>
      <w:r>
        <w:rPr>
          <w:rFonts w:hint="eastAsia" w:ascii="仿宋_GB2312" w:hAnsi="仿宋"/>
          <w:sz w:val="32"/>
          <w:szCs w:val="32"/>
          <w:lang w:val="en-US" w:eastAsia="zh-CN"/>
        </w:rPr>
        <w:t>如</w:t>
      </w:r>
      <w:r>
        <w:rPr>
          <w:rFonts w:hint="eastAsia" w:ascii="仿宋_GB2312" w:hAnsi="仿宋_GB2312" w:cs="仿宋_GB2312"/>
          <w:lang w:val="en-US" w:eastAsia="zh-CN"/>
        </w:rPr>
        <w:t>明珠道绿廊公园带3号地块</w:t>
      </w:r>
      <w:r>
        <w:rPr>
          <w:rFonts w:hint="eastAsia" w:ascii="仿宋_GB2312" w:hAnsi="仿宋_GB2312" w:cs="仿宋_GB2312"/>
          <w:color w:val="auto"/>
          <w:lang w:val="en-US" w:eastAsia="zh-CN"/>
        </w:rPr>
        <w:t>因佳兆业公司御景家园建筑工地未及时退场</w:t>
      </w:r>
      <w:r>
        <w:rPr>
          <w:rFonts w:hint="eastAsia" w:ascii="仿宋_GB2312" w:hAnsi="仿宋_GB2312" w:cs="仿宋_GB2312"/>
          <w:lang w:val="en-US" w:eastAsia="zh-CN"/>
        </w:rPr>
        <w:t>，导致无法进场施工，严重影响项目进度。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lang w:val="en" w:eastAsia="zh-CN"/>
        </w:rPr>
      </w:pPr>
      <w:r>
        <w:rPr>
          <w:rFonts w:hint="eastAsia" w:ascii="楷体_GB2312" w:hAnsi="楷体_GB2312" w:eastAsia="楷体_GB2312" w:cs="楷体_GB2312"/>
          <w:lang w:val="en-US" w:eastAsia="zh-CN"/>
        </w:rPr>
        <w:t>（三）部分服务类项目需进一步加大宣传推广力度</w:t>
      </w:r>
      <w:r>
        <w:rPr>
          <w:rFonts w:hint="eastAsia" w:ascii="仿宋_GB2312" w:hAnsi="仿宋_GB2312" w:cs="仿宋_GB2312"/>
          <w:lang w:val="en" w:eastAsia="zh-CN"/>
        </w:rPr>
        <w:t>。</w:t>
      </w:r>
      <w:bookmarkStart w:id="0" w:name="_GoBack"/>
      <w:bookmarkEnd w:id="0"/>
      <w:r>
        <w:rPr>
          <w:rFonts w:hint="eastAsia" w:ascii="仿宋_GB2312" w:hAnsi="仿宋_GB2312" w:cs="仿宋_GB2312"/>
          <w:lang w:val="en" w:eastAsia="zh-CN"/>
        </w:rPr>
        <w:t>如组织开展的各项文艺活动和为老年人提供各项安全保障和关爱服务等，应坚持面向广大居民群众，切实提高居民群众的知晓度、参与度和满意度。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黑体" w:hAnsi="黑体" w:eastAsia="黑体" w:cs="黑体"/>
          <w:lang w:val="en-US" w:eastAsia="zh-CN"/>
        </w:rPr>
        <w:t>三、下一步工作措施</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color w:val="000000"/>
          <w:sz w:val="32"/>
          <w:szCs w:val="32"/>
          <w:highlight w:val="none"/>
          <w:shd w:val="clear" w:color="auto" w:fill="FFFFFF"/>
          <w:lang w:val="en-US" w:eastAsia="zh-CN"/>
        </w:rPr>
      </w:pPr>
      <w:r>
        <w:rPr>
          <w:rFonts w:hint="eastAsia" w:ascii="楷体_GB2312" w:hAnsi="楷体_GB2312" w:eastAsia="楷体_GB2312" w:cs="楷体_GB2312"/>
          <w:lang w:val="en-US" w:eastAsia="zh-CN"/>
        </w:rPr>
        <w:t>（一）全面压实责任，锚定目标加强督办。</w:t>
      </w:r>
      <w:r>
        <w:rPr>
          <w:rFonts w:hint="eastAsia" w:ascii="仿宋_GB2312" w:hAnsi="仿宋_GB2312" w:cs="仿宋_GB2312"/>
          <w:bCs/>
          <w:color w:val="000000"/>
          <w:sz w:val="32"/>
          <w:szCs w:val="32"/>
          <w:highlight w:val="none"/>
          <w:shd w:val="clear" w:color="auto" w:fill="FFFFFF"/>
          <w:lang w:eastAsia="zh-CN"/>
        </w:rPr>
        <w:t>区督查室将</w:t>
      </w:r>
      <w:r>
        <w:rPr>
          <w:rFonts w:hint="eastAsia" w:ascii="仿宋_GB2312" w:hAnsi="仿宋"/>
          <w:b w:val="0"/>
          <w:bCs w:val="0"/>
          <w:sz w:val="32"/>
          <w:szCs w:val="32"/>
          <w:lang w:val="en-US" w:eastAsia="zh-CN"/>
        </w:rPr>
        <w:t>紧盯各项目工作最新进展，</w:t>
      </w:r>
      <w:r>
        <w:rPr>
          <w:rFonts w:hint="eastAsia" w:ascii="仿宋_GB2312" w:hAnsi="仿宋_GB2312" w:cs="仿宋_GB2312"/>
          <w:bCs/>
          <w:color w:val="000000"/>
          <w:sz w:val="32"/>
          <w:szCs w:val="32"/>
          <w:highlight w:val="none"/>
          <w:shd w:val="clear" w:color="auto" w:fill="FFFFFF"/>
          <w:lang w:eastAsia="zh-CN"/>
        </w:rPr>
        <w:t>督促各责任单位</w:t>
      </w:r>
      <w:r>
        <w:rPr>
          <w:rFonts w:hint="eastAsia" w:ascii="仿宋_GB2312" w:hAnsi="仿宋_GB2312" w:cs="仿宋_GB2312"/>
          <w:bCs/>
          <w:color w:val="000000"/>
          <w:sz w:val="32"/>
          <w:szCs w:val="32"/>
          <w:highlight w:val="none"/>
          <w:shd w:val="clear" w:color="auto" w:fill="FFFFFF"/>
          <w:lang w:val="en-US" w:eastAsia="zh-CN"/>
        </w:rPr>
        <w:t>压紧压实工作责任，狠抓节点目标不放松，特别是当前进度滞后的部分工程类项目，务必要加强调度、穷尽办法、攻坚克难，短时间内把进度赶上去。区督查室将</w:t>
      </w:r>
      <w:r>
        <w:rPr>
          <w:rFonts w:hint="eastAsia" w:ascii="仿宋_GB2312" w:hAnsi="仿宋"/>
          <w:b w:val="0"/>
          <w:bCs w:val="0"/>
          <w:sz w:val="32"/>
          <w:szCs w:val="32"/>
          <w:lang w:val="en-US" w:eastAsia="zh-CN"/>
        </w:rPr>
        <w:t>加强现场督办和绩效考核，</w:t>
      </w:r>
      <w:r>
        <w:rPr>
          <w:rFonts w:hint="eastAsia" w:ascii="仿宋_GB2312" w:hAnsi="仿宋_GB2312" w:cs="仿宋_GB2312"/>
          <w:bCs/>
          <w:color w:val="000000"/>
          <w:sz w:val="32"/>
          <w:szCs w:val="32"/>
          <w:highlight w:val="none"/>
          <w:shd w:val="clear" w:color="auto" w:fill="FFFFFF"/>
          <w:lang w:val="en-US" w:eastAsia="zh-CN"/>
        </w:rPr>
        <w:t>全面扎实推进民生实事工作按计划顺利完成。</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sz w:val="32"/>
          <w:szCs w:val="32"/>
          <w:lang w:val="en" w:eastAsia="zh-CN"/>
        </w:rPr>
      </w:pPr>
      <w:r>
        <w:rPr>
          <w:rFonts w:hint="eastAsia" w:ascii="楷体_GB2312" w:hAnsi="楷体_GB2312" w:eastAsia="楷体_GB2312" w:cs="楷体_GB2312"/>
          <w:lang w:val="en-US" w:eastAsia="zh-CN"/>
        </w:rPr>
        <w:t>（二）持续找准症结，有的放矢靶向发力。</w:t>
      </w:r>
      <w:r>
        <w:rPr>
          <w:rFonts w:hint="eastAsia" w:ascii="仿宋_GB2312" w:hAnsi="仿宋_GB2312" w:cs="仿宋_GB2312"/>
          <w:lang w:val="en-US" w:eastAsia="zh-CN"/>
        </w:rPr>
        <w:t>各责任单位将持续增强责任意识，坚持问题导向、目标导向、结果导向，真正把情况摸清、把问题找准，切实提出有效的对策，通过倒排工期、挂图作战等举措，实现全过程清单式推进，确保办出实效。</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sz w:val="32"/>
          <w:szCs w:val="32"/>
          <w:lang w:val="en" w:eastAsia="zh-CN"/>
        </w:rPr>
      </w:pPr>
      <w:r>
        <w:rPr>
          <w:rFonts w:hint="eastAsia" w:ascii="楷体_GB2312" w:hAnsi="楷体_GB2312" w:eastAsia="楷体_GB2312" w:cs="楷体_GB2312"/>
          <w:lang w:val="en-US" w:eastAsia="zh-CN"/>
        </w:rPr>
        <w:t>（三）不断优化服务，稳步提升居民获得感。</w:t>
      </w:r>
      <w:r>
        <w:rPr>
          <w:rFonts w:hint="eastAsia" w:ascii="仿宋_GB2312" w:hAnsi="仿宋_GB2312" w:cs="仿宋_GB2312"/>
          <w:lang w:val="en-US" w:eastAsia="zh-CN"/>
        </w:rPr>
        <w:t>各</w:t>
      </w:r>
      <w:r>
        <w:rPr>
          <w:rFonts w:hint="eastAsia" w:ascii="仿宋_GB2312" w:hAnsi="仿宋_GB2312" w:eastAsia="仿宋_GB2312" w:cs="仿宋_GB2312"/>
          <w:lang w:val="en-US" w:eastAsia="zh-CN"/>
        </w:rPr>
        <w:t>责任单位</w:t>
      </w:r>
      <w:r>
        <w:rPr>
          <w:rFonts w:hint="eastAsia" w:ascii="仿宋_GB2312" w:hAnsi="仿宋_GB2312" w:cs="仿宋_GB2312"/>
          <w:lang w:val="en-US" w:eastAsia="zh-CN"/>
        </w:rPr>
        <w:t>将进一步丰富宣传形式，扩大宣传范围，加大宣传力度，让民生实事能够不断深入民心</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切实</w:t>
      </w:r>
      <w:r>
        <w:rPr>
          <w:rFonts w:hint="eastAsia" w:ascii="仿宋_GB2312" w:hAnsi="仿宋_GB2312" w:eastAsia="仿宋_GB2312" w:cs="仿宋_GB2312"/>
          <w:lang w:val="en-US" w:eastAsia="zh-CN"/>
        </w:rPr>
        <w:t>提升</w:t>
      </w:r>
      <w:r>
        <w:rPr>
          <w:rFonts w:hint="eastAsia" w:ascii="仿宋_GB2312" w:hAnsi="仿宋_GB2312" w:cs="仿宋_GB2312"/>
          <w:lang w:val="en-US" w:eastAsia="zh-CN"/>
        </w:rPr>
        <w:t>居民</w:t>
      </w:r>
      <w:r>
        <w:rPr>
          <w:rFonts w:hint="eastAsia" w:ascii="仿宋_GB2312" w:hAnsi="仿宋_GB2312" w:eastAsia="仿宋_GB2312" w:cs="仿宋_GB2312"/>
          <w:lang w:val="en-US" w:eastAsia="zh-CN"/>
        </w:rPr>
        <w:t>的知晓</w:t>
      </w:r>
      <w:r>
        <w:rPr>
          <w:rFonts w:hint="eastAsia" w:ascii="仿宋_GB2312" w:hAnsi="仿宋_GB2312" w:cs="仿宋_GB2312"/>
          <w:lang w:val="en-US" w:eastAsia="zh-CN"/>
        </w:rPr>
        <w:t>率和</w:t>
      </w:r>
      <w:r>
        <w:rPr>
          <w:rFonts w:hint="eastAsia" w:ascii="仿宋_GB2312" w:hAnsi="仿宋_GB2312" w:eastAsia="仿宋_GB2312" w:cs="仿宋_GB2312"/>
          <w:lang w:val="en-US" w:eastAsia="zh-CN"/>
        </w:rPr>
        <w:t>参与度</w:t>
      </w:r>
      <w:r>
        <w:rPr>
          <w:rFonts w:hint="eastAsia" w:ascii="仿宋_GB2312" w:hAnsi="仿宋_GB2312" w:cs="仿宋_GB2312"/>
          <w:lang w:val="en-US" w:eastAsia="zh-CN"/>
        </w:rPr>
        <w:t>；</w:t>
      </w:r>
      <w:r>
        <w:rPr>
          <w:rFonts w:hint="eastAsia" w:ascii="仿宋_GB2312" w:hAnsi="仿宋_GB2312" w:cs="仿宋_GB2312"/>
          <w:b w:val="0"/>
          <w:bCs w:val="0"/>
          <w:lang w:val="en-US" w:eastAsia="zh-CN"/>
        </w:rPr>
        <w:t>各服务类民生实事责任单位将结合项目特点，聚焦辖区居民实际需求，加强现场调研，不断改进完善服务内容，务求做到及时服务、精准服务、有效服务。</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sz w:val="32"/>
          <w:szCs w:val="32"/>
          <w:lang w:val="en" w:eastAsia="zh-CN"/>
        </w:rPr>
      </w:pPr>
      <w:r>
        <w:rPr>
          <w:rFonts w:hint="eastAsia" w:ascii="仿宋_GB2312" w:hAnsi="仿宋"/>
          <w:sz w:val="32"/>
          <w:szCs w:val="32"/>
          <w:lang w:val="en"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sz w:val="32"/>
          <w:szCs w:val="32"/>
          <w:lang w:val="en"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sz w:val="32"/>
          <w:szCs w:val="32"/>
          <w:lang w:val="en-US" w:eastAsia="zh-CN"/>
        </w:rPr>
      </w:pPr>
      <w:r>
        <w:rPr>
          <w:rFonts w:hint="eastAsia" w:ascii="仿宋_GB2312" w:hAnsi="仿宋"/>
          <w:sz w:val="32"/>
          <w:szCs w:val="32"/>
          <w:lang w:val="en-US" w:eastAsia="zh-CN"/>
        </w:rPr>
        <w:t>附件：盐田区2023年十件重点民生实事上半年完成情</w:t>
      </w:r>
    </w:p>
    <w:p>
      <w:pPr>
        <w:pStyle w:val="2"/>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lang w:val="en-US" w:eastAsia="zh-CN"/>
        </w:rPr>
      </w:pPr>
      <w:r>
        <w:rPr>
          <w:rFonts w:hint="eastAsia" w:ascii="仿宋_GB2312" w:hAnsi="仿宋"/>
          <w:sz w:val="32"/>
          <w:szCs w:val="32"/>
          <w:lang w:val="en-US" w:eastAsia="zh-CN"/>
        </w:rPr>
        <w:t>况一览表</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4"/>
        <w:ind w:left="0" w:leftChars="0" w:firstLine="0" w:firstLineChars="0"/>
        <w:jc w:val="left"/>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lang w:eastAsia="zh-CN"/>
        </w:rPr>
        <w:t>附件</w:t>
      </w:r>
    </w:p>
    <w:p>
      <w:pPr>
        <w:pStyle w:val="4"/>
        <w:jc w:val="center"/>
        <w:rPr>
          <w:rFonts w:hint="eastAsia"/>
          <w:lang w:val="en-US" w:eastAsia="zh-CN"/>
        </w:rPr>
      </w:pPr>
      <w:r>
        <w:rPr>
          <w:rFonts w:hint="eastAsia" w:ascii="方正小标宋_GBK" w:hAnsi="方正小标宋_GBK" w:eastAsia="方正小标宋_GBK" w:cs="方正小标宋_GBK"/>
          <w:sz w:val="44"/>
          <w:szCs w:val="44"/>
        </w:rPr>
        <w:t>盐田区202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年十件重点民生实事</w:t>
      </w:r>
      <w:r>
        <w:rPr>
          <w:rFonts w:hint="eastAsia" w:ascii="方正小标宋_GBK" w:hAnsi="方正小标宋_GBK" w:eastAsia="方正小标宋_GBK" w:cs="方正小标宋_GBK"/>
          <w:sz w:val="44"/>
          <w:szCs w:val="44"/>
          <w:lang w:val="en-US" w:eastAsia="zh-CN"/>
        </w:rPr>
        <w:t>上半年</w:t>
      </w:r>
      <w:r>
        <w:rPr>
          <w:rFonts w:hint="eastAsia" w:ascii="方正小标宋_GBK" w:hAnsi="方正小标宋_GBK" w:eastAsia="方正小标宋_GBK" w:cs="方正小标宋_GBK"/>
          <w:sz w:val="44"/>
          <w:szCs w:val="44"/>
        </w:rPr>
        <w:t>完成情况一览表</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3668"/>
        <w:gridCol w:w="5668"/>
        <w:gridCol w:w="4891"/>
        <w:gridCol w:w="2009"/>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blHeader/>
        </w:trPr>
        <w:tc>
          <w:tcPr>
            <w:tcW w:w="66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rPr>
              <w:t>项目名称</w:t>
            </w:r>
          </w:p>
        </w:tc>
        <w:tc>
          <w:tcPr>
            <w:tcW w:w="86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rPr>
              <w:t>项目内容</w:t>
            </w:r>
          </w:p>
        </w:tc>
        <w:tc>
          <w:tcPr>
            <w:tcW w:w="13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 w:val="0"/>
                <w:bCs/>
                <w:color w:val="000000"/>
                <w:kern w:val="0"/>
                <w:sz w:val="28"/>
                <w:szCs w:val="28"/>
                <w:lang w:val="en-US" w:eastAsia="zh-CN"/>
              </w:rPr>
              <w:t>上半年进展情况</w:t>
            </w:r>
          </w:p>
        </w:tc>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bCs/>
                <w:color w:val="000000"/>
                <w:sz w:val="28"/>
                <w:szCs w:val="28"/>
              </w:rPr>
            </w:pPr>
            <w:r>
              <w:rPr>
                <w:rFonts w:hint="eastAsia" w:ascii="黑体" w:hAnsi="黑体" w:eastAsia="黑体" w:cs="黑体"/>
                <w:b w:val="0"/>
                <w:bCs/>
                <w:color w:val="000000"/>
                <w:kern w:val="0"/>
                <w:sz w:val="28"/>
                <w:szCs w:val="28"/>
                <w:lang w:val="en-US" w:eastAsia="zh-CN"/>
              </w:rPr>
              <w:t>2023年下半年任务目标及措施</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sz w:val="28"/>
                <w:szCs w:val="28"/>
              </w:rPr>
              <w:t>责任单位</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sz w:val="28"/>
                <w:szCs w:val="28"/>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一、实施盐田街道道路和环境综合整治</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b/>
                <w:bCs/>
                <w:sz w:val="28"/>
                <w:szCs w:val="28"/>
              </w:rPr>
            </w:pPr>
            <w:r>
              <w:rPr>
                <w:rFonts w:hint="eastAsia" w:ascii="宋体" w:hAnsi="宋体" w:eastAsia="宋体" w:cs="宋体"/>
                <w:sz w:val="28"/>
                <w:szCs w:val="28"/>
              </w:rPr>
              <w:t>1.实施东海道、永安路、永安北三街、洪安四街</w:t>
            </w:r>
            <w:r>
              <w:rPr>
                <w:rFonts w:hint="eastAsia" w:ascii="宋体" w:hAnsi="宋体" w:eastAsia="宋体" w:cs="宋体"/>
                <w:kern w:val="0"/>
                <w:sz w:val="28"/>
                <w:szCs w:val="28"/>
              </w:rPr>
              <w:t>等4条道路综合整治工程。</w:t>
            </w:r>
          </w:p>
        </w:tc>
        <w:tc>
          <w:tcPr>
            <w:tcW w:w="1343"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2" w:firstLineChars="200"/>
              <w:jc w:val="both"/>
              <w:textAlignment w:val="cente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东海道</w:t>
            </w: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：立项时间为2022年7月6日，于2023年5月18日取得概算批复。已于5月31日完成前期工作，移交工务署实施，预计7月底完成施工招标工作。</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2" w:firstLineChars="200"/>
              <w:jc w:val="both"/>
              <w:textAlignment w:val="cente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永安路</w:t>
            </w: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：立项时间为2023年4月17日，于2023年6月27日向区政府汇报方案设计，目前正在开展施工图及概算编制工作，预计8月完成前期工作，获得概算批复。</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2" w:firstLineChars="200"/>
              <w:jc w:val="both"/>
              <w:textAlignment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永安北三街、洪安四街</w:t>
            </w: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：已于4月份完成2条道路综合整治工程。</w:t>
            </w:r>
          </w:p>
        </w:tc>
        <w:tc>
          <w:tcPr>
            <w:tcW w:w="1159"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8月：完成东海道施工招标，进场施工；完成永安路前期工作，于8月下旬移交工务署。</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9月：完成永安路施工招标，进场施工。</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10-11月：继续开展东海道、永安路施工。</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12月：完成东海道、永安路2条道路综合整治工程。</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pacing w:val="-17"/>
                <w:sz w:val="28"/>
                <w:szCs w:val="28"/>
              </w:rPr>
            </w:pPr>
            <w:r>
              <w:rPr>
                <w:rFonts w:hint="eastAsia" w:ascii="宋体" w:hAnsi="宋体" w:eastAsia="宋体" w:cs="宋体"/>
                <w:color w:val="000000"/>
                <w:spacing w:val="-17"/>
                <w:sz w:val="28"/>
                <w:szCs w:val="28"/>
              </w:rPr>
              <w:t>盐田交通运输局</w:t>
            </w:r>
          </w:p>
          <w:p>
            <w:pPr>
              <w:keepNext w:val="0"/>
              <w:keepLines w:val="0"/>
              <w:pageBreakBefore w:val="0"/>
              <w:kinsoku/>
              <w:wordWrap/>
              <w:overflowPunct/>
              <w:topLinePunct w:val="0"/>
              <w:autoSpaceDE/>
              <w:autoSpaceDN/>
              <w:bidi w:val="0"/>
              <w:adjustRightInd/>
              <w:snapToGrid/>
              <w:spacing w:line="400" w:lineRule="exact"/>
              <w:jc w:val="center"/>
              <w:textAlignment w:val="top"/>
              <w:rPr>
                <w:rFonts w:ascii="宋体" w:hAnsi="宋体" w:eastAsia="宋体" w:cs="宋体"/>
                <w:color w:val="000000"/>
                <w:sz w:val="28"/>
                <w:szCs w:val="28"/>
              </w:rPr>
            </w:pPr>
            <w:r>
              <w:rPr>
                <w:rFonts w:hint="eastAsia" w:ascii="宋体" w:hAnsi="宋体" w:eastAsia="宋体" w:cs="宋体"/>
                <w:sz w:val="28"/>
                <w:szCs w:val="28"/>
              </w:rPr>
              <w:t>区工务署</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kern w:val="0"/>
                <w:sz w:val="28"/>
                <w:szCs w:val="28"/>
              </w:rPr>
            </w:pPr>
            <w:r>
              <w:rPr>
                <w:rFonts w:hint="eastAsia" w:ascii="宋体" w:hAnsi="宋体" w:eastAsia="宋体" w:cs="宋体"/>
                <w:kern w:val="0"/>
                <w:sz w:val="28"/>
                <w:szCs w:val="28"/>
              </w:rPr>
              <w:t>2.</w:t>
            </w:r>
            <w:r>
              <w:rPr>
                <w:rFonts w:hint="eastAsia" w:ascii="宋体" w:hAnsi="宋体" w:eastAsia="宋体" w:cs="宋体"/>
                <w:sz w:val="28"/>
                <w:szCs w:val="28"/>
              </w:rPr>
              <w:t>对明珠道、盐田南三街（在建）交汇处西南角现有520年香樟等进行保护，建设香樟公园。</w:t>
            </w:r>
          </w:p>
        </w:tc>
        <w:tc>
          <w:tcPr>
            <w:tcW w:w="1343"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2"/>
                <w:sz w:val="28"/>
                <w:szCs w:val="28"/>
                <w:highlight w:val="none"/>
                <w:lang w:val="en-US" w:eastAsia="zh-CN" w:bidi="ar-SA"/>
              </w:rPr>
              <w:t>已于6月底完工。</w:t>
            </w:r>
          </w:p>
        </w:tc>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top"/>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auto"/>
                <w:kern w:val="2"/>
                <w:sz w:val="28"/>
                <w:szCs w:val="28"/>
                <w:lang w:val="en-US" w:eastAsia="zh-CN" w:bidi="ar-SA"/>
              </w:rPr>
              <w:t>/</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top"/>
              <w:rPr>
                <w:rFonts w:ascii="宋体" w:hAnsi="宋体" w:eastAsia="宋体" w:cs="宋体"/>
                <w:kern w:val="0"/>
                <w:sz w:val="28"/>
                <w:szCs w:val="28"/>
              </w:rPr>
            </w:pPr>
            <w:r>
              <w:rPr>
                <w:rFonts w:hint="eastAsia" w:ascii="宋体" w:hAnsi="宋体" w:eastAsia="宋体" w:cs="宋体"/>
                <w:kern w:val="0"/>
                <w:sz w:val="28"/>
                <w:szCs w:val="28"/>
              </w:rPr>
              <w:t>区工务署</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sz w:val="28"/>
                <w:szCs w:val="28"/>
              </w:rPr>
              <w:t>2023.6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kern w:val="0"/>
                <w:sz w:val="28"/>
                <w:szCs w:val="28"/>
              </w:rPr>
            </w:pPr>
            <w:r>
              <w:rPr>
                <w:rFonts w:hint="eastAsia" w:ascii="宋体" w:hAnsi="宋体" w:eastAsia="宋体" w:cs="宋体"/>
                <w:sz w:val="28"/>
                <w:szCs w:val="28"/>
              </w:rPr>
              <w:t>3.在明珠道改造工程已建成口袋公园的基础上建设5个社区公园。</w:t>
            </w:r>
          </w:p>
        </w:tc>
        <w:tc>
          <w:tcPr>
            <w:tcW w:w="1343"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themeColor="text1"/>
                <w:kern w:val="2"/>
                <w:sz w:val="28"/>
                <w:szCs w:val="28"/>
                <w:highlight w:val="none"/>
                <w:lang w:val="en-US" w:eastAsia="zh-CN" w:bidi="ar-SA"/>
                <w14:textFill>
                  <w14:solidFill>
                    <w14:schemeClr w14:val="tx1"/>
                  </w14:solidFill>
                </w14:textFill>
              </w:rPr>
              <w:t>截至6月30日，完成整体形象进度65%。已建成4个社区公园，剩余1个明珠道绿廊公园带3号地块目前由佳兆业公司占用，尚未退场，导致无法进场施工。</w:t>
            </w:r>
          </w:p>
        </w:tc>
        <w:tc>
          <w:tcPr>
            <w:tcW w:w="1159" w:type="pct"/>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7-9月：完成整体形象进度80%。</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cente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kern w:val="2"/>
                <w:sz w:val="28"/>
                <w:szCs w:val="28"/>
                <w:highlight w:val="none"/>
                <w:lang w:val="en-US" w:eastAsia="zh-CN" w:bidi="ar-SA"/>
              </w:rPr>
              <w:t>10-12月：完成整体形象进度100%。</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top"/>
              <w:rPr>
                <w:rFonts w:ascii="宋体" w:hAnsi="宋体" w:eastAsia="宋体" w:cs="宋体"/>
                <w:kern w:val="0"/>
                <w:sz w:val="28"/>
                <w:szCs w:val="28"/>
              </w:rPr>
            </w:pPr>
            <w:r>
              <w:rPr>
                <w:rFonts w:hint="eastAsia" w:ascii="宋体" w:hAnsi="宋体" w:eastAsia="宋体" w:cs="宋体"/>
                <w:kern w:val="0"/>
                <w:sz w:val="28"/>
                <w:szCs w:val="28"/>
              </w:rPr>
              <w:t>区城管局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sz w:val="28"/>
                <w:szCs w:val="28"/>
              </w:rPr>
              <w:t>2023.11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二、提升基础教育保障水平</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bCs/>
                <w:sz w:val="28"/>
                <w:szCs w:val="28"/>
              </w:rPr>
            </w:pPr>
            <w:r>
              <w:rPr>
                <w:rFonts w:hint="eastAsia" w:ascii="宋体" w:hAnsi="宋体" w:eastAsia="宋体" w:cs="宋体"/>
                <w:sz w:val="28"/>
                <w:szCs w:val="28"/>
              </w:rPr>
              <w:t>4.新建山海学校（位于盐田街道洪安二街南方明珠花园-A区西南侧），校园总用地面积 13108 平方米，建筑面积38713 平方米，提供2000个学位，140个停车位。</w:t>
            </w:r>
          </w:p>
        </w:tc>
        <w:tc>
          <w:tcPr>
            <w:tcW w:w="13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山海学校6月底完成总形象进度95%，主体已完工，正在做开学前准备工作，目前已完成家具、功能室设备项目招标工作，并签订合同及支付首期款。电教音视频设备计划本周完成招标。</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kern w:val="0"/>
                <w:sz w:val="28"/>
                <w:szCs w:val="28"/>
                <w:lang w:eastAsia="zh-CN"/>
              </w:rPr>
            </w:pP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jc w:val="both"/>
              <w:textAlignment w:val="top"/>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6-7月：完成招标工作；</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jc w:val="both"/>
              <w:textAlignment w:val="top"/>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7-8月：进场施工安装，满足开学需要。</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560" w:firstLineChars="200"/>
              <w:jc w:val="both"/>
              <w:textAlignment w:val="top"/>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9-11月：完成验收工作；</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kern w:val="2"/>
                <w:sz w:val="28"/>
                <w:szCs w:val="28"/>
                <w:lang w:val="en-US" w:eastAsia="zh-CN" w:bidi="ar-SA"/>
              </w:rPr>
              <w:t>12月：完成支付款工作。</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ascii="宋体" w:hAnsi="宋体" w:eastAsia="宋体" w:cs="宋体"/>
                <w:sz w:val="28"/>
                <w:szCs w:val="28"/>
              </w:rPr>
            </w:pPr>
            <w:r>
              <w:rPr>
                <w:rFonts w:hint="eastAsia" w:ascii="宋体" w:hAnsi="宋体" w:eastAsia="宋体" w:cs="宋体"/>
                <w:sz w:val="28"/>
                <w:szCs w:val="28"/>
              </w:rPr>
              <w:t>区工务署</w:t>
            </w:r>
          </w:p>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ascii="宋体" w:hAnsi="宋体" w:eastAsia="宋体" w:cs="宋体"/>
                <w:sz w:val="28"/>
                <w:szCs w:val="28"/>
              </w:rPr>
            </w:pPr>
            <w:r>
              <w:rPr>
                <w:rFonts w:hint="eastAsia" w:ascii="宋体" w:hAnsi="宋体" w:eastAsia="宋体" w:cs="宋体"/>
                <w:sz w:val="28"/>
                <w:szCs w:val="28"/>
              </w:rPr>
              <w:t>区教育局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rPr>
              <w:t>2023.8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5.每周三次为区属中小学校在校午餐的学生（17787人）加菜或增加坚果类营养食品，提供每人每次5元营养膳食补贴。</w:t>
            </w:r>
          </w:p>
        </w:tc>
        <w:tc>
          <w:tcPr>
            <w:tcW w:w="1343"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制定《盐田区重点民生实事“政府为学生加菜”工作实施方案》，成立“政府为学生加菜”专项工作领导小组，由局长担任组长，副局长担任副组长负责统筹、指导相关工作，局办公室、教育服务中心负责人及各学校校长为成员，负责落实领导小组议定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统筹区属公办中小学会同家委会制定政府专项菜谱，在原有的午餐标准基础上，每周一、三、五为参加午托午餐的学生提供政府专项菜品，菜品标准为5元/学生/餐，实施“政府为学生加菜”计划所需资金由盐田区政府财政保障，经区教育局审核后调剂到各校管理使用。截至7月17日，已支付金额369万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3.落实巡查监督责任，定期检查区属学校项目实施效果，坚持边查边改，强化整改措施及整改效果，确保工作取得实效。</w:t>
            </w:r>
          </w:p>
        </w:tc>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将“政府为学生加菜”工作纳入常态管理，监督学校落实相关工作程序，根据各方反馈的工作意见，完善工作安排。</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ascii="宋体" w:hAnsi="宋体" w:eastAsia="宋体" w:cs="宋体"/>
                <w:sz w:val="28"/>
                <w:szCs w:val="28"/>
              </w:rPr>
            </w:pPr>
            <w:r>
              <w:rPr>
                <w:rFonts w:hint="eastAsia" w:ascii="宋体" w:hAnsi="宋体" w:eastAsia="宋体" w:cs="宋体"/>
                <w:sz w:val="28"/>
                <w:szCs w:val="28"/>
              </w:rPr>
              <w:t>区教育局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661"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三、建成盐田区未来农业科技示范与科普教育基地</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6.在梧桐山望基湖停车场一侧规划建设约8600平方米的未来农业科技示范与科普教育基地，为辖区青少年提供科普教育、科学实验、劳动教育实践等学习内容。</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2"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b/>
                <w:bCs/>
                <w:color w:val="000000"/>
                <w:kern w:val="2"/>
                <w:sz w:val="28"/>
                <w:szCs w:val="28"/>
                <w:highlight w:val="none"/>
                <w:lang w:val="en-US" w:eastAsia="zh-CN" w:bidi="ar-SA"/>
              </w:rPr>
              <w:t>项目整体建设完成60%</w:t>
            </w:r>
            <w:r>
              <w:rPr>
                <w:rFonts w:hint="eastAsia" w:asciiTheme="minorEastAsia" w:hAnsiTheme="minorEastAsia" w:eastAsiaTheme="minorEastAsia" w:cstheme="minorEastAsia"/>
                <w:color w:val="000000"/>
                <w:kern w:val="2"/>
                <w:sz w:val="28"/>
                <w:szCs w:val="28"/>
                <w:highlight w:val="none"/>
                <w:lang w:val="en-US" w:eastAsia="zh-CN" w:bidi="ar-SA"/>
              </w:rPr>
              <w:t>。</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1.已完成科普基地场外供电建设，场内供电设施正在建设中。</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2.道路和用水已完善施工方案，项目正在建设中。</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3.景观建设已完善施工方案，项目正在建设中。</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4.开展系列科普活动，并对科普课程进行进一步调整和设计。</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000000"/>
                <w:kern w:val="2"/>
                <w:sz w:val="28"/>
                <w:szCs w:val="28"/>
                <w:highlight w:val="none"/>
                <w:lang w:val="en-US" w:eastAsia="zh-CN" w:bidi="ar-SA"/>
              </w:rPr>
            </w:pPr>
            <w:r>
              <w:rPr>
                <w:rFonts w:hint="eastAsia" w:asciiTheme="minorEastAsia" w:hAnsiTheme="minorEastAsia" w:eastAsiaTheme="minorEastAsia" w:cstheme="minorEastAsia"/>
                <w:color w:val="000000"/>
                <w:kern w:val="2"/>
                <w:sz w:val="28"/>
                <w:szCs w:val="28"/>
                <w:highlight w:val="none"/>
                <w:lang w:val="en-US" w:eastAsia="zh-CN" w:bidi="ar-SA"/>
              </w:rPr>
              <w:t>5.目前，已开展“草木知时节”、“六一基地行”等17场科普活动。</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rPr>
            </w:pPr>
          </w:p>
        </w:tc>
        <w:tc>
          <w:tcPr>
            <w:tcW w:w="1159"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top"/>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7-9月：继续推进科普基地建设，完成项目初期建设；制定下季度园区运营计划，落实共建盐田区劳动教育基地安排工作，完成劳动教育基地申报相关材料汇总；继续开展劳动教育活动，与盐高、云海等较近的学校联合开展基地共建活动；结合作物农时与学校开学后的新诉求，深入迭代劳动教育课程内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top"/>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2"/>
                <w:sz w:val="28"/>
                <w:szCs w:val="28"/>
                <w:lang w:val="en-US" w:eastAsia="zh-CN" w:bidi="ar-SA"/>
              </w:rPr>
              <w:t>10-12月：制定亲子科普教育活动推广方案，制定科普教育基地课程提升、基地设施提升方案；完成科普教育基地内部基础设施升级，开展非遗文化讲座及周末科普研学活动；制定下一年度的种植计划、园区运营计划，完成上一年度的材料总结工作和课程更新方案。</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ascii="宋体" w:hAnsi="宋体" w:eastAsia="宋体" w:cs="宋体"/>
                <w:sz w:val="28"/>
                <w:szCs w:val="28"/>
              </w:rPr>
            </w:pPr>
            <w:r>
              <w:rPr>
                <w:rFonts w:hint="eastAsia" w:ascii="宋体" w:hAnsi="宋体" w:eastAsia="宋体" w:cs="宋体"/>
                <w:sz w:val="28"/>
                <w:szCs w:val="28"/>
              </w:rPr>
              <w:t>区科创局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sz w:val="28"/>
                <w:szCs w:val="28"/>
              </w:rPr>
              <w:t>2023.8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61" w:type="pct"/>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color w:val="000000"/>
                <w:sz w:val="28"/>
                <w:szCs w:val="28"/>
              </w:rPr>
            </w:pPr>
            <w:r>
              <w:rPr>
                <w:rFonts w:hint="eastAsia" w:ascii="宋体" w:hAnsi="宋体" w:eastAsia="宋体" w:cs="宋体"/>
                <w:color w:val="000000"/>
                <w:sz w:val="28"/>
                <w:szCs w:val="28"/>
              </w:rPr>
              <w:t>四、提升医院和社康软硬件服务水平</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color w:val="000000"/>
                <w:sz w:val="28"/>
                <w:szCs w:val="28"/>
              </w:rPr>
            </w:pPr>
            <w:r>
              <w:rPr>
                <w:rFonts w:hint="eastAsia" w:ascii="宋体" w:hAnsi="宋体" w:eastAsia="宋体" w:cs="宋体"/>
                <w:sz w:val="28"/>
                <w:szCs w:val="28"/>
              </w:rPr>
              <w:t>7.</w:t>
            </w:r>
            <w:r>
              <w:rPr>
                <w:rFonts w:hint="eastAsia" w:ascii="宋体" w:hAnsi="宋体" w:eastAsia="宋体" w:cs="宋体"/>
                <w:color w:val="000000"/>
                <w:sz w:val="28"/>
                <w:szCs w:val="28"/>
              </w:rPr>
              <w:t>建成</w:t>
            </w:r>
            <w:r>
              <w:rPr>
                <w:rFonts w:hint="eastAsia" w:ascii="宋体" w:hAnsi="宋体" w:eastAsia="宋体" w:cs="宋体"/>
                <w:sz w:val="28"/>
                <w:szCs w:val="28"/>
              </w:rPr>
              <w:t>启用区人民医院医疗综合楼，新增住院床位386张。</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已完成区人民医院医疗综合楼内部初步验收，正开展大楼精洗工作及污水处理站建设改造工作。</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7-8月：开展区人民医院医疗综合楼验收工作，完成污水处理站建设改造工作，8月底前移交区人民医院使用。</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9-10月：开展并完成区人民医院医疗综合楼开办物资采购及安装。</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11月：医疗综合楼正式开办启用，增加386张床位。</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color w:val="000000"/>
                <w:sz w:val="28"/>
                <w:szCs w:val="28"/>
              </w:rPr>
              <w:t>区卫健局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color w:val="000000"/>
                <w:sz w:val="28"/>
                <w:szCs w:val="28"/>
              </w:rPr>
            </w:pPr>
            <w:r>
              <w:rPr>
                <w:rFonts w:hint="eastAsia" w:ascii="宋体" w:hAnsi="宋体" w:eastAsia="宋体" w:cs="宋体"/>
                <w:color w:val="000000"/>
                <w:sz w:val="28"/>
                <w:szCs w:val="28"/>
              </w:rPr>
              <w:t>四、提升医院和社康软硬件服务水平</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sz w:val="28"/>
                <w:szCs w:val="28"/>
              </w:rPr>
            </w:pPr>
            <w:r>
              <w:rPr>
                <w:rFonts w:hint="eastAsia" w:ascii="宋体" w:hAnsi="宋体" w:eastAsia="宋体" w:cs="宋体"/>
                <w:sz w:val="28"/>
                <w:szCs w:val="28"/>
              </w:rPr>
              <w:t>8.建设掌上智慧医院系统，完善移动端全流程就医问诊线上服务。</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掌上智慧医院项目已完成竣工验收并投入使用，实现移动端全流程就医问诊线上服务，为患者提供20分钟就医体验。</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color w:val="000000"/>
                <w:sz w:val="28"/>
                <w:szCs w:val="28"/>
              </w:rPr>
              <w:t>区卫健局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color w:val="000000"/>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textAlignment w:val="top"/>
              <w:rPr>
                <w:rFonts w:ascii="宋体" w:hAnsi="宋体" w:eastAsia="宋体" w:cs="宋体"/>
                <w:sz w:val="28"/>
                <w:szCs w:val="28"/>
              </w:rPr>
            </w:pPr>
            <w:r>
              <w:rPr>
                <w:rFonts w:hint="eastAsia" w:ascii="宋体" w:hAnsi="宋体" w:eastAsia="宋体" w:cs="宋体"/>
                <w:sz w:val="28"/>
                <w:szCs w:val="28"/>
              </w:rPr>
              <w:t>9.开设金牌全科医生工作室，引入港式医疗服务和国际商业保险资源。</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2月开展了盐田区深港合作项目-港式家庭医生工作室启动暨鹏湾社康开业揭牌仪式；4月引进麦锦坚、李湘华2名获香港金牌认证的全科家庭医生入驻，完成医师多点执业备案；5月区人民医院鹏湾社康组织举办港式家庭医生工作室开诊暨“世界家庭医生日”义诊宣传活动，金牌师资医生进行首次坐诊；对盐田区正接受全市统一培训的5名（第一批）全科医生进行现场带教，组织了10医10护参加第二批金牌医护培训，截止目前盐田区共有30名（两批）医护正在培训中。</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11-12月：完成第一批金牌医护培训，取得技术资质；持续探索盐田区港式家庭医生工作室运作新模式，引进港式医疗服务技术和资源。</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color w:val="000000"/>
                <w:sz w:val="28"/>
                <w:szCs w:val="28"/>
              </w:rPr>
              <w:t>区卫健局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rPr>
              <w:t>2023.10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五、落实更多辖区居民和人才的住房需求</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color w:val="000000"/>
                <w:sz w:val="28"/>
                <w:szCs w:val="28"/>
              </w:rPr>
              <w:t>10.建成启用第八期人才住房项目（</w:t>
            </w:r>
            <w:r>
              <w:rPr>
                <w:rFonts w:hint="eastAsia" w:ascii="宋体" w:hAnsi="宋体" w:eastAsia="宋体" w:cs="宋体"/>
                <w:color w:val="000000"/>
                <w:sz w:val="28"/>
                <w:szCs w:val="28"/>
                <w:lang w:val="en-US" w:eastAsia="zh-CN"/>
              </w:rPr>
              <w:t>即</w:t>
            </w:r>
            <w:r>
              <w:rPr>
                <w:rFonts w:hint="eastAsia" w:ascii="宋体" w:hAnsi="宋体" w:eastAsia="宋体" w:cs="宋体"/>
                <w:color w:val="000000"/>
                <w:sz w:val="28"/>
                <w:szCs w:val="28"/>
              </w:rPr>
              <w:t>海鸿居</w:t>
            </w:r>
            <w:r>
              <w:rPr>
                <w:rFonts w:hint="eastAsia" w:ascii="宋体" w:hAnsi="宋体" w:eastAsia="宋体" w:cs="宋体"/>
                <w:color w:val="000000"/>
                <w:sz w:val="28"/>
                <w:szCs w:val="28"/>
                <w:lang w:eastAsia="zh-CN"/>
              </w:rPr>
              <w:t>项目</w:t>
            </w:r>
            <w:r>
              <w:rPr>
                <w:rFonts w:hint="eastAsia" w:ascii="宋体" w:hAnsi="宋体" w:eastAsia="宋体" w:cs="宋体"/>
                <w:color w:val="000000"/>
                <w:sz w:val="28"/>
                <w:szCs w:val="28"/>
              </w:rPr>
              <w:t>，位于盐田街道明珠大道与永安路交叉口）</w:t>
            </w:r>
            <w:r>
              <w:rPr>
                <w:rFonts w:hint="eastAsia" w:ascii="宋体" w:hAnsi="宋体" w:eastAsia="宋体" w:cs="宋体"/>
                <w:sz w:val="28"/>
                <w:szCs w:val="28"/>
              </w:rPr>
              <w:t>，</w:t>
            </w:r>
            <w:r>
              <w:rPr>
                <w:rFonts w:hint="eastAsia" w:ascii="宋体" w:hAnsi="宋体" w:eastAsia="宋体" w:cs="宋体"/>
                <w:color w:val="000000"/>
                <w:sz w:val="28"/>
                <w:szCs w:val="28"/>
              </w:rPr>
              <w:t>提供</w:t>
            </w:r>
            <w:r>
              <w:rPr>
                <w:rFonts w:hint="eastAsia" w:ascii="宋体" w:hAnsi="宋体" w:eastAsia="宋体" w:cs="宋体"/>
                <w:sz w:val="28"/>
                <w:szCs w:val="28"/>
              </w:rPr>
              <w:t>公共租赁住房480套，人才住房622套。</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盐田第八期人才住房项目（安居海鸿居）于6月30日完成竣工备案，预计7月交付，将提供人才住房1102套。</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pacing w:val="-11"/>
                <w:sz w:val="28"/>
                <w:szCs w:val="28"/>
                <w:lang w:val="en-US" w:eastAsia="zh-CN"/>
              </w:rPr>
              <w:t>/</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color w:val="000000"/>
                <w:kern w:val="0"/>
                <w:sz w:val="28"/>
                <w:szCs w:val="28"/>
              </w:rPr>
              <w:t>区住建局</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sz w:val="28"/>
                <w:szCs w:val="28"/>
              </w:rPr>
              <w:t>2023.7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661"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六、打造电梯安全智慧预警监管系统</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11.为不少于150个小区单位、1500台电梯，建设电梯一键报警视频终端、无纸化维保监管平台、安全智慧预警监测系统等软硬件相结合的电梯安全智慧预警监管一体化平台系统。</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1.完成了盐田区电梯安全智慧监管体系建设情况的调研。</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2.完成电梯安全智慧监管系统服务项目方案设计和资金测算，征求相关部门意见建议并开展了专家论证。</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3.六届四十七次区政府常务会议审议通过了《关于申请盐田区电梯安全智慧监管系统服务项目经费的请示》，原则同意安排盐田区电梯安全智慧监管系统服务项目3年所需经费。</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7月：完成资金筹措，启动采购意向公示。</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8月：完成项目采购，确定服务供应商，开展智慧监管系统推广宣传。</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9月：启动电梯安全智慧监管系统平台建设，开展电梯智慧监管终端设备安装、调试；安装维护试点运行电梯智慧监管终端设备300台。</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10月：安装维护试点运行电梯智慧监管终端设备700台，开展系统业务培训。</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11月：安装维护试点运行电梯智慧监管终端设备1200台。</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12月：安装维护试点运行电梯智慧监管终端设备1500台，完成电梯安全智慧监管系统构建。</w:t>
            </w:r>
          </w:p>
        </w:tc>
        <w:tc>
          <w:tcPr>
            <w:tcW w:w="476"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top"/>
              <w:rPr>
                <w:rFonts w:ascii="宋体" w:hAnsi="宋体" w:eastAsia="宋体" w:cs="宋体"/>
                <w:color w:val="000000"/>
                <w:kern w:val="0"/>
                <w:sz w:val="28"/>
                <w:szCs w:val="28"/>
              </w:rPr>
            </w:pPr>
            <w:r>
              <w:rPr>
                <w:rFonts w:hint="eastAsia" w:ascii="宋体" w:hAnsi="宋体" w:eastAsia="宋体" w:cs="宋体"/>
                <w:spacing w:val="-17"/>
                <w:sz w:val="28"/>
                <w:szCs w:val="28"/>
              </w:rPr>
              <w:t>盐田市场监管局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sz w:val="28"/>
                <w:szCs w:val="28"/>
              </w:rPr>
            </w:pPr>
            <w:r>
              <w:rPr>
                <w:rFonts w:hint="eastAsia" w:ascii="宋体" w:hAnsi="宋体" w:eastAsia="宋体" w:cs="宋体"/>
                <w:color w:val="00000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七、提供更多就业岗位、</w:t>
            </w:r>
            <w:r>
              <w:rPr>
                <w:rFonts w:hint="eastAsia" w:ascii="宋体" w:hAnsi="宋体" w:eastAsia="宋体" w:cs="宋体"/>
                <w:color w:val="000000"/>
                <w:sz w:val="28"/>
                <w:szCs w:val="28"/>
              </w:rPr>
              <w:t>分级分层分类培养技能人才</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12.举办脱贫劳动力、异地务工人员、失业人员、高校毕业生等各类线上线下招聘会20场以上，提供3000个以上就业岗位。</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1.针对脱贫劳动力、异地务工人员、失业人员、高校毕业生等各类群体，举办4场现场招聘会、16场“春风行动”线上招聘会，共372家企业参与招聘，提供就业岗位5446个。</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2.发放各类就业创业补贴566万元、1683人次，城镇新增就业1428人。</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1.针对各类重点群体，举办10场线上线下招聘会，提供就业岗位1200个。</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2.及时发放各类就业创业补贴，城镇新增就业980人以上。</w:t>
            </w:r>
          </w:p>
        </w:tc>
        <w:tc>
          <w:tcPr>
            <w:tcW w:w="476"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kern w:val="0"/>
                <w:sz w:val="28"/>
                <w:szCs w:val="28"/>
              </w:rPr>
            </w:pPr>
            <w:r>
              <w:rPr>
                <w:rFonts w:hint="eastAsia" w:ascii="宋体" w:hAnsi="宋体" w:eastAsia="宋体" w:cs="宋体"/>
                <w:sz w:val="28"/>
                <w:szCs w:val="28"/>
              </w:rPr>
              <w:t>区人力局</w:t>
            </w:r>
          </w:p>
        </w:tc>
        <w:tc>
          <w:tcPr>
            <w:tcW w:w="489"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r>
              <w:rPr>
                <w:rFonts w:hint="eastAsia" w:ascii="宋体" w:hAnsi="宋体" w:eastAsia="宋体" w:cs="宋体"/>
                <w:color w:val="000000"/>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13.提供1000人以上的综合素质提升、人力资源大讲堂、技能提升、“南粤家政”工程居家服务等培训服务。</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开展“来深建设者综合素质提升培训”“人力资源大讲堂”和“技能人才培养”等培训项目，共培训1021人次。</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根据市人力资源社会保障局下达我区“南粤家政”培训工作目标任务，开展“南粤家政”工程居家服务。</w:t>
            </w:r>
          </w:p>
        </w:tc>
        <w:tc>
          <w:tcPr>
            <w:tcW w:w="476"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p>
        </w:tc>
        <w:tc>
          <w:tcPr>
            <w:tcW w:w="489"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八、丰富市民文体生活</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14.建成沙头角国际青少年图书馆；成立群众文化队伍38支；联合举办10场公益性精品演出，100场文艺培训，1000人次体验非遗传承普及，10000人在海系书房阅读活动；举办更高水平的盐田海系阅读季系列活动、盐田海洋图书奖等本土海洋文化阅读品牌活动。</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1.实施沙头角国际青少年图书馆改造工程装修，启动软装、家具采购和图书采购等工作，拟定下半年试运行。</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2.4月22日，在灯塔图书馆室外广场举办第二届湾区少年诗词大会，以诗词为媒介，以赛促学、以赛会友，推动深圳、广州、香港、东莞等湾区城市青少年之间的学习交流，激发市民尤其是青少年学生学习诗词的兴趣和热情，让传统文化代代相传；并通过举办文化活动盐田的山海美景和人文景观，提升盐田的知名度和美誉度。</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3.举办“4·23”世界读书日暨第二届海洋图书奖评选活动，构建具有盐田特色、深圳示范、全国领先的全民阅读服务范例；举办“春天的故事——亲子绘本故事营”、“阅见春天”大型户外嘉年华21场活动，线上线下参与人数3万余人次，营造全民参与、多元开放的阅读氛围。</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4.围绕“盐田建区25周年”主题，在2月26日举办了之“万里海疆——中国百名油画家主题作品系列活动”；在3月27日举办“廿五载·再出发”盐田区交响合唱音乐会；在5月9日举办“五月绽放”听海人声乐团专场音乐会。</w:t>
            </w:r>
          </w:p>
          <w:p>
            <w:pPr>
              <w:keepNext w:val="0"/>
              <w:keepLines w:val="0"/>
              <w:pageBreakBefore w:val="0"/>
              <w:kinsoku/>
              <w:wordWrap/>
              <w:overflowPunct/>
              <w:topLinePunct w:val="0"/>
              <w:autoSpaceDE/>
              <w:autoSpaceDN/>
              <w:bidi w:val="0"/>
              <w:adjustRightInd/>
              <w:snapToGrid/>
              <w:spacing w:line="400" w:lineRule="exact"/>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完成辖区43家群众文化队伍的普查指导工作；举办《海上生明月》诗歌音乐会等精品演出6场，各类文艺培训200场；依托5.18博物馆日、文化和自然遗产日等时间点吸引近千人参加非遗普及传承；举办山川上的中国、山海之旅·走读盐田等阅读活动，吸引超过2万人参与。</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1</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举办第二届湾区少年诗词大会，激发市民学习古典诗词的热情。</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2</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举办“4·23”世界读书日活动，构建具有盐田特色、深圳示范、全国领先的全民阅读服务范例。</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3</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举办读书月系列活动，在辖区营造浓郁的书香氛围。</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4</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8月，完成“放歌新时代”第二季启动仪式音乐会。</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5</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10月前，完成“城市 共融”深圳国际摄影展盐区平行展</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6</w:t>
            </w:r>
            <w:r>
              <w:rPr>
                <w:rFonts w:hint="eastAsia" w:asciiTheme="minorEastAsia" w:hAnsiTheme="minorEastAsia" w:eastAsiaTheme="minorEastAsia" w:cstheme="minorEastAsia"/>
                <w:spacing w:val="-11"/>
                <w:sz w:val="28"/>
                <w:szCs w:val="28"/>
                <w:lang w:val="en" w:eastAsia="zh-CN"/>
              </w:rPr>
              <w:t>.</w:t>
            </w:r>
            <w:r>
              <w:rPr>
                <w:rFonts w:hint="eastAsia" w:asciiTheme="minorEastAsia" w:hAnsiTheme="minorEastAsia" w:eastAsiaTheme="minorEastAsia" w:cstheme="minorEastAsia"/>
                <w:spacing w:val="-11"/>
                <w:sz w:val="28"/>
                <w:szCs w:val="28"/>
                <w:lang w:val="en-US" w:eastAsia="zh-CN"/>
              </w:rPr>
              <w:t>12月底，举办盐田区2024新</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7.建成开放沙头角青少年国际图书馆，常态化开展文艺培训，举办暑假儿童剧、戏曲等演出活动，策划“童声同心同梦”大湾区合唱演出活动。</w:t>
            </w:r>
          </w:p>
          <w:p>
            <w:pPr>
              <w:keepNext w:val="0"/>
              <w:keepLines w:val="0"/>
              <w:pageBreakBefore w:val="0"/>
              <w:kinsoku/>
              <w:wordWrap/>
              <w:overflowPunct/>
              <w:topLinePunct w:val="0"/>
              <w:autoSpaceDE/>
              <w:autoSpaceDN/>
              <w:bidi w:val="0"/>
              <w:adjustRightInd/>
              <w:snapToGrid/>
              <w:spacing w:line="400" w:lineRule="exact"/>
              <w:ind w:firstLine="516" w:firstLineChars="200"/>
              <w:jc w:val="both"/>
              <w:rPr>
                <w:rFonts w:hint="default" w:asciiTheme="minorEastAsia" w:hAnsiTheme="minorEastAsia" w:eastAsiaTheme="minorEastAsia" w:cstheme="minorEastAsia"/>
                <w:spacing w:val="-11"/>
                <w:sz w:val="28"/>
                <w:szCs w:val="28"/>
                <w:lang w:val="en-US"/>
              </w:rPr>
            </w:pPr>
            <w:r>
              <w:rPr>
                <w:rFonts w:hint="eastAsia" w:asciiTheme="minorEastAsia" w:hAnsiTheme="minorEastAsia" w:eastAsiaTheme="minorEastAsia" w:cstheme="minorEastAsia"/>
                <w:spacing w:val="-11"/>
                <w:sz w:val="28"/>
                <w:szCs w:val="28"/>
                <w:lang w:val="en-US" w:eastAsia="zh-CN"/>
              </w:rPr>
              <w:t>8.举办沙头角鱼灯节、疍家文化节、非遗嘉年华等非遗体验，社区艺术节等文艺活动；结合深圳读书月，举办海洋文化论坛，开展海书房等系列阅读活动。</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区委宣传部</w:t>
            </w:r>
          </w:p>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color w:val="000000"/>
                <w:kern w:val="0"/>
                <w:sz w:val="28"/>
                <w:szCs w:val="28"/>
              </w:rPr>
              <w:t>区文广旅体局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4"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color w:val="000000"/>
                <w:sz w:val="28"/>
                <w:szCs w:val="28"/>
              </w:rPr>
              <w:t>15.</w:t>
            </w:r>
            <w:r>
              <w:rPr>
                <w:rFonts w:hint="eastAsia" w:ascii="宋体" w:hAnsi="宋体" w:eastAsia="宋体" w:cs="宋体"/>
                <w:color w:val="000000"/>
                <w:sz w:val="28"/>
                <w:szCs w:val="28"/>
                <w:lang w:val="zh-TW"/>
              </w:rPr>
              <w:t>举办首届深圳盐田山海半程马拉松、首届“深圳</w:t>
            </w:r>
            <w:r>
              <w:rPr>
                <w:rFonts w:hint="eastAsia" w:ascii="宋体" w:hAnsi="宋体" w:eastAsia="宋体" w:cs="宋体"/>
                <w:color w:val="000000"/>
                <w:sz w:val="28"/>
                <w:szCs w:val="28"/>
              </w:rPr>
              <w:t>100</w:t>
            </w:r>
            <w:r>
              <w:rPr>
                <w:rFonts w:hint="eastAsia" w:ascii="宋体" w:hAnsi="宋体" w:eastAsia="宋体" w:cs="宋体"/>
                <w:color w:val="000000"/>
                <w:sz w:val="28"/>
                <w:szCs w:val="28"/>
                <w:lang w:val="zh-TW"/>
              </w:rPr>
              <w:t>”越野赛、</w:t>
            </w:r>
            <w:r>
              <w:rPr>
                <w:rFonts w:hint="eastAsia" w:ascii="宋体" w:hAnsi="宋体" w:eastAsia="宋体" w:cs="宋体"/>
                <w:color w:val="000000"/>
                <w:sz w:val="28"/>
                <w:szCs w:val="28"/>
              </w:rPr>
              <w:t>2023年水翼帆板世界杯深圳站等国际国内顶级赛事。</w:t>
            </w:r>
          </w:p>
        </w:tc>
        <w:tc>
          <w:tcPr>
            <w:tcW w:w="1343"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1.2023年3月26日，成功举办首届深圳盐田山海半程马拉松，吸引来自19个国家和地区的1.5万名马拉松参赛选手参加。</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2.积极筹备2023年水翼帆板世界杯深圳站暨水翼帆板亚洲锦标赛，现已形成赛事整体方案，初定于2023年11月8-14日举行获得区政府审批同意，并向市局提交办赛申请。</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color w:val="FF0000"/>
                <w:kern w:val="0"/>
                <w:sz w:val="28"/>
                <w:szCs w:val="28"/>
                <w:lang w:val="en-US" w:eastAsia="zh-CN"/>
              </w:rPr>
            </w:pPr>
            <w:r>
              <w:rPr>
                <w:rFonts w:hint="eastAsia" w:asciiTheme="minorEastAsia" w:hAnsiTheme="minorEastAsia" w:eastAsiaTheme="minorEastAsia" w:cstheme="minorEastAsia"/>
                <w:color w:val="auto"/>
                <w:kern w:val="0"/>
                <w:sz w:val="28"/>
                <w:szCs w:val="28"/>
                <w:lang w:val="en-US" w:eastAsia="zh-CN"/>
              </w:rPr>
              <w:t>3.积极筹备首届“深圳100”越野赛，拟定于12月举办，现已初步形成赛事工作方案。</w:t>
            </w:r>
          </w:p>
        </w:tc>
        <w:tc>
          <w:tcPr>
            <w:tcW w:w="1159" w:type="pct"/>
            <w:noWrap w:val="0"/>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7月-9月：按流程筹办首届“深圳100”越野赛、2023年水翼帆板世界杯（深圳站）暨水翼帆板亚洲分站赛等国际国内顶级赛事。</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10月-12月：举办2023年水翼帆板世界杯（深圳站）暨水翼帆板亚洲分站赛，首届“深圳100”越野赛等大型赛事活动。</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top"/>
              <w:rPr>
                <w:rFonts w:ascii="宋体" w:hAnsi="宋体" w:eastAsia="宋体" w:cs="宋体"/>
                <w:color w:val="000000"/>
                <w:sz w:val="28"/>
                <w:szCs w:val="28"/>
              </w:rPr>
            </w:pPr>
            <w:r>
              <w:rPr>
                <w:rFonts w:hint="eastAsia" w:ascii="宋体" w:hAnsi="宋体" w:eastAsia="宋体" w:cs="宋体"/>
                <w:color w:val="000000"/>
                <w:kern w:val="0"/>
                <w:sz w:val="28"/>
                <w:szCs w:val="28"/>
              </w:rPr>
              <w:t>区文广旅体局</w:t>
            </w:r>
          </w:p>
        </w:tc>
        <w:tc>
          <w:tcPr>
            <w:tcW w:w="48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宋体" w:hAnsi="宋体" w:eastAsia="宋体" w:cs="宋体"/>
                <w:color w:val="000000"/>
                <w:sz w:val="28"/>
                <w:szCs w:val="28"/>
              </w:rPr>
            </w:pPr>
            <w:r>
              <w:rPr>
                <w:rFonts w:hint="eastAsia" w:ascii="宋体" w:hAnsi="宋体" w:eastAsia="宋体" w:cs="宋体"/>
                <w:color w:val="000000"/>
                <w:sz w:val="28"/>
                <w:szCs w:val="28"/>
              </w:rPr>
              <w:t>2023.8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61"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九、为辖区老年人提供更好的安全保障和助餐服务</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color w:val="000000"/>
                <w:sz w:val="28"/>
                <w:szCs w:val="28"/>
              </w:rPr>
            </w:pPr>
            <w:r>
              <w:rPr>
                <w:rFonts w:hint="eastAsia" w:ascii="宋体" w:hAnsi="宋体" w:eastAsia="宋体" w:cs="宋体"/>
                <w:sz w:val="28"/>
                <w:szCs w:val="28"/>
              </w:rPr>
              <w:t>16.为辖区内符合条件的特殊困难（空巢、独居、失独）老年人（预计服务280户）安装水浸探测器和无线烟雾探测器等两个智能居家监测预警设备。</w:t>
            </w:r>
          </w:p>
        </w:tc>
        <w:tc>
          <w:tcPr>
            <w:tcW w:w="134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已完成197户智能居家监测预警设备上门安装工作。</w:t>
            </w:r>
          </w:p>
        </w:tc>
        <w:tc>
          <w:tcPr>
            <w:tcW w:w="115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加大宣传力度，提高服务的知晓率和参与率。推进智能居家安全保障服务，完成约280户老年人家庭的监测预警设备安装。</w:t>
            </w:r>
          </w:p>
        </w:tc>
        <w:tc>
          <w:tcPr>
            <w:tcW w:w="476"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sz w:val="28"/>
                <w:szCs w:val="28"/>
              </w:rPr>
              <w:t>区民政局</w:t>
            </w:r>
          </w:p>
        </w:tc>
        <w:tc>
          <w:tcPr>
            <w:tcW w:w="489" w:type="pct"/>
            <w:vMerge w:val="restar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color w:val="000000"/>
                <w:sz w:val="28"/>
                <w:szCs w:val="28"/>
              </w:rPr>
            </w:pPr>
            <w:r>
              <w:rPr>
                <w:rFonts w:hint="eastAsia" w:ascii="宋体" w:hAnsi="宋体" w:eastAsia="宋体" w:cs="宋体"/>
                <w:sz w:val="28"/>
                <w:szCs w:val="28"/>
              </w:rPr>
              <w:t>2023.12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17.为40户有需求的居家高龄、失能（失智）老年人提供长期照护、康复护理、陪诊转介等服务。为不少于1500位户籍高龄、独居、空巢等重点老年人家庭进行定期慰问。</w:t>
            </w:r>
          </w:p>
        </w:tc>
        <w:tc>
          <w:tcPr>
            <w:tcW w:w="134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1.完成家庭养老床位上门照护签约服务34人，提供服务3867人次。</w:t>
            </w:r>
          </w:p>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2.通过上门探访、电话探访等形式提供主动关爱服务，已定期随访1786位老人，巡访关爱20877人次。</w:t>
            </w:r>
          </w:p>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rPr>
            </w:pPr>
          </w:p>
        </w:tc>
        <w:tc>
          <w:tcPr>
            <w:tcW w:w="115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开展家庭养老床位服务，完成年度40户老年人家庭的签约目标；加强高龄、独居、空巢等特殊困难老年人关爱探访工作，实现月探访率100%。</w:t>
            </w:r>
          </w:p>
        </w:tc>
        <w:tc>
          <w:tcPr>
            <w:tcW w:w="476"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p>
        </w:tc>
        <w:tc>
          <w:tcPr>
            <w:tcW w:w="489"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661"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18.在原有长者助餐补贴5-15元/餐的标准上，为重点保障对象、户籍70—99岁老年人增加补助3元/餐，预计2023年每月平均用餐人数710人。</w:t>
            </w:r>
          </w:p>
        </w:tc>
        <w:tc>
          <w:tcPr>
            <w:tcW w:w="134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lang w:val="en-US" w:eastAsia="zh-CN"/>
              </w:rPr>
            </w:pPr>
            <w:r>
              <w:rPr>
                <w:rFonts w:hint="eastAsia" w:asciiTheme="minorEastAsia" w:hAnsiTheme="minorEastAsia" w:eastAsiaTheme="minorEastAsia" w:cstheme="minorEastAsia"/>
                <w:spacing w:val="-11"/>
                <w:sz w:val="28"/>
                <w:szCs w:val="28"/>
                <w:lang w:val="en-US" w:eastAsia="zh-CN"/>
              </w:rPr>
              <w:t>1.依托辖区13家长者饭堂发放3元膳食补助（暖心券），已发放暖心券50458人次，发放金额15.1万元。</w:t>
            </w:r>
          </w:p>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2.通过短信精准推送、媒体宣传报道、社区居民群等途径积极开展宣传，提升政策知晓度及居民参与积极性。</w:t>
            </w:r>
          </w:p>
        </w:tc>
        <w:tc>
          <w:tcPr>
            <w:tcW w:w="115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16" w:firstLineChars="200"/>
              <w:jc w:val="both"/>
              <w:textAlignment w:val="top"/>
              <w:rPr>
                <w:rFonts w:hint="eastAsia" w:asciiTheme="minorEastAsia" w:hAnsiTheme="minorEastAsia" w:eastAsiaTheme="minorEastAsia" w:cstheme="minorEastAsia"/>
                <w:spacing w:val="-11"/>
                <w:sz w:val="28"/>
                <w:szCs w:val="28"/>
              </w:rPr>
            </w:pPr>
            <w:r>
              <w:rPr>
                <w:rFonts w:hint="eastAsia" w:asciiTheme="minorEastAsia" w:hAnsiTheme="minorEastAsia" w:eastAsiaTheme="minorEastAsia" w:cstheme="minorEastAsia"/>
                <w:spacing w:val="-11"/>
                <w:sz w:val="28"/>
                <w:szCs w:val="28"/>
                <w:lang w:val="en-US" w:eastAsia="zh-CN"/>
              </w:rPr>
              <w:t>加强高龄、独居、空巢等特殊困难老年人关爱探访工作，实现月探访率100%；落实长者助餐膳食补助（暖心券）工作，为符合条件的老年人提供助餐服务。</w:t>
            </w:r>
          </w:p>
        </w:tc>
        <w:tc>
          <w:tcPr>
            <w:tcW w:w="476"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p>
        </w:tc>
        <w:tc>
          <w:tcPr>
            <w:tcW w:w="489" w:type="pct"/>
            <w:vMerge w:val="continue"/>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661"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sz w:val="28"/>
                <w:szCs w:val="28"/>
              </w:rPr>
            </w:pPr>
            <w:r>
              <w:rPr>
                <w:rFonts w:hint="eastAsia" w:ascii="宋体" w:hAnsi="宋体" w:eastAsia="宋体" w:cs="宋体"/>
                <w:sz w:val="28"/>
                <w:szCs w:val="28"/>
              </w:rPr>
              <w:t>十、开展残疾儿童精准助残行动</w:t>
            </w:r>
          </w:p>
        </w:tc>
        <w:tc>
          <w:tcPr>
            <w:tcW w:w="869" w:type="pct"/>
            <w:noWrap w:val="0"/>
            <w:vAlign w:val="center"/>
          </w:tcPr>
          <w:p>
            <w:pPr>
              <w:keepNext w:val="0"/>
              <w:keepLines w:val="0"/>
              <w:pageBreakBefore w:val="0"/>
              <w:kinsoku/>
              <w:wordWrap/>
              <w:overflowPunct/>
              <w:topLinePunct w:val="0"/>
              <w:autoSpaceDE/>
              <w:autoSpaceDN/>
              <w:bidi w:val="0"/>
              <w:adjustRightInd/>
              <w:snapToGrid/>
              <w:spacing w:line="400" w:lineRule="exact"/>
              <w:rPr>
                <w:rFonts w:ascii="宋体" w:hAnsi="宋体" w:eastAsia="宋体" w:cs="宋体"/>
                <w:b/>
                <w:bCs/>
                <w:kern w:val="0"/>
                <w:sz w:val="28"/>
                <w:szCs w:val="28"/>
              </w:rPr>
            </w:pPr>
            <w:r>
              <w:rPr>
                <w:rFonts w:hint="eastAsia" w:ascii="宋体" w:hAnsi="宋体" w:eastAsia="宋体" w:cs="宋体"/>
                <w:color w:val="000000"/>
                <w:sz w:val="28"/>
                <w:szCs w:val="28"/>
              </w:rPr>
              <w:t>19.</w:t>
            </w:r>
            <w:r>
              <w:rPr>
                <w:rFonts w:hint="eastAsia" w:ascii="宋体" w:hAnsi="宋体" w:eastAsia="宋体" w:cs="宋体"/>
                <w:sz w:val="28"/>
                <w:szCs w:val="28"/>
              </w:rPr>
              <w:t>全年残疾儿童康复救助不少于160人；为重度残疾适龄儿童送教上门服务不少于2000人次、2000课时；残疾儿童精准适配辅助器具不少于100人次；每季度开展残疾儿童家长康复知识培训；探访残疾儿童不少于1000人次；为残疾儿童及家属心理疏导服务不少于500人次。</w:t>
            </w:r>
          </w:p>
        </w:tc>
        <w:tc>
          <w:tcPr>
            <w:tcW w:w="134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截至6月30日，已开展残疾儿童家长康复知识培训活动3场，完成残疾儿童康复救助申请180人、为重度残疾适龄儿童送教上门服务903人次、903课时，残疾儿童精准适配辅助器具100人次、探访残疾儿童502人次、残疾儿童及家属心理疏导服务255人次。</w:t>
            </w:r>
          </w:p>
        </w:tc>
        <w:tc>
          <w:tcPr>
            <w:tcW w:w="1159"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top"/>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党员干部带头，深入辖区残疾儿童家庭探访摸排，摸清需求，提供服务。为重度残疾适龄儿童送教上门服务不少于1097人次、1097课时；探访残疾儿童不少于498人次；开展残疾儿童家长康复知识培训不少于2场；为残疾儿童及家属心理疏导服务不少于245人次。继续提供残疾儿童康复救助服务、残疾儿童精准适配辅助器具服务，让更多残疾儿童共享改革成果。</w:t>
            </w:r>
          </w:p>
        </w:tc>
        <w:tc>
          <w:tcPr>
            <w:tcW w:w="476"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r>
              <w:rPr>
                <w:rFonts w:hint="eastAsia" w:ascii="宋体" w:hAnsi="宋体" w:eastAsia="宋体" w:cs="宋体"/>
                <w:sz w:val="28"/>
                <w:szCs w:val="28"/>
              </w:rPr>
              <w:t>区残联</w:t>
            </w:r>
          </w:p>
        </w:tc>
        <w:tc>
          <w:tcPr>
            <w:tcW w:w="489" w:type="pct"/>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cs="宋体"/>
                <w:sz w:val="28"/>
                <w:szCs w:val="28"/>
              </w:rPr>
            </w:pPr>
            <w:r>
              <w:rPr>
                <w:rFonts w:hint="eastAsia" w:ascii="宋体" w:hAnsi="宋体" w:eastAsia="宋体" w:cs="宋体"/>
                <w:sz w:val="28"/>
                <w:szCs w:val="28"/>
              </w:rPr>
              <w:t>2023.12</w:t>
            </w:r>
          </w:p>
        </w:tc>
      </w:tr>
    </w:tbl>
    <w:p>
      <w:pPr>
        <w:pStyle w:val="4"/>
        <w:ind w:left="0" w:leftChars="0" w:firstLine="0" w:firstLineChars="0"/>
        <w:rPr>
          <w:rFonts w:hint="eastAsia"/>
          <w:lang w:val="en-US" w:eastAsia="zh-CN"/>
        </w:rPr>
      </w:pPr>
    </w:p>
    <w:p>
      <w:pPr>
        <w:pStyle w:val="4"/>
        <w:rPr>
          <w:rFonts w:hint="default"/>
          <w:lang w:val="en-US" w:eastAsia="zh-CN"/>
        </w:rPr>
      </w:pPr>
    </w:p>
    <w:sectPr>
      <w:pgSz w:w="23757" w:h="16783"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C0A83"/>
    <w:rsid w:val="0BE63FFC"/>
    <w:rsid w:val="14F27E4E"/>
    <w:rsid w:val="17DF7506"/>
    <w:rsid w:val="19CA590B"/>
    <w:rsid w:val="1DD90F4B"/>
    <w:rsid w:val="25DFD8AB"/>
    <w:rsid w:val="26BC6A86"/>
    <w:rsid w:val="279FBAFE"/>
    <w:rsid w:val="3533A848"/>
    <w:rsid w:val="36D973D9"/>
    <w:rsid w:val="36FFA49D"/>
    <w:rsid w:val="3E66681A"/>
    <w:rsid w:val="3EABAD80"/>
    <w:rsid w:val="3F76283E"/>
    <w:rsid w:val="3F8F41C1"/>
    <w:rsid w:val="3FDB7258"/>
    <w:rsid w:val="3FEEEE3C"/>
    <w:rsid w:val="3FEF5B59"/>
    <w:rsid w:val="457D7EF6"/>
    <w:rsid w:val="464F5E42"/>
    <w:rsid w:val="473B2688"/>
    <w:rsid w:val="4C144015"/>
    <w:rsid w:val="55FFDCFE"/>
    <w:rsid w:val="56DF8423"/>
    <w:rsid w:val="56FAF8BD"/>
    <w:rsid w:val="57BBA03C"/>
    <w:rsid w:val="57FEA651"/>
    <w:rsid w:val="59F971F7"/>
    <w:rsid w:val="5AFC0A83"/>
    <w:rsid w:val="5B5FF576"/>
    <w:rsid w:val="5B954B05"/>
    <w:rsid w:val="5CEDD268"/>
    <w:rsid w:val="5DF29DC9"/>
    <w:rsid w:val="5DFFAFCA"/>
    <w:rsid w:val="5EF7370B"/>
    <w:rsid w:val="5EFB9DFC"/>
    <w:rsid w:val="5F73180E"/>
    <w:rsid w:val="5FAF6AE3"/>
    <w:rsid w:val="5FFE0AF1"/>
    <w:rsid w:val="67CFD2D5"/>
    <w:rsid w:val="69CC0890"/>
    <w:rsid w:val="6B7FFCED"/>
    <w:rsid w:val="6D3EC49B"/>
    <w:rsid w:val="6E3FA6B9"/>
    <w:rsid w:val="6EBE657E"/>
    <w:rsid w:val="6F33FF56"/>
    <w:rsid w:val="6F7BBD85"/>
    <w:rsid w:val="70EA04FE"/>
    <w:rsid w:val="74EADBE3"/>
    <w:rsid w:val="75BE4B9C"/>
    <w:rsid w:val="769FECF2"/>
    <w:rsid w:val="76DDB8B5"/>
    <w:rsid w:val="777D1A2C"/>
    <w:rsid w:val="777FB04B"/>
    <w:rsid w:val="79FD85A2"/>
    <w:rsid w:val="7A071C83"/>
    <w:rsid w:val="7AFFD2A0"/>
    <w:rsid w:val="7BE5A822"/>
    <w:rsid w:val="7BE7111F"/>
    <w:rsid w:val="7BF3C313"/>
    <w:rsid w:val="7BFF21E4"/>
    <w:rsid w:val="7CDA6922"/>
    <w:rsid w:val="7D1FB3FA"/>
    <w:rsid w:val="7DEDE013"/>
    <w:rsid w:val="7DF7CC46"/>
    <w:rsid w:val="7DFF73E9"/>
    <w:rsid w:val="7E77D534"/>
    <w:rsid w:val="7EC94595"/>
    <w:rsid w:val="7EFD3768"/>
    <w:rsid w:val="7EFF74F7"/>
    <w:rsid w:val="7F37A45A"/>
    <w:rsid w:val="7F3A91DF"/>
    <w:rsid w:val="7F7F4FD3"/>
    <w:rsid w:val="7FBF088A"/>
    <w:rsid w:val="7FEEB4ED"/>
    <w:rsid w:val="7FF14EDE"/>
    <w:rsid w:val="7FFB9D50"/>
    <w:rsid w:val="7FFBBDEA"/>
    <w:rsid w:val="7FFF09CC"/>
    <w:rsid w:val="7FFF90CF"/>
    <w:rsid w:val="815F65AD"/>
    <w:rsid w:val="8FFFF802"/>
    <w:rsid w:val="91195B52"/>
    <w:rsid w:val="973756E6"/>
    <w:rsid w:val="97BF703E"/>
    <w:rsid w:val="9FEFF642"/>
    <w:rsid w:val="AE6DE922"/>
    <w:rsid w:val="AF55481D"/>
    <w:rsid w:val="B5FD98C1"/>
    <w:rsid w:val="B7FF98F9"/>
    <w:rsid w:val="B9F57578"/>
    <w:rsid w:val="BB7F3F6A"/>
    <w:rsid w:val="BB9D8558"/>
    <w:rsid w:val="BCB7C607"/>
    <w:rsid w:val="BD9F3141"/>
    <w:rsid w:val="BE5F486C"/>
    <w:rsid w:val="BFF3B027"/>
    <w:rsid w:val="BFF99DE9"/>
    <w:rsid w:val="BFFE015B"/>
    <w:rsid w:val="CBEA67DA"/>
    <w:rsid w:val="D2E93CB2"/>
    <w:rsid w:val="D7075E98"/>
    <w:rsid w:val="DBEE13DD"/>
    <w:rsid w:val="DDA7EA9D"/>
    <w:rsid w:val="DF3F24BA"/>
    <w:rsid w:val="DF479FC5"/>
    <w:rsid w:val="DF7E0A5B"/>
    <w:rsid w:val="DFBF3BE3"/>
    <w:rsid w:val="DFFEBDCA"/>
    <w:rsid w:val="E7EDC400"/>
    <w:rsid w:val="E7FBC654"/>
    <w:rsid w:val="E7FF6523"/>
    <w:rsid w:val="E9C653D0"/>
    <w:rsid w:val="EF3BD425"/>
    <w:rsid w:val="EFAF942B"/>
    <w:rsid w:val="EFFBEC45"/>
    <w:rsid w:val="EFFF8D2B"/>
    <w:rsid w:val="F5B6286C"/>
    <w:rsid w:val="F657EFCD"/>
    <w:rsid w:val="F66F0AAA"/>
    <w:rsid w:val="F6771C3D"/>
    <w:rsid w:val="F6D7B9E7"/>
    <w:rsid w:val="F7B6E3C5"/>
    <w:rsid w:val="F7BFF599"/>
    <w:rsid w:val="F7EF5D2F"/>
    <w:rsid w:val="F7F8F779"/>
    <w:rsid w:val="F7FE4A3B"/>
    <w:rsid w:val="F7FF37FF"/>
    <w:rsid w:val="F8FDF55A"/>
    <w:rsid w:val="F9BFF9EB"/>
    <w:rsid w:val="F9DC232D"/>
    <w:rsid w:val="FADF16FD"/>
    <w:rsid w:val="FAFFC7E4"/>
    <w:rsid w:val="FB7F847E"/>
    <w:rsid w:val="FBEFB527"/>
    <w:rsid w:val="FBFD43B6"/>
    <w:rsid w:val="FCBFF34C"/>
    <w:rsid w:val="FCED7B53"/>
    <w:rsid w:val="FCFE23A2"/>
    <w:rsid w:val="FD5F6706"/>
    <w:rsid w:val="FDDF461E"/>
    <w:rsid w:val="FDF7BEAA"/>
    <w:rsid w:val="FE9DD694"/>
    <w:rsid w:val="FEE7BAF4"/>
    <w:rsid w:val="FEFBD6D8"/>
    <w:rsid w:val="FEFCD7C5"/>
    <w:rsid w:val="FF4FA63B"/>
    <w:rsid w:val="FF6BFA92"/>
    <w:rsid w:val="FF75E111"/>
    <w:rsid w:val="FF7E39B7"/>
    <w:rsid w:val="FFBF26B6"/>
    <w:rsid w:val="FFDA278F"/>
    <w:rsid w:val="FFDB7BF5"/>
    <w:rsid w:val="FFEFC94C"/>
    <w:rsid w:val="FFFFE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index 8"/>
    <w:basedOn w:val="1"/>
    <w:next w:val="1"/>
    <w:qFormat/>
    <w:uiPriority w:val="0"/>
    <w:pPr>
      <w:ind w:left="2940"/>
    </w:pPr>
    <w:rPr>
      <w:rFonts w:eastAsia="宋体"/>
    </w:rPr>
  </w:style>
  <w:style w:type="paragraph" w:styleId="4">
    <w:name w:val="Normal Indent"/>
    <w:basedOn w:val="1"/>
    <w:qFormat/>
    <w:uiPriority w:val="0"/>
    <w:pPr>
      <w:ind w:firstLine="630"/>
    </w:pPr>
    <w:rPr>
      <w:kern w:val="0"/>
    </w:rPr>
  </w:style>
  <w:style w:type="paragraph" w:styleId="5">
    <w:name w:val="Body Text Indent"/>
    <w:basedOn w:val="1"/>
    <w:unhideWhenUsed/>
    <w:qFormat/>
    <w:uiPriority w:val="99"/>
    <w:pPr>
      <w:spacing w:after="120"/>
      <w:ind w:left="420" w:leftChars="200"/>
    </w:pPr>
    <w:rPr>
      <w:rFonts w:asciiTheme="minorHAnsi" w:hAnsiTheme="minorHAnsi" w:eastAsiaTheme="minorEastAsia" w:cstheme="minorBidi"/>
    </w:rPr>
  </w:style>
  <w:style w:type="paragraph" w:styleId="6">
    <w:name w:val="Plain Text"/>
    <w:basedOn w:val="1"/>
    <w:next w:val="3"/>
    <w:qFormat/>
    <w:uiPriority w:val="0"/>
    <w:rPr>
      <w:rFonts w:ascii="宋体" w:hAnsi="Courier New"/>
      <w:sz w:val="21"/>
      <w:szCs w:val="21"/>
    </w:rPr>
  </w:style>
  <w:style w:type="paragraph" w:styleId="7">
    <w:name w:val="Body Text Indent 2"/>
    <w:basedOn w:val="1"/>
    <w:next w:val="1"/>
    <w:semiHidden/>
    <w:qFormat/>
    <w:uiPriority w:val="0"/>
    <w:pPr>
      <w:tabs>
        <w:tab w:val="left" w:pos="3248"/>
      </w:tabs>
      <w:spacing w:line="360" w:lineRule="auto"/>
      <w:ind w:firstLine="48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after="120"/>
      <w:jc w:val="left"/>
    </w:pPr>
    <w:rPr>
      <w:kern w:val="0"/>
      <w:sz w:val="24"/>
    </w:rPr>
  </w:style>
  <w:style w:type="paragraph" w:styleId="11">
    <w:name w:val="Body Text First Indent"/>
    <w:basedOn w:val="2"/>
    <w:unhideWhenUsed/>
    <w:qFormat/>
    <w:uiPriority w:val="99"/>
    <w:pPr>
      <w:ind w:firstLine="664"/>
    </w:pPr>
  </w:style>
  <w:style w:type="paragraph" w:styleId="12">
    <w:name w:val="Body Text First Indent 2"/>
    <w:basedOn w:val="5"/>
    <w:qFormat/>
    <w:uiPriority w:val="99"/>
    <w:pPr>
      <w:spacing w:after="0"/>
      <w:ind w:firstLine="420" w:firstLineChars="200"/>
    </w:pPr>
    <w:rPr>
      <w:rFonts w:ascii="Calibri" w:hAnsi="Calibri" w:eastAsia="宋体" w:cs="宋体"/>
      <w:szCs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标题1"/>
    <w:basedOn w:val="1"/>
    <w:qFormat/>
    <w:uiPriority w:val="0"/>
    <w:pPr>
      <w:spacing w:line="590" w:lineRule="exact"/>
      <w:jc w:val="center"/>
    </w:pPr>
    <w:rPr>
      <w:rFonts w:ascii="方正小标宋简体" w:eastAsia="方正小标宋简体"/>
      <w:bCs/>
      <w:sz w:val="44"/>
    </w:rPr>
  </w:style>
  <w:style w:type="paragraph" w:customStyle="1" w:styleId="18">
    <w:name w:val="BodyTextIndent2"/>
    <w:basedOn w:val="1"/>
    <w:qFormat/>
    <w:uiPriority w:val="0"/>
    <w:pPr>
      <w:spacing w:after="120" w:line="480" w:lineRule="auto"/>
      <w:ind w:left="420" w:leftChars="200"/>
      <w:jc w:val="both"/>
      <w:textAlignment w:val="baseline"/>
    </w:pPr>
  </w:style>
  <w:style w:type="paragraph" w:styleId="19">
    <w:name w:val="List Paragraph"/>
    <w:basedOn w:val="1"/>
    <w:qFormat/>
    <w:uiPriority w:val="99"/>
    <w:pPr>
      <w:ind w:firstLine="420" w:firstLineChars="200"/>
    </w:pPr>
  </w:style>
  <w:style w:type="paragraph" w:customStyle="1" w:styleId="20">
    <w:name w:val="_Style 5"/>
    <w:basedOn w:val="1"/>
    <w:qFormat/>
    <w:uiPriority w:val="0"/>
    <w:pPr>
      <w:ind w:firstLine="200" w:firstLineChars="200"/>
    </w:pPr>
    <w:rPr>
      <w:rFonts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2021-11-08T17:29:00Z</dcterms:created>
  <dc:creator>张震林</dc:creator>
  <cp:lastModifiedBy>yt</cp:lastModifiedBy>
  <cp:lastPrinted>2023-07-27T17:38:00Z</cp:lastPrinted>
  <dcterms:modified xsi:type="dcterms:W3CDTF">2023-07-27T16:57:19Z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