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0080FF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  <w:lang w:val="en-US" w:eastAsia="zh-CN"/>
        </w:rPr>
        <w:t>1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申报时间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     2023年2月9日-2023年4月30日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资助标准</w:t>
      </w:r>
      <w:r>
        <w:rPr>
          <w:rFonts w:hint="eastAsia" w:ascii="仿宋_GB2312" w:hAnsi="仿宋_GB2312" w:eastAsia="仿宋_GB2312" w:cs="仿宋_GB2312"/>
          <w:color w:val="auto"/>
          <w:spacing w:val="30"/>
          <w:kern w:val="0"/>
          <w:sz w:val="32"/>
          <w:szCs w:val="32"/>
          <w:bdr w:val="none" w:color="auto" w:sz="0" w:space="0"/>
          <w:lang w:val="en-US" w:eastAsia="zh-CN" w:bidi="ar"/>
        </w:rPr>
        <w:t>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鼓励我市高校设立就业创业指导服务站（以下简称“服务站”),并给予每所高校标准为20万元/年度的建站事后补助。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申报条件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 （一）服务站已于2022年度为本校学生提供相关服务，同时配备2名以上专职就业和创业指导人员；就业和创业指导师资队伍健全。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（二）服务站有固定地址、达到一定场所面积，具备通讯、网络等办公条件，服务区功能规划合理及公共服务场所设施齐全，能够满足就业创业指导服务工作要求。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bdr w:val="none" w:color="auto" w:sz="0" w:space="0"/>
        </w:rPr>
        <w:t>（三）站内日常管理服务等规章制度健全，服务项目包括但不限于：开展就业创业政策宣传、就业创业指导和培训、求职创业补贴的受理与审核、协助毕业生申领技能培训补贴、指导毕业生其他相关补贴申领、毕业生职业生涯规划和求职就业创业法律咨询、毕业生就业创业情况跟踪调查和统计分析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30958"/>
    <w:rsid w:val="40367986"/>
    <w:rsid w:val="480927B5"/>
    <w:rsid w:val="5E230958"/>
    <w:rsid w:val="627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2023-08-01T01:11:00Z</dcterms:created>
  <dc:creator>刘滨</dc:creator>
  <cp:lastModifiedBy>刘滨</cp:lastModifiedBy>
  <dcterms:modified xsi:type="dcterms:W3CDTF">2023-08-01T01:20:05Z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