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深圳市盐田区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图书馆202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年度邮发报刊订购项目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招标文件</w:t>
      </w:r>
    </w:p>
    <w:p>
      <w:pPr>
        <w:spacing w:after="0" w:line="240" w:lineRule="auto"/>
        <w:ind w:firstLine="551" w:firstLineChars="196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一、采购项目名称、采购清单及要求：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采购项目名称：深圳市盐田区图书馆2024年度邮发报刊订购项目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采购项目编号：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YTLIB202310</w:t>
      </w:r>
      <w:r>
        <w:rPr>
          <w:rFonts w:hint="eastAsia" w:ascii="仿宋_GB2312" w:hAnsi="仿宋_GB2312" w:eastAsia="仿宋_GB2312" w:cs="仿宋_GB2312"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采购组织类型：自行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采购方式：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直接实施项目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采购清单包括货物名称、规格要求、采购数量、采购预算如下：</w:t>
      </w:r>
    </w:p>
    <w:tbl>
      <w:tblPr>
        <w:tblStyle w:val="3"/>
        <w:tblW w:w="8325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2640"/>
        <w:gridCol w:w="1545"/>
        <w:gridCol w:w="930"/>
        <w:gridCol w:w="108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货物名称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预算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深圳市盐田区图书馆2024年度邮发报刊订购项目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邮发报纸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1项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40万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采购方提供采购清单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vMerge w:val="continue"/>
            <w:tcBorders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邮发期刊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1项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6.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服务要求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AU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投标人应</w:t>
      </w:r>
      <w:r>
        <w:rPr>
          <w:rFonts w:hint="eastAsia" w:ascii="仿宋_GB2312" w:hAnsi="仿宋_GB2312" w:eastAsia="仿宋_GB2312" w:cs="仿宋_GB2312"/>
          <w:sz w:val="28"/>
          <w:szCs w:val="28"/>
          <w:lang w:val="en-AU"/>
        </w:rPr>
        <w:t>严格按照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采购人提供的订购</w:t>
      </w:r>
      <w:r>
        <w:rPr>
          <w:rFonts w:hint="eastAsia" w:ascii="仿宋_GB2312" w:hAnsi="仿宋_GB2312" w:eastAsia="仿宋_GB2312" w:cs="仿宋_GB2312"/>
          <w:sz w:val="28"/>
          <w:szCs w:val="28"/>
          <w:lang w:val="en-AU"/>
        </w:rPr>
        <w:t>清单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订购报刊</w:t>
      </w:r>
      <w:r>
        <w:rPr>
          <w:rFonts w:hint="eastAsia" w:ascii="仿宋_GB2312" w:hAnsi="仿宋_GB2312" w:eastAsia="仿宋_GB2312" w:cs="仿宋_GB2312"/>
          <w:sz w:val="28"/>
          <w:szCs w:val="28"/>
          <w:lang w:val="en-AU"/>
        </w:rPr>
        <w:t>（推迟出版、停刊除外）</w:t>
      </w:r>
      <w:r>
        <w:rPr>
          <w:rFonts w:hint="eastAsia" w:ascii="仿宋_GB2312" w:hAnsi="仿宋_GB2312" w:eastAsia="仿宋_GB2312" w:cs="仿宋_GB2312"/>
          <w:sz w:val="28"/>
          <w:szCs w:val="28"/>
          <w:lang w:val="en-AU"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val="en-AU"/>
        </w:rPr>
        <w:t>除非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sz w:val="28"/>
          <w:szCs w:val="28"/>
          <w:lang w:val="en-AU"/>
        </w:rPr>
        <w:t>作出调整变动，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投标人</w:t>
      </w:r>
      <w:r>
        <w:rPr>
          <w:rFonts w:hint="eastAsia" w:ascii="仿宋_GB2312" w:hAnsi="仿宋_GB2312" w:eastAsia="仿宋_GB2312" w:cs="仿宋_GB2312"/>
          <w:sz w:val="28"/>
          <w:szCs w:val="28"/>
          <w:lang w:val="en-AU"/>
        </w:rPr>
        <w:t>保证不随意增减清单中的报刊品种和数量。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投标人应保证所供应报刊的质量，包括报刊装订与印刷质量；保证所供应报刊的内容、版本及进货来源合法，并承担相应的法律责任。若验收时发现有污染、图文不清、缺页、倒装、缺附件等不合格的报刊，以及与订单不符的报刊，不能以已加工为由拒绝换刊或退刊，由上述原因造成的损失及费用全部由投标人承担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）投标人每日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至少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一次免费为采购人配送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，送达采购人指定的具体地点，并附带每批送刊的清单交采购人签收确认，对采购人的催缺请求应在五个工作日之内作出响应，对于未能补缺的期刊应提供免费复制服务。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对于采购人提交的期刊订单，投标人应保证不低于97%的订到率，并保证不低于95%的到刊完整率。对采购人所订的期刊如出现停刊、合并、拆分、载体变化等情况，投标人在得到准确信息后应及时通告采购人；对采购人所订期刊，未能在规定到刊时间内到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的，投标人应在每一季度末提供当季缺到目录，说明缺到原因，并退还相应款项差额。</w:t>
      </w:r>
    </w:p>
    <w:p>
      <w:pPr>
        <w:spacing w:after="0" w:line="240" w:lineRule="auto"/>
        <w:ind w:firstLine="551" w:firstLineChars="196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拟订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供应商：中国邮政集团有限公司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深圳市罗湖局</w:t>
      </w:r>
    </w:p>
    <w:p>
      <w:pPr>
        <w:spacing w:after="0" w:line="240" w:lineRule="auto"/>
        <w:ind w:firstLine="551" w:firstLineChars="196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三、投标文件要求</w:t>
      </w:r>
    </w:p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投标人的投标文件中应包含以下内容（投标文件密封，一式两份，一正一副。所有证件均须真实、有效，原件、复印件均须加盖公章，缺少以下任意一项内容即作无效标处理）：</w:t>
      </w:r>
    </w:p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1.投标报价清单；</w:t>
      </w:r>
    </w:p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2.营业执照副本复印件；</w:t>
      </w:r>
    </w:p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.开户银行、户名、账号（加盖公章）；</w:t>
      </w:r>
    </w:p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.投标代表身份证复印件；如非法定代表人投标，另提供法定代表人授权委托书原件、法定代表人身份证复印件；投标代表需提供在本单位近三个月缴纳社保的凭证;</w:t>
      </w:r>
    </w:p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.投标人服务承诺书；</w:t>
      </w:r>
    </w:p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.其他相关材料（投标人认为需要提供的材料）。</w:t>
      </w:r>
    </w:p>
    <w:p>
      <w:pPr>
        <w:spacing w:after="0" w:line="240" w:lineRule="auto"/>
        <w:ind w:firstLine="551" w:firstLineChars="196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四、中标办法</w:t>
      </w:r>
    </w:p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根据报价、服务承诺等确定拟中标人。</w:t>
      </w:r>
    </w:p>
    <w:p>
      <w:pPr>
        <w:spacing w:after="0" w:line="240" w:lineRule="auto"/>
        <w:ind w:firstLine="551" w:firstLineChars="196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、服务期限</w:t>
      </w:r>
    </w:p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1.成交供应商应在成交通知书发出后15日内与采购单位签订合同。</w:t>
      </w:r>
    </w:p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2.服务期限：从202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年1月1日202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年12月31日。</w:t>
      </w:r>
    </w:p>
    <w:p>
      <w:pPr>
        <w:spacing w:after="0" w:line="240" w:lineRule="auto"/>
        <w:ind w:firstLine="551" w:firstLineChars="196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七、付款方式</w:t>
      </w:r>
    </w:p>
    <w:p>
      <w:pPr>
        <w:spacing w:after="0" w:line="24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中标人在核实采购人订购清单后，根据实际订购清单确定支付金额（总价不超预算）。采购人分两期向支付订购总费用，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首期款自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合同签订之日起10个工作日内支付，金额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不低于总额的50%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；尾期款于202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年第一季度内支付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spacing w:after="0" w:line="240" w:lineRule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</w:p>
    <w:p>
      <w:pPr>
        <w:spacing w:after="0" w:line="240" w:lineRule="auto"/>
        <w:ind w:firstLine="562" w:firstLineChars="200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：投标报价清单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深圳市盐田区图书馆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6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年10月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/>
          <w:color w:val="auto"/>
          <w:sz w:val="24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24"/>
          <w:highlight w:val="none"/>
          <w:lang w:eastAsia="zh-CN"/>
        </w:rPr>
        <w:br w:type="page"/>
      </w:r>
    </w:p>
    <w:p>
      <w:pPr>
        <w:spacing w:before="100" w:line="340" w:lineRule="exact"/>
        <w:rPr>
          <w:rFonts w:ascii="黑体" w:hAnsi="黑体" w:eastAsia="黑体"/>
          <w:color w:val="auto"/>
          <w:sz w:val="24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24"/>
          <w:highlight w:val="none"/>
          <w:lang w:eastAsia="zh-CN"/>
        </w:rPr>
        <w:t>附件</w:t>
      </w:r>
      <w:r>
        <w:rPr>
          <w:rFonts w:hint="eastAsia" w:ascii="黑体" w:hAnsi="黑体" w:eastAsia="黑体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黑体" w:hAnsi="黑体" w:eastAsia="黑体"/>
          <w:color w:val="auto"/>
          <w:sz w:val="24"/>
          <w:highlight w:val="none"/>
          <w:lang w:eastAsia="zh-CN"/>
        </w:rPr>
        <w:t>：投标报价清单：</w:t>
      </w:r>
    </w:p>
    <w:p>
      <w:pPr>
        <w:spacing w:after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  <w:t>投标报价清单</w:t>
      </w:r>
    </w:p>
    <w:p>
      <w:pPr>
        <w:spacing w:after="0" w:line="240" w:lineRule="auto"/>
        <w:rPr>
          <w:rFonts w:ascii="仿宋" w:hAnsi="仿宋" w:eastAsia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采购项目名称：</w:t>
      </w:r>
      <w:r>
        <w:rPr>
          <w:rFonts w:hint="eastAsia" w:ascii="仿宋_GB2312" w:hAnsi="仿宋_GB2312" w:eastAsia="仿宋_GB2312" w:cs="仿宋_GB2312"/>
          <w:sz w:val="24"/>
          <w:szCs w:val="24"/>
        </w:rPr>
        <w:t>深圳市盐田区图书馆2024年度邮发报刊订购项目</w:t>
      </w:r>
    </w:p>
    <w:p>
      <w:pPr>
        <w:spacing w:after="0" w:line="24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采购项目编号：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YTLIB202310</w:t>
      </w:r>
      <w:r>
        <w:rPr>
          <w:rFonts w:hint="eastAsia" w:ascii="仿宋_GB2312" w:hAnsi="仿宋_GB2312" w:eastAsia="仿宋_GB2312" w:cs="仿宋_GB2312"/>
          <w:sz w:val="24"/>
          <w:szCs w:val="24"/>
        </w:rPr>
        <w:t>-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09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8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投标报价(折扣)</w:t>
            </w:r>
          </w:p>
        </w:tc>
        <w:tc>
          <w:tcPr>
            <w:tcW w:w="8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3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深圳市盐田区图书馆2024年度邮发报刊订购项目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邮发报纸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总价以最终订购清单为准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3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邮发期刊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="100" w:line="340" w:lineRule="exact"/>
        <w:ind w:firstLine="4581" w:firstLineChars="1909"/>
        <w:rPr>
          <w:rFonts w:ascii="仿宋" w:hAnsi="仿宋" w:eastAsia="仿宋"/>
          <w:color w:val="auto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授权代表签字：</w:t>
      </w:r>
    </w:p>
    <w:p>
      <w:pPr>
        <w:spacing w:before="100" w:line="340" w:lineRule="exact"/>
        <w:ind w:right="120" w:firstLine="4560" w:firstLineChars="1900"/>
        <w:rPr>
          <w:rFonts w:ascii="仿宋" w:hAnsi="仿宋" w:eastAsia="仿宋"/>
          <w:color w:val="auto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投标人（盖章）：</w:t>
      </w:r>
    </w:p>
    <w:p>
      <w:pPr>
        <w:wordWrap w:val="0"/>
        <w:spacing w:before="100" w:line="340" w:lineRule="exact"/>
        <w:ind w:firstLine="480" w:firstLineChars="200"/>
        <w:jc w:val="right"/>
        <w:rPr>
          <w:rFonts w:ascii="仿宋" w:hAnsi="仿宋" w:eastAsia="仿宋"/>
          <w:color w:val="auto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 xml:space="preserve">             20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MjE4NjlmODRkZmI1YjJjMTJhOTg3MzNhYTM4NDQifQ=="/>
  </w:docVars>
  <w:rsids>
    <w:rsidRoot w:val="00000000"/>
    <w:rsid w:val="101444B3"/>
    <w:rsid w:val="12D955AF"/>
    <w:rsid w:val="1C837C6F"/>
    <w:rsid w:val="2A97233B"/>
    <w:rsid w:val="3FE71B6C"/>
    <w:rsid w:val="485B51BE"/>
    <w:rsid w:val="607304B8"/>
    <w:rsid w:val="617F2A17"/>
    <w:rsid w:val="635B6050"/>
    <w:rsid w:val="792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2312332</dc:creator>
  <cp:lastModifiedBy>李许光</cp:lastModifiedBy>
  <dcterms:modified xsi:type="dcterms:W3CDTF">2023-10-09T01:09:10Z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50579CA5C4E441BD81F78BF8EF29B158_12</vt:lpwstr>
  </property>
</Properties>
</file>