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大赛奖项设置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一等奖，专家评分90分及以上1名，奖金100万元；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二等奖，专家评分80分及以上2名，奖金各50万元；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三等奖，专家评分70分及以上3名，奖金各20万元；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优秀奖，专家评分60分及以上4名，奖金各5万元；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新锐奖，专家评分60分及以上20名，无奖金。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奖项合计：1+2+3+4+20=30个。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奖金合计：1*100+2*50+3*20+4*5=280万元。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有关要求：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1.参加一等奖、二等奖、三等奖、优秀奖的参赛企业需为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2024年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2月21日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前（含2024年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2月21日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注册地在盐田区的独立法人企业，且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获奖项目需达到项目评定要求，即评分达标。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2.参加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新锐奖的参赛企业需为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2024年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2月21日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前（含2024年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2月21日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注册地在中国的独立法人企业，且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获奖项目需达到项目评定要求，即评分达标。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3.若多个项目均符合条件，则按分数由高至低排序依次选取获奖项目，未获奖项目可参与其他奖项评选，若无项目符合条件则奖项轮空。</w:t>
      </w:r>
      <w:bookmarkStart w:id="0" w:name="_GoBack"/>
      <w:bookmarkEnd w:id="0"/>
    </w:p>
    <w:p/>
    <w:sectPr>
      <w:footerReference r:id="rId3" w:type="default"/>
      <w:pgSz w:w="11906" w:h="16838"/>
      <w:pgMar w:top="2098" w:right="1531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A28B01"/>
    <w:rsid w:val="FAA28B01"/>
    <w:rsid w:val="FF7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2023-11-14T00:47:00Z</dcterms:created>
  <dc:creator>yantian</dc:creator>
  <cp:lastModifiedBy>会飞的快乐兔</cp:lastModifiedBy>
  <dcterms:modified xsi:type="dcterms:W3CDTF">2023-12-20T10:48:50Z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