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32"/>
        </w:rPr>
      </w:pPr>
    </w:p>
    <w:tbl>
      <w:tblPr>
        <w:tblStyle w:val="12"/>
        <w:tblW w:w="9902" w:type="dxa"/>
        <w:jc w:val="center"/>
        <w:tblCellSpacing w:w="0" w:type="dxa"/>
        <w:tblInd w:w="0" w:type="dxa"/>
        <w:tblLayout w:type="fixed"/>
        <w:tblCellMar>
          <w:top w:w="45" w:type="dxa"/>
          <w:left w:w="45" w:type="dxa"/>
          <w:bottom w:w="45" w:type="dxa"/>
          <w:right w:w="45" w:type="dxa"/>
        </w:tblCellMar>
      </w:tblPr>
      <w:tblGrid>
        <w:gridCol w:w="621"/>
        <w:gridCol w:w="209"/>
        <w:gridCol w:w="690"/>
        <w:gridCol w:w="10"/>
        <w:gridCol w:w="2955"/>
        <w:gridCol w:w="62"/>
        <w:gridCol w:w="795"/>
        <w:gridCol w:w="18"/>
        <w:gridCol w:w="1105"/>
        <w:gridCol w:w="3174"/>
        <w:gridCol w:w="263"/>
      </w:tblGrid>
      <w:tr>
        <w:tblPrEx>
          <w:tblLayout w:type="fixed"/>
          <w:tblCellMar>
            <w:top w:w="45" w:type="dxa"/>
            <w:left w:w="45" w:type="dxa"/>
            <w:bottom w:w="45" w:type="dxa"/>
            <w:right w:w="45" w:type="dxa"/>
          </w:tblCellMar>
        </w:tblPrEx>
        <w:trPr>
          <w:gridBefore w:val="1"/>
          <w:wBefore w:w="621" w:type="dxa"/>
          <w:tblCellSpacing w:w="0" w:type="dxa"/>
          <w:jc w:val="center"/>
        </w:trPr>
        <w:tc>
          <w:tcPr>
            <w:tcW w:w="9281" w:type="dxa"/>
            <w:gridSpan w:val="10"/>
            <w:tcBorders>
              <w:top w:val="nil"/>
              <w:left w:val="nil"/>
              <w:bottom w:val="nil"/>
              <w:right w:val="nil"/>
            </w:tcBorders>
            <w:vAlign w:val="center"/>
          </w:tcPr>
          <w:p>
            <w:pPr>
              <w:widowControl/>
              <w:jc w:val="center"/>
              <w:rPr>
                <w:b/>
                <w:bCs/>
                <w:sz w:val="28"/>
                <w:szCs w:val="28"/>
              </w:rPr>
            </w:pPr>
            <w:r>
              <w:rPr>
                <w:rFonts w:hint="eastAsia"/>
                <w:b/>
                <w:bCs/>
                <w:sz w:val="28"/>
                <w:szCs w:val="28"/>
              </w:rPr>
              <w:t>盐田区国民体质监测工作项目信息评分表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563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评分项</w:t>
            </w:r>
          </w:p>
        </w:tc>
        <w:tc>
          <w:tcPr>
            <w:tcW w:w="31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563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技术部分</w:t>
            </w:r>
          </w:p>
        </w:tc>
        <w:tc>
          <w:tcPr>
            <w:tcW w:w="31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评分因素</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权重</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1</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项目报价</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10</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pPr>
            <w:r>
              <w:t>采用低价优先法计算，即满足</w:t>
            </w:r>
            <w:r>
              <w:rPr>
                <w:rFonts w:hint="eastAsia"/>
              </w:rPr>
              <w:t>谈判文件</w:t>
            </w:r>
            <w:r>
              <w:t>要求且</w:t>
            </w:r>
            <w:r>
              <w:rPr>
                <w:rFonts w:hint="eastAsia"/>
              </w:rPr>
              <w:t>报价</w:t>
            </w:r>
            <w:r>
              <w:t>最低的为评标基准价，其</w:t>
            </w:r>
            <w:r>
              <w:rPr>
                <w:rFonts w:hint="eastAsia"/>
              </w:rPr>
              <w:t>报价</w:t>
            </w:r>
            <w:r>
              <w:t>为满分。其他</w:t>
            </w:r>
            <w:r>
              <w:rPr>
                <w:rFonts w:hint="eastAsia"/>
              </w:rPr>
              <w:t>谈判供应商</w:t>
            </w:r>
            <w:r>
              <w:t>的</w:t>
            </w:r>
            <w:r>
              <w:rPr>
                <w:rFonts w:hint="eastAsia"/>
              </w:rPr>
              <w:t>报价得分</w:t>
            </w:r>
            <w:r>
              <w:t>统一按照下列公式计算：</w:t>
            </w:r>
          </w:p>
          <w:p>
            <w:pPr>
              <w:spacing w:after="240"/>
              <w:rPr>
                <w:rFonts w:ascii="宋体" w:hAnsi="宋体" w:cs="宋体"/>
                <w:szCs w:val="21"/>
              </w:rPr>
            </w:pPr>
            <w:r>
              <w:t xml:space="preserve">报价得分=(评标基准价／投标报价)×100 </w:t>
            </w:r>
            <w:r>
              <w:br w:type="textWrapping"/>
            </w:r>
            <w:r>
              <w:rPr>
                <w:rFonts w:hint="eastAsia"/>
              </w:rPr>
              <w:t>备注：项目报价每年上限为</w:t>
            </w:r>
            <w:r>
              <w:t>32</w:t>
            </w:r>
            <w:r>
              <w:rPr>
                <w:rFonts w:hint="eastAsia"/>
              </w:rPr>
              <w:t>万，报价超过</w:t>
            </w:r>
            <w:r>
              <w:t>32</w:t>
            </w:r>
            <w:r>
              <w:rPr>
                <w:rFonts w:hint="eastAsia"/>
              </w:rPr>
              <w:t>万的为无效报价，此项不得分。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2</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szCs w:val="21"/>
              </w:rPr>
              <w:t>安全生产承诺</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5</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wordWrap w:val="0"/>
              <w:spacing w:after="240"/>
              <w:rPr>
                <w:szCs w:val="21"/>
              </w:rPr>
            </w:pPr>
            <w:r>
              <w:rPr>
                <w:rFonts w:hint="eastAsia"/>
                <w:szCs w:val="21"/>
              </w:rPr>
              <w:t>供应商</w:t>
            </w:r>
            <w:r>
              <w:rPr>
                <w:szCs w:val="21"/>
              </w:rPr>
              <w:t>提供承诺函（格式自定），承诺内容至少包括：在项目履约期间，要强化安全生产管理，制定安全生产指定，落实主体责任，确保项目安全运营等内容。</w:t>
            </w:r>
          </w:p>
          <w:p>
            <w:pPr>
              <w:spacing w:after="240"/>
              <w:rPr>
                <w:rFonts w:ascii="宋体" w:hAnsi="宋体" w:cs="宋体"/>
                <w:szCs w:val="21"/>
              </w:rPr>
            </w:pPr>
            <w:r>
              <w:rPr>
                <w:szCs w:val="21"/>
              </w:rPr>
              <w:t>按要求提供承诺函的得100%，未提供或承诺内容不满足要求的均不得分。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3</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违约承诺</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5</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wordWrap w:val="0"/>
              <w:spacing w:after="240"/>
              <w:rPr>
                <w:szCs w:val="21"/>
              </w:rPr>
            </w:pPr>
            <w:r>
              <w:rPr>
                <w:szCs w:val="21"/>
              </w:rPr>
              <w:t>评审内容：</w:t>
            </w:r>
          </w:p>
          <w:p>
            <w:pPr>
              <w:wordWrap w:val="0"/>
              <w:spacing w:after="240"/>
              <w:rPr>
                <w:szCs w:val="21"/>
              </w:rPr>
            </w:pPr>
            <w:r>
              <w:rPr>
                <w:szCs w:val="21"/>
              </w:rPr>
              <w:t>1.</w:t>
            </w:r>
            <w:r>
              <w:rPr>
                <w:rFonts w:hint="eastAsia"/>
                <w:szCs w:val="21"/>
              </w:rPr>
              <w:t>体测人员</w:t>
            </w:r>
            <w:r>
              <w:rPr>
                <w:szCs w:val="21"/>
              </w:rPr>
              <w:t>严格按照</w:t>
            </w:r>
            <w:r>
              <w:rPr>
                <w:rFonts w:hint="eastAsia"/>
                <w:szCs w:val="21"/>
              </w:rPr>
              <w:t>谈判文件</w:t>
            </w:r>
            <w:r>
              <w:rPr>
                <w:szCs w:val="21"/>
              </w:rPr>
              <w:t>及投标承诺配置；</w:t>
            </w:r>
          </w:p>
          <w:p>
            <w:pPr>
              <w:wordWrap w:val="0"/>
              <w:spacing w:after="240"/>
              <w:rPr>
                <w:szCs w:val="21"/>
              </w:rPr>
            </w:pPr>
            <w:r>
              <w:rPr>
                <w:szCs w:val="21"/>
              </w:rPr>
              <w:t>2.服务质量达到</w:t>
            </w:r>
            <w:r>
              <w:rPr>
                <w:rFonts w:hint="eastAsia"/>
                <w:szCs w:val="21"/>
              </w:rPr>
              <w:t>文件</w:t>
            </w:r>
            <w:r>
              <w:rPr>
                <w:szCs w:val="21"/>
              </w:rPr>
              <w:t>要求；</w:t>
            </w:r>
          </w:p>
          <w:p>
            <w:pPr>
              <w:wordWrap w:val="0"/>
              <w:spacing w:after="240"/>
              <w:rPr>
                <w:szCs w:val="21"/>
              </w:rPr>
            </w:pPr>
            <w:r>
              <w:rPr>
                <w:szCs w:val="21"/>
              </w:rPr>
              <w:t>3.对未能达到管理要求承担相应管理责任。</w:t>
            </w:r>
          </w:p>
          <w:p>
            <w:pPr>
              <w:spacing w:after="240"/>
              <w:rPr>
                <w:szCs w:val="21"/>
              </w:rPr>
            </w:pPr>
            <w:r>
              <w:rPr>
                <w:szCs w:val="21"/>
              </w:rPr>
              <w:t>标准：要求提供承诺（格式自拟）作为得分依据，未提供承诺的不得分。若隐瞒情况虚假承诺将被认定为投标无效并报主管部门处理。</w:t>
            </w:r>
          </w:p>
          <w:p>
            <w:pPr>
              <w:spacing w:after="240"/>
              <w:rPr>
                <w:szCs w:val="21"/>
              </w:rPr>
            </w:pPr>
            <w:r>
              <w:rPr>
                <w:szCs w:val="21"/>
              </w:rPr>
              <w:t>评标委员会根据响应情况进行打分，承诺满足以上3点得100分，未满足不得分。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2346"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4</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体测团队资质</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pPr>
            <w:r>
              <w:rPr>
                <w:rFonts w:ascii="宋体" w:hAnsi="宋体"/>
                <w:szCs w:val="21"/>
              </w:rPr>
              <w:t>20</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rPr>
                <w:rFonts w:ascii="宋体" w:hAnsi="宋体"/>
                <w:szCs w:val="21"/>
              </w:rPr>
            </w:pPr>
            <w:r>
              <w:rPr>
                <w:rFonts w:hint="eastAsia" w:ascii="宋体" w:hAnsi="宋体"/>
                <w:szCs w:val="21"/>
              </w:rPr>
              <w:t>（一）评分内容：</w:t>
            </w:r>
          </w:p>
          <w:p>
            <w:pPr>
              <w:spacing w:after="240"/>
              <w:rPr>
                <w:rFonts w:ascii="宋体" w:hAnsi="宋体"/>
                <w:szCs w:val="21"/>
              </w:rPr>
            </w:pPr>
            <w:r>
              <w:rPr>
                <w:rFonts w:hint="eastAsia" w:ascii="宋体" w:hAnsi="宋体"/>
                <w:szCs w:val="21"/>
              </w:rPr>
              <w:t>根据体测团队成员情况进行评分：</w:t>
            </w:r>
          </w:p>
          <w:p>
            <w:pPr>
              <w:spacing w:after="240"/>
              <w:rPr>
                <w:rFonts w:ascii="宋体" w:hAnsi="宋体" w:cs="宋体"/>
                <w:sz w:val="18"/>
                <w:szCs w:val="18"/>
              </w:rPr>
            </w:pPr>
            <w:r>
              <w:rPr>
                <w:rFonts w:hint="eastAsia" w:ascii="宋体" w:hAnsi="宋体"/>
                <w:szCs w:val="21"/>
              </w:rPr>
              <w:t>1.不少于</w:t>
            </w:r>
            <w:r>
              <w:rPr>
                <w:rFonts w:ascii="宋体" w:hAnsi="宋体"/>
                <w:szCs w:val="21"/>
              </w:rPr>
              <w:t>15</w:t>
            </w:r>
            <w:r>
              <w:rPr>
                <w:rFonts w:hint="eastAsia" w:ascii="宋体" w:hAnsi="宋体"/>
                <w:szCs w:val="21"/>
              </w:rPr>
              <w:t>名体质测试专职人员得</w:t>
            </w:r>
            <w:r>
              <w:rPr>
                <w:rFonts w:ascii="宋体" w:hAnsi="宋体"/>
                <w:szCs w:val="21"/>
              </w:rPr>
              <w:t>50</w:t>
            </w:r>
            <w:r>
              <w:rPr>
                <w:rFonts w:hint="eastAsia" w:ascii="宋体" w:hAnsi="宋体"/>
                <w:szCs w:val="21"/>
              </w:rPr>
              <w:t>分，否则不得分；</w:t>
            </w:r>
          </w:p>
          <w:p>
            <w:pPr>
              <w:spacing w:after="240"/>
              <w:rPr>
                <w:rFonts w:ascii="宋体" w:hAnsi="宋体"/>
                <w:szCs w:val="21"/>
              </w:rPr>
            </w:pPr>
            <w:r>
              <w:rPr>
                <w:rFonts w:hint="eastAsia" w:ascii="宋体" w:hAnsi="宋体"/>
                <w:szCs w:val="21"/>
              </w:rPr>
              <w:t>2.体质测试专职人员持有《深圳市国民体质测定工作上岗证》</w:t>
            </w:r>
            <w:r>
              <w:rPr>
                <w:rStyle w:val="15"/>
                <w:rFonts w:hint="eastAsia"/>
              </w:rPr>
              <w:t>；</w:t>
            </w:r>
            <w:r>
              <w:rPr>
                <w:rFonts w:hint="eastAsia" w:ascii="宋体" w:hAnsi="宋体"/>
                <w:szCs w:val="21"/>
              </w:rPr>
              <w:t>以上两项累计加分，满分100分。</w:t>
            </w:r>
          </w:p>
          <w:p>
            <w:pPr>
              <w:spacing w:after="240"/>
              <w:rPr>
                <w:rFonts w:ascii="宋体" w:hAnsi="宋体"/>
                <w:szCs w:val="21"/>
              </w:rPr>
            </w:pPr>
            <w:r>
              <w:rPr>
                <w:rFonts w:hint="eastAsia" w:ascii="宋体" w:hAnsi="宋体"/>
                <w:szCs w:val="21"/>
              </w:rPr>
              <w:t>（二）评分依据：</w:t>
            </w:r>
          </w:p>
          <w:p>
            <w:pPr>
              <w:spacing w:after="240"/>
              <w:rPr>
                <w:rFonts w:ascii="宋体" w:hAnsi="宋体"/>
                <w:szCs w:val="21"/>
              </w:rPr>
            </w:pPr>
            <w:r>
              <w:rPr>
                <w:rFonts w:hint="eastAsia" w:ascii="宋体" w:hAnsi="宋体"/>
                <w:szCs w:val="21"/>
              </w:rPr>
              <w:t>《深圳市国民体质测定工作上岗证》要求提供扫描件，原件备查。评分中出现无证明资料或专家无法凭所提供资料判断是否得分的情况，一律作不得分处理。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2</w:t>
            </w:r>
          </w:p>
        </w:tc>
        <w:tc>
          <w:tcPr>
            <w:tcW w:w="5635" w:type="dxa"/>
            <w:gridSpan w:val="7"/>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服务部分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spacing w:after="240"/>
              <w:jc w:val="center"/>
              <w:rPr>
                <w:rFonts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序号</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评分因素</w:t>
            </w:r>
          </w:p>
        </w:tc>
        <w:tc>
          <w:tcPr>
            <w:tcW w:w="79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权重</w:t>
            </w:r>
          </w:p>
        </w:tc>
        <w:tc>
          <w:tcPr>
            <w:tcW w:w="1123"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510"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jc w:val="center"/>
              <w:rPr>
                <w:rFonts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1</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服务网点（场地）</w:t>
            </w:r>
          </w:p>
        </w:tc>
        <w:tc>
          <w:tcPr>
            <w:tcW w:w="813"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5</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rPr>
                <w:rFonts w:ascii="宋体" w:hAnsi="宋体"/>
                <w:szCs w:val="21"/>
              </w:rPr>
            </w:pPr>
            <w:r>
              <w:rPr>
                <w:rFonts w:ascii="宋体" w:hAnsi="宋体"/>
                <w:szCs w:val="21"/>
              </w:rPr>
              <w:t>深圳供应商，</w:t>
            </w:r>
            <w:r>
              <w:rPr>
                <w:rFonts w:hint="eastAsia" w:ascii="宋体" w:hAnsi="宋体"/>
                <w:szCs w:val="21"/>
              </w:rPr>
              <w:t>投标人具有所投服务经营范围；售后机构必须同时提供售后服务合作合同及售后机构营业执照扫描件作为得分依据</w:t>
            </w:r>
            <w:r>
              <w:rPr>
                <w:rFonts w:ascii="宋体" w:hAnsi="宋体"/>
                <w:szCs w:val="21"/>
              </w:rPr>
              <w:t>，原件备查）的，得100分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120"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jc w:val="center"/>
              <w:rPr>
                <w:rFonts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2</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项目完成后的服务承诺</w:t>
            </w:r>
          </w:p>
        </w:tc>
        <w:tc>
          <w:tcPr>
            <w:tcW w:w="813"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5</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rPr>
                <w:rFonts w:ascii="宋体" w:hAnsi="宋体"/>
                <w:b/>
                <w:i/>
                <w:szCs w:val="21"/>
                <w:u w:val="single"/>
              </w:rPr>
            </w:pPr>
            <w:r>
              <w:rPr>
                <w:rFonts w:hint="eastAsia" w:ascii="宋体" w:hAnsi="宋体"/>
                <w:szCs w:val="21"/>
              </w:rPr>
              <w:t>（一）评分内容：</w:t>
            </w:r>
          </w:p>
          <w:p>
            <w:pPr>
              <w:spacing w:after="240"/>
              <w:rPr>
                <w:rFonts w:ascii="宋体" w:hAnsi="宋体"/>
                <w:szCs w:val="21"/>
              </w:rPr>
            </w:pPr>
            <w:r>
              <w:rPr>
                <w:rFonts w:hint="eastAsia" w:ascii="宋体" w:hAnsi="宋体"/>
                <w:szCs w:val="21"/>
              </w:rPr>
              <w:t>针对本项目的需求提供项目完成（服务期满）后的服务承诺，内容包括但不限于：</w:t>
            </w:r>
          </w:p>
          <w:p>
            <w:pPr>
              <w:spacing w:after="240"/>
              <w:rPr>
                <w:rFonts w:ascii="宋体" w:hAnsi="宋体"/>
                <w:szCs w:val="21"/>
              </w:rPr>
            </w:pPr>
            <w:r>
              <w:rPr>
                <w:rFonts w:hint="eastAsia" w:ascii="宋体" w:hAnsi="宋体"/>
                <w:szCs w:val="21"/>
              </w:rPr>
              <w:t>1.供应商服务期满后与后续服务公司的交接承诺；</w:t>
            </w:r>
          </w:p>
          <w:p>
            <w:pPr>
              <w:spacing w:after="240"/>
              <w:rPr>
                <w:rFonts w:ascii="宋体" w:hAnsi="宋体"/>
                <w:szCs w:val="21"/>
              </w:rPr>
            </w:pPr>
            <w:r>
              <w:rPr>
                <w:rFonts w:hint="eastAsia" w:ascii="宋体" w:hAnsi="宋体"/>
                <w:szCs w:val="21"/>
              </w:rPr>
              <w:t>2.供应商服务期满，后续服务公司未到位前，仍按原合同服务承诺提供服务的承诺。</w:t>
            </w:r>
          </w:p>
          <w:p>
            <w:pPr>
              <w:spacing w:after="240"/>
              <w:rPr>
                <w:rFonts w:ascii="宋体" w:hAnsi="宋体"/>
                <w:szCs w:val="21"/>
              </w:rPr>
            </w:pPr>
            <w:r>
              <w:rPr>
                <w:rFonts w:hint="eastAsia" w:ascii="宋体" w:hAnsi="宋体"/>
                <w:szCs w:val="21"/>
              </w:rPr>
              <w:t>（二）评分依据：</w:t>
            </w:r>
          </w:p>
          <w:p>
            <w:pPr>
              <w:spacing w:after="240"/>
              <w:rPr>
                <w:rFonts w:ascii="宋体" w:hAnsi="宋体"/>
                <w:szCs w:val="21"/>
              </w:rPr>
            </w:pPr>
            <w:r>
              <w:rPr>
                <w:rFonts w:hint="eastAsia" w:ascii="宋体" w:hAnsi="宋体"/>
                <w:szCs w:val="21"/>
              </w:rPr>
              <w:t>供应商需提供违约承诺函（格式自拟），承诺函包括上述二项内容得100分。未按谈判文件要求或未承诺的不得分。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3</w:t>
            </w:r>
          </w:p>
        </w:tc>
        <w:tc>
          <w:tcPr>
            <w:tcW w:w="5635" w:type="dxa"/>
            <w:gridSpan w:val="7"/>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综合实力部分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ascii="宋体" w:hAnsi="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81"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spacing w:after="240"/>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序号</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评分因素</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权重</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1740"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1</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同类项目业绩情况</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color w:val="FF0000"/>
                <w:szCs w:val="21"/>
              </w:rPr>
            </w:pPr>
            <w:r>
              <w:rPr>
                <w:rFonts w:ascii="宋体" w:hAnsi="宋体"/>
                <w:szCs w:val="21"/>
              </w:rPr>
              <w:t>20</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rPr>
                <w:rFonts w:ascii="宋体" w:hAnsi="宋体"/>
                <w:szCs w:val="21"/>
              </w:rPr>
            </w:pPr>
            <w:r>
              <w:rPr>
                <w:rFonts w:hint="eastAsia" w:ascii="宋体" w:hAnsi="宋体"/>
                <w:szCs w:val="21"/>
              </w:rPr>
              <w:t>（一）评分内容：</w:t>
            </w:r>
          </w:p>
          <w:p>
            <w:pPr>
              <w:spacing w:after="240"/>
              <w:rPr>
                <w:rFonts w:ascii="宋体" w:hAnsi="宋体" w:cs="宋体"/>
                <w:sz w:val="18"/>
                <w:szCs w:val="18"/>
              </w:rPr>
            </w:pPr>
            <w:r>
              <w:rPr>
                <w:rFonts w:hint="eastAsia" w:hAnsi="宋体"/>
              </w:rPr>
              <w:t>2</w:t>
            </w:r>
            <w:r>
              <w:rPr>
                <w:rFonts w:hAnsi="宋体"/>
              </w:rPr>
              <w:t>018</w:t>
            </w:r>
            <w:r>
              <w:rPr>
                <w:rFonts w:hint="eastAsia" w:hAnsi="宋体"/>
              </w:rPr>
              <w:t>年至今与市级以上各级体育行政部门签订过国民体质测定相关业务；每有一项业绩得</w:t>
            </w:r>
            <w:r>
              <w:rPr>
                <w:rFonts w:hAnsi="宋体"/>
              </w:rPr>
              <w:t>20</w:t>
            </w:r>
            <w:r>
              <w:rPr>
                <w:rFonts w:hint="eastAsia" w:hAnsi="宋体"/>
              </w:rPr>
              <w:t>分，最高得</w:t>
            </w:r>
            <w:r>
              <w:rPr>
                <w:rFonts w:hAnsi="宋体"/>
              </w:rPr>
              <w:t>100</w:t>
            </w:r>
            <w:r>
              <w:rPr>
                <w:rFonts w:hint="eastAsia" w:hAnsi="宋体"/>
              </w:rPr>
              <w:t>分；</w:t>
            </w:r>
            <w:r>
              <w:rPr>
                <w:rFonts w:hint="eastAsia"/>
              </w:rPr>
              <w:t>。</w:t>
            </w:r>
          </w:p>
          <w:p>
            <w:pPr>
              <w:spacing w:after="240"/>
              <w:rPr>
                <w:rFonts w:ascii="宋体" w:hAnsi="宋体"/>
                <w:szCs w:val="21"/>
              </w:rPr>
            </w:pPr>
          </w:p>
          <w:p>
            <w:pPr>
              <w:spacing w:after="240"/>
              <w:rPr>
                <w:rFonts w:ascii="宋体" w:hAnsi="宋体"/>
                <w:szCs w:val="21"/>
              </w:rPr>
            </w:pPr>
            <w:r>
              <w:rPr>
                <w:rFonts w:hint="eastAsia" w:ascii="宋体" w:hAnsi="宋体"/>
                <w:szCs w:val="21"/>
              </w:rPr>
              <w:t>（二）评分依据：</w:t>
            </w:r>
          </w:p>
          <w:p>
            <w:pPr>
              <w:spacing w:after="240"/>
              <w:rPr>
                <w:rFonts w:ascii="宋体" w:hAnsi="宋体"/>
                <w:szCs w:val="21"/>
              </w:rPr>
            </w:pPr>
            <w:r>
              <w:rPr>
                <w:rFonts w:hint="eastAsia" w:ascii="宋体" w:hAnsi="宋体"/>
                <w:szCs w:val="21"/>
              </w:rPr>
              <w:t>1.要求同时提供合同关键信息，需加盖合同甲方公章（或甲方业务章）。</w:t>
            </w:r>
          </w:p>
          <w:p>
            <w:pPr>
              <w:spacing w:after="240"/>
              <w:rPr>
                <w:rFonts w:ascii="宋体" w:hAnsi="宋体"/>
                <w:szCs w:val="21"/>
              </w:rPr>
            </w:pPr>
            <w:r>
              <w:rPr>
                <w:rFonts w:hint="eastAsia" w:ascii="宋体" w:hAnsi="宋体"/>
                <w:szCs w:val="21"/>
              </w:rPr>
              <w:t>2.通过合同关键信息无法判断是否得分的，也可以提供能证明得分的其它证明资料，如项目报告或合同甲方出具的证明文件等。</w:t>
            </w:r>
          </w:p>
          <w:p>
            <w:pPr>
              <w:spacing w:after="240"/>
              <w:rPr>
                <w:rFonts w:ascii="宋体" w:hAnsi="宋体"/>
                <w:szCs w:val="21"/>
              </w:rPr>
            </w:pPr>
            <w:r>
              <w:rPr>
                <w:rFonts w:ascii="宋体" w:hAnsi="宋体"/>
                <w:szCs w:val="21"/>
              </w:rPr>
              <w:t>3</w:t>
            </w:r>
            <w:r>
              <w:rPr>
                <w:rFonts w:hint="eastAsia" w:ascii="宋体" w:hAnsi="宋体"/>
                <w:szCs w:val="21"/>
              </w:rPr>
              <w:t>.以上资料均要求提供扫描件，原件备查。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6013"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top w:val="single" w:color="auto" w:sz="4" w:space="0"/>
              <w:left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2</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bookmarkStart w:id="0" w:name="_GoBack"/>
            <w:bookmarkEnd w:id="0"/>
            <w:r>
              <w:rPr>
                <w:rFonts w:hint="eastAsia" w:ascii="宋体" w:hAnsi="宋体"/>
                <w:szCs w:val="21"/>
              </w:rPr>
              <w:t>履约评价</w:t>
            </w:r>
          </w:p>
        </w:tc>
        <w:tc>
          <w:tcPr>
            <w:tcW w:w="875" w:type="dxa"/>
            <w:gridSpan w:val="3"/>
            <w:tcBorders>
              <w:top w:val="single" w:color="auto" w:sz="4" w:space="0"/>
              <w:left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5</w:t>
            </w:r>
          </w:p>
        </w:tc>
        <w:tc>
          <w:tcPr>
            <w:tcW w:w="1105" w:type="dxa"/>
            <w:vMerge w:val="restart"/>
            <w:tcBorders>
              <w:top w:val="single" w:color="auto" w:sz="4" w:space="0"/>
              <w:left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专家评分</w:t>
            </w:r>
          </w:p>
        </w:tc>
        <w:tc>
          <w:tcPr>
            <w:tcW w:w="3174" w:type="dxa"/>
            <w:tcBorders>
              <w:top w:val="single" w:color="auto" w:sz="4" w:space="0"/>
              <w:left w:val="single" w:color="auto" w:sz="4" w:space="0"/>
              <w:right w:val="single" w:color="auto" w:sz="4" w:space="0"/>
            </w:tcBorders>
            <w:vAlign w:val="center"/>
          </w:tcPr>
          <w:p>
            <w:pPr>
              <w:spacing w:after="240" w:line="240" w:lineRule="exact"/>
              <w:jc w:val="left"/>
              <w:rPr>
                <w:rFonts w:ascii="宋体" w:hAnsi="宋体"/>
                <w:szCs w:val="21"/>
              </w:rPr>
            </w:pPr>
            <w:r>
              <w:rPr>
                <w:rFonts w:hint="eastAsia" w:ascii="宋体" w:hAnsi="宋体"/>
                <w:szCs w:val="21"/>
              </w:rPr>
              <w:t>（一）评分内容：</w:t>
            </w:r>
          </w:p>
          <w:p>
            <w:pPr>
              <w:wordWrap w:val="0"/>
              <w:spacing w:after="240"/>
              <w:rPr>
                <w:szCs w:val="21"/>
              </w:rPr>
            </w:pPr>
            <w:r>
              <w:rPr>
                <w:rFonts w:hint="eastAsia" w:ascii="宋体" w:hAnsi="宋体" w:cs="H Yb 2gj"/>
                <w:szCs w:val="21"/>
              </w:rPr>
              <w:t>1</w:t>
            </w:r>
            <w:r>
              <w:rPr>
                <w:rFonts w:ascii="宋体" w:hAnsi="宋体" w:cs="H Yb 2gj"/>
                <w:szCs w:val="21"/>
              </w:rPr>
              <w:t>.上述经评审得分的</w:t>
            </w:r>
            <w:r>
              <w:rPr>
                <w:rFonts w:ascii="宋体" w:hAnsi="宋体"/>
                <w:szCs w:val="21"/>
              </w:rPr>
              <w:t>“</w:t>
            </w:r>
            <w:r>
              <w:rPr>
                <w:rFonts w:hint="eastAsia" w:ascii="宋体" w:hAnsi="宋体"/>
                <w:szCs w:val="21"/>
              </w:rPr>
              <w:t>同类项目业绩情况</w:t>
            </w:r>
            <w:r>
              <w:rPr>
                <w:rFonts w:ascii="宋体" w:hAnsi="宋体"/>
                <w:szCs w:val="21"/>
              </w:rPr>
              <w:t>”</w:t>
            </w:r>
            <w:r>
              <w:rPr>
                <w:rFonts w:ascii="宋体" w:hAnsi="宋体" w:cs="H Yb 2gj"/>
                <w:szCs w:val="21"/>
              </w:rPr>
              <w:t>中</w:t>
            </w:r>
            <w:r>
              <w:rPr>
                <w:rFonts w:hint="eastAsia" w:ascii="宋体" w:hAnsi="宋体" w:cs="H Yb 2gj"/>
                <w:szCs w:val="21"/>
              </w:rPr>
              <w:t>，</w:t>
            </w:r>
            <w:r>
              <w:rPr>
                <w:rFonts w:hint="eastAsia"/>
                <w:szCs w:val="21"/>
              </w:rPr>
              <w:t>合同甲方出具评价为优/优秀/满意或最高评价的履约（验收）合格评价证明文件，每提供一份得2</w:t>
            </w:r>
            <w:r>
              <w:rPr>
                <w:szCs w:val="21"/>
              </w:rPr>
              <w:t>0</w:t>
            </w:r>
            <w:r>
              <w:rPr>
                <w:rFonts w:hint="eastAsia"/>
                <w:szCs w:val="21"/>
              </w:rPr>
              <w:t>分，最高得1</w:t>
            </w:r>
            <w:r>
              <w:rPr>
                <w:szCs w:val="21"/>
              </w:rPr>
              <w:t>00</w:t>
            </w:r>
            <w:r>
              <w:rPr>
                <w:rFonts w:hint="eastAsia"/>
                <w:szCs w:val="21"/>
              </w:rPr>
              <w:t>分，没有不得分；</w:t>
            </w:r>
          </w:p>
          <w:p>
            <w:pPr>
              <w:spacing w:after="240"/>
              <w:jc w:val="left"/>
              <w:rPr>
                <w:rFonts w:ascii="宋体" w:hAnsi="宋体"/>
                <w:szCs w:val="21"/>
              </w:rPr>
            </w:pPr>
            <w:r>
              <w:rPr>
                <w:rFonts w:hint="eastAsia" w:ascii="宋体" w:hAnsi="宋体"/>
                <w:szCs w:val="21"/>
              </w:rPr>
              <w:t>（二）评分依据：</w:t>
            </w:r>
          </w:p>
          <w:p>
            <w:pPr>
              <w:pStyle w:val="10"/>
              <w:pBdr>
                <w:bottom w:val="none" w:color="auto" w:sz="0" w:space="0"/>
              </w:pBdr>
              <w:tabs>
                <w:tab w:val="clear" w:pos="4153"/>
                <w:tab w:val="clear" w:pos="8306"/>
              </w:tabs>
              <w:spacing w:after="240" w:line="240" w:lineRule="auto"/>
              <w:jc w:val="both"/>
              <w:rPr>
                <w:rFonts w:hAnsi="宋体" w:cs="宋体"/>
                <w:sz w:val="21"/>
                <w:szCs w:val="21"/>
              </w:rPr>
            </w:pPr>
            <w:r>
              <w:rPr>
                <w:rFonts w:hAnsi="宋体" w:cs="宋体"/>
                <w:sz w:val="21"/>
                <w:szCs w:val="21"/>
              </w:rPr>
              <w:t>1</w:t>
            </w:r>
            <w:r>
              <w:rPr>
                <w:rFonts w:hint="eastAsia" w:hAnsi="宋体" w:cs="宋体"/>
                <w:sz w:val="21"/>
                <w:szCs w:val="21"/>
              </w:rPr>
              <w:t>、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pStyle w:val="10"/>
              <w:pBdr>
                <w:bottom w:val="none" w:color="auto" w:sz="0" w:space="0"/>
              </w:pBdr>
              <w:tabs>
                <w:tab w:val="clear" w:pos="4153"/>
                <w:tab w:val="clear" w:pos="8306"/>
              </w:tabs>
              <w:spacing w:after="240" w:line="240" w:lineRule="auto"/>
              <w:jc w:val="both"/>
              <w:rPr>
                <w:rFonts w:hAnsi="宋体"/>
                <w:sz w:val="21"/>
                <w:szCs w:val="21"/>
              </w:rPr>
            </w:pPr>
            <w:r>
              <w:rPr>
                <w:rFonts w:hint="eastAsia" w:hAnsi="宋体"/>
                <w:sz w:val="21"/>
                <w:szCs w:val="21"/>
              </w:rPr>
              <w:t>2、供应商提供的合同甲方出具评价为优/优秀/满意或最高评价的履约（验收）合格评价证明文件的，同样得分。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4418"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rPr>
                <w:rFonts w:ascii="宋体" w:hAnsi="宋体"/>
                <w:szCs w:val="21"/>
              </w:rPr>
            </w:pPr>
          </w:p>
        </w:tc>
        <w:tc>
          <w:tcPr>
            <w:tcW w:w="690" w:type="dxa"/>
            <w:tcBorders>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3</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荣誉奖项</w:t>
            </w:r>
          </w:p>
        </w:tc>
        <w:tc>
          <w:tcPr>
            <w:tcW w:w="875" w:type="dxa"/>
            <w:gridSpan w:val="3"/>
            <w:tcBorders>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ascii="宋体" w:hAnsi="宋体"/>
                <w:szCs w:val="21"/>
              </w:rPr>
              <w:t>20</w:t>
            </w:r>
          </w:p>
        </w:tc>
        <w:tc>
          <w:tcPr>
            <w:tcW w:w="1105" w:type="dxa"/>
            <w:vMerge w:val="continue"/>
            <w:tcBorders>
              <w:left w:val="single" w:color="auto" w:sz="4" w:space="0"/>
              <w:bottom w:val="single" w:color="auto" w:sz="4" w:space="0"/>
              <w:right w:val="single" w:color="auto" w:sz="4" w:space="0"/>
            </w:tcBorders>
            <w:vAlign w:val="center"/>
          </w:tcPr>
          <w:p>
            <w:pPr>
              <w:spacing w:after="240"/>
              <w:jc w:val="center"/>
              <w:rPr>
                <w:rFonts w:ascii="宋体" w:hAnsi="宋体"/>
                <w:szCs w:val="21"/>
              </w:rPr>
            </w:pPr>
          </w:p>
        </w:tc>
        <w:tc>
          <w:tcPr>
            <w:tcW w:w="3174" w:type="dxa"/>
            <w:tcBorders>
              <w:left w:val="single" w:color="auto" w:sz="4" w:space="0"/>
              <w:bottom w:val="single" w:color="auto" w:sz="4" w:space="0"/>
              <w:right w:val="single" w:color="auto" w:sz="4" w:space="0"/>
            </w:tcBorders>
            <w:vAlign w:val="center"/>
          </w:tcPr>
          <w:p>
            <w:pPr>
              <w:spacing w:after="240" w:line="240" w:lineRule="exact"/>
              <w:jc w:val="left"/>
              <w:rPr>
                <w:rFonts w:ascii="宋体" w:hAnsi="宋体"/>
                <w:szCs w:val="21"/>
              </w:rPr>
            </w:pPr>
            <w:r>
              <w:rPr>
                <w:rFonts w:hint="eastAsia" w:ascii="宋体" w:hAnsi="宋体"/>
                <w:szCs w:val="21"/>
              </w:rPr>
              <w:t>（一）评分内容：</w:t>
            </w:r>
          </w:p>
          <w:p>
            <w:pPr>
              <w:pStyle w:val="2"/>
              <w:spacing w:after="240"/>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近3年获得过国家、省、市文体部门颁发的（团体或单位）奖项；有国家级奖项得50分，省级奖项得30分，区级奖项得20分，最高得100分。</w:t>
            </w:r>
          </w:p>
          <w:p>
            <w:pPr>
              <w:spacing w:after="240"/>
              <w:jc w:val="left"/>
              <w:rPr>
                <w:rFonts w:ascii="宋体" w:hAnsi="宋体"/>
                <w:szCs w:val="21"/>
              </w:rPr>
            </w:pPr>
            <w:r>
              <w:rPr>
                <w:rFonts w:hint="eastAsia" w:ascii="宋体" w:hAnsi="宋体"/>
                <w:szCs w:val="21"/>
              </w:rPr>
              <w:t>二）评分依据：</w:t>
            </w:r>
          </w:p>
          <w:p>
            <w:pPr>
              <w:pStyle w:val="10"/>
              <w:pBdr>
                <w:bottom w:val="none" w:color="auto" w:sz="0" w:space="0"/>
              </w:pBdr>
              <w:tabs>
                <w:tab w:val="clear" w:pos="4153"/>
                <w:tab w:val="clear" w:pos="8306"/>
              </w:tabs>
              <w:spacing w:after="240" w:line="240" w:lineRule="auto"/>
              <w:jc w:val="both"/>
              <w:rPr>
                <w:rFonts w:hAnsi="宋体" w:cs="宋体"/>
                <w:sz w:val="21"/>
                <w:szCs w:val="21"/>
              </w:rPr>
            </w:pPr>
            <w:r>
              <w:rPr>
                <w:rFonts w:hAnsi="宋体" w:cs="宋体"/>
                <w:sz w:val="21"/>
                <w:szCs w:val="21"/>
              </w:rPr>
              <w:t>1</w:t>
            </w:r>
            <w:r>
              <w:rPr>
                <w:rFonts w:hint="eastAsia" w:hAnsi="宋体" w:cs="宋体"/>
                <w:sz w:val="21"/>
                <w:szCs w:val="21"/>
              </w:rPr>
              <w:t>、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spacing w:after="240" w:line="240" w:lineRule="exact"/>
              <w:jc w:val="left"/>
              <w:rPr>
                <w:rFonts w:ascii="宋体" w:hAnsi="宋体"/>
                <w:szCs w:val="21"/>
              </w:rPr>
            </w:pPr>
            <w:r>
              <w:rPr>
                <w:rFonts w:hint="eastAsia" w:hAnsi="宋体"/>
                <w:szCs w:val="21"/>
              </w:rPr>
              <w:t>2、供应商提供的合同甲方出具评价为优/优秀/满意或最高评价的履约（验收）合格评价证明文件的，同样得分。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406" w:hRule="atLeast"/>
          <w:tblCellSpacing w:w="0" w:type="dxa"/>
          <w:jc w:val="center"/>
        </w:trPr>
        <w:tc>
          <w:tcPr>
            <w:tcW w:w="830" w:type="dxa"/>
            <w:gridSpan w:val="2"/>
            <w:tcBorders>
              <w:left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4</w:t>
            </w:r>
          </w:p>
        </w:tc>
        <w:tc>
          <w:tcPr>
            <w:tcW w:w="5635" w:type="dxa"/>
            <w:gridSpan w:val="7"/>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供应商社会责任</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b/>
                <w:szCs w:val="21"/>
              </w:rPr>
            </w:pPr>
            <w:r>
              <w:rPr>
                <w:rFonts w:hint="eastAsia" w:ascii="宋体" w:hAnsi="宋体"/>
                <w:b/>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restart"/>
            <w:tcBorders>
              <w:left w:val="single" w:color="auto" w:sz="4" w:space="0"/>
              <w:right w:val="single" w:color="auto" w:sz="4" w:space="0"/>
            </w:tcBorders>
            <w:vAlign w:val="center"/>
          </w:tcPr>
          <w:p>
            <w:pPr>
              <w:spacing w:after="240"/>
              <w:jc w:val="center"/>
              <w:rPr>
                <w:rFonts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序号</w:t>
            </w:r>
          </w:p>
        </w:tc>
        <w:tc>
          <w:tcPr>
            <w:tcW w:w="295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评分因素</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权重</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spacing w:after="240"/>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continue"/>
            <w:tcBorders>
              <w:left w:val="single" w:color="auto" w:sz="4" w:space="0"/>
              <w:right w:val="single" w:color="auto" w:sz="4" w:space="0"/>
            </w:tcBorders>
            <w:vAlign w:val="center"/>
          </w:tcPr>
          <w:p>
            <w:pPr>
              <w:spacing w:after="240"/>
              <w:jc w:val="center"/>
              <w:rPr>
                <w:rFonts w:ascii="宋体" w:hAnsi="宋体"/>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after="240"/>
              <w:ind w:right="2" w:rightChars="1"/>
              <w:jc w:val="center"/>
              <w:rPr>
                <w:rFonts w:ascii="宋体" w:hAnsi="宋体"/>
                <w:szCs w:val="21"/>
              </w:rPr>
            </w:pPr>
            <w:r>
              <w:rPr>
                <w:rFonts w:hint="eastAsia" w:ascii="宋体" w:hAnsi="宋体"/>
                <w:szCs w:val="21"/>
              </w:rPr>
              <w:t>1</w:t>
            </w:r>
          </w:p>
        </w:tc>
        <w:tc>
          <w:tcPr>
            <w:tcW w:w="2955" w:type="dxa"/>
            <w:tcBorders>
              <w:top w:val="single" w:color="auto" w:sz="4" w:space="0"/>
              <w:left w:val="single" w:color="auto" w:sz="4" w:space="0"/>
              <w:bottom w:val="single" w:color="auto" w:sz="4" w:space="0"/>
              <w:right w:val="single" w:color="auto" w:sz="4" w:space="0"/>
            </w:tcBorders>
            <w:vAlign w:val="center"/>
          </w:tcPr>
          <w:p>
            <w:pPr>
              <w:spacing w:after="240"/>
              <w:ind w:right="2" w:rightChars="1"/>
              <w:jc w:val="center"/>
              <w:rPr>
                <w:rFonts w:ascii="宋体" w:hAnsi="宋体"/>
                <w:szCs w:val="21"/>
              </w:rPr>
            </w:pPr>
            <w:r>
              <w:rPr>
                <w:rFonts w:hint="eastAsia" w:ascii="宋体" w:hAnsi="宋体"/>
                <w:szCs w:val="21"/>
              </w:rPr>
              <w:t>公司诚信</w:t>
            </w:r>
          </w:p>
        </w:tc>
        <w:tc>
          <w:tcPr>
            <w:tcW w:w="875" w:type="dxa"/>
            <w:gridSpan w:val="3"/>
            <w:tcBorders>
              <w:top w:val="single" w:color="auto" w:sz="4" w:space="0"/>
              <w:left w:val="single" w:color="auto" w:sz="4" w:space="0"/>
              <w:bottom w:val="single" w:color="auto" w:sz="4" w:space="0"/>
              <w:right w:val="single" w:color="auto" w:sz="4" w:space="0"/>
            </w:tcBorders>
            <w:vAlign w:val="center"/>
          </w:tcPr>
          <w:p>
            <w:pPr>
              <w:spacing w:after="240"/>
              <w:ind w:right="2" w:rightChars="1"/>
              <w:jc w:val="center"/>
              <w:rPr>
                <w:rFonts w:ascii="宋体" w:hAnsi="宋体"/>
                <w:szCs w:val="21"/>
              </w:rPr>
            </w:pPr>
            <w:r>
              <w:rPr>
                <w:rFonts w:hint="eastAsia" w:ascii="宋体" w:hAnsi="宋体"/>
                <w:szCs w:val="21"/>
              </w:rPr>
              <w:t>5</w:t>
            </w:r>
          </w:p>
        </w:tc>
        <w:tc>
          <w:tcPr>
            <w:tcW w:w="1105" w:type="dxa"/>
            <w:tcBorders>
              <w:top w:val="single" w:color="auto" w:sz="4" w:space="0"/>
              <w:left w:val="single" w:color="auto" w:sz="4" w:space="0"/>
              <w:bottom w:val="single" w:color="auto" w:sz="4" w:space="0"/>
              <w:right w:val="single" w:color="auto" w:sz="4" w:space="0"/>
            </w:tcBorders>
            <w:vAlign w:val="center"/>
          </w:tcPr>
          <w:p>
            <w:pPr>
              <w:spacing w:after="240"/>
              <w:ind w:right="2" w:rightChars="1"/>
              <w:jc w:val="center"/>
              <w:rPr>
                <w:rFonts w:ascii="宋体" w:hAnsi="宋体"/>
                <w:szCs w:val="21"/>
              </w:rPr>
            </w:pPr>
            <w:r>
              <w:rPr>
                <w:rFonts w:hint="eastAsia" w:ascii="宋体" w:hAnsi="宋体"/>
                <w:szCs w:val="21"/>
              </w:rPr>
              <w:t>专家评分</w:t>
            </w:r>
          </w:p>
        </w:tc>
        <w:tc>
          <w:tcPr>
            <w:tcW w:w="3174" w:type="dxa"/>
            <w:tcBorders>
              <w:top w:val="single" w:color="auto" w:sz="4" w:space="0"/>
              <w:left w:val="single" w:color="auto" w:sz="4" w:space="0"/>
              <w:bottom w:val="single" w:color="auto" w:sz="4" w:space="0"/>
              <w:right w:val="single" w:color="auto" w:sz="4" w:space="0"/>
            </w:tcBorders>
            <w:vAlign w:val="center"/>
          </w:tcPr>
          <w:p>
            <w:pPr>
              <w:pStyle w:val="10"/>
              <w:pBdr>
                <w:bottom w:val="none" w:color="auto" w:sz="0" w:space="0"/>
              </w:pBdr>
              <w:tabs>
                <w:tab w:val="clear" w:pos="4153"/>
                <w:tab w:val="clear" w:pos="8306"/>
              </w:tabs>
              <w:spacing w:after="240"/>
              <w:ind w:right="2" w:rightChars="1"/>
              <w:jc w:val="both"/>
              <w:rPr>
                <w:rFonts w:hAnsi="宋体"/>
                <w:sz w:val="21"/>
                <w:szCs w:val="21"/>
              </w:rPr>
            </w:pPr>
            <w:r>
              <w:rPr>
                <w:rFonts w:hint="eastAsia" w:hAnsi="宋体"/>
                <w:sz w:val="21"/>
                <w:szCs w:val="21"/>
              </w:rPr>
              <w:t>供应商在参与政府采购活动中存在诚信相关问题且在主管部门相关处理措施实施期限内的，本项不得分，否则得满分。供应商无需提供任何证明材料，由工作人员向评审委员会提供相关信息。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2D"/>
    <w:rsid w:val="00093FD0"/>
    <w:rsid w:val="00126CCA"/>
    <w:rsid w:val="00147FAE"/>
    <w:rsid w:val="001920F3"/>
    <w:rsid w:val="001C4652"/>
    <w:rsid w:val="001E1A82"/>
    <w:rsid w:val="0029672D"/>
    <w:rsid w:val="002B1697"/>
    <w:rsid w:val="003245FC"/>
    <w:rsid w:val="00346479"/>
    <w:rsid w:val="003978C0"/>
    <w:rsid w:val="003A7B98"/>
    <w:rsid w:val="003B023A"/>
    <w:rsid w:val="00442230"/>
    <w:rsid w:val="004C4C3B"/>
    <w:rsid w:val="00511EF3"/>
    <w:rsid w:val="005E797E"/>
    <w:rsid w:val="006A7642"/>
    <w:rsid w:val="006D13BB"/>
    <w:rsid w:val="006F5A72"/>
    <w:rsid w:val="00742202"/>
    <w:rsid w:val="00787327"/>
    <w:rsid w:val="00846CD3"/>
    <w:rsid w:val="00885ACF"/>
    <w:rsid w:val="008F0EE7"/>
    <w:rsid w:val="00985AFC"/>
    <w:rsid w:val="009C0D69"/>
    <w:rsid w:val="00A002DA"/>
    <w:rsid w:val="00AD7E38"/>
    <w:rsid w:val="00B42079"/>
    <w:rsid w:val="00BB76A1"/>
    <w:rsid w:val="00C06CED"/>
    <w:rsid w:val="00C164F5"/>
    <w:rsid w:val="00C31E08"/>
    <w:rsid w:val="00C759D5"/>
    <w:rsid w:val="00CA6284"/>
    <w:rsid w:val="00CE0EC9"/>
    <w:rsid w:val="00CF74BC"/>
    <w:rsid w:val="00D01DE3"/>
    <w:rsid w:val="00D946C9"/>
    <w:rsid w:val="00DE7843"/>
    <w:rsid w:val="00E31A6A"/>
    <w:rsid w:val="00EB71B2"/>
    <w:rsid w:val="00EE2FD1"/>
    <w:rsid w:val="00F123E9"/>
    <w:rsid w:val="00F20F4D"/>
    <w:rsid w:val="00F94E83"/>
    <w:rsid w:val="00FE2B59"/>
    <w:rsid w:val="1B1D30B7"/>
    <w:rsid w:val="51A23FA9"/>
    <w:rsid w:val="66784CA8"/>
    <w:rsid w:val="706A4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5"/>
    <w:next w:val="6"/>
    <w:link w:val="16"/>
    <w:qFormat/>
    <w:uiPriority w:val="0"/>
    <w:pPr>
      <w:numPr>
        <w:ilvl w:val="1"/>
        <w:numId w:val="1"/>
      </w:numPr>
      <w:adjustRightInd w:val="0"/>
      <w:spacing w:line="416" w:lineRule="atLeast"/>
      <w:textAlignment w:val="baseline"/>
      <w:outlineLvl w:val="1"/>
    </w:pPr>
    <w:rPr>
      <w:rFonts w:ascii="Arial" w:hAnsi="Arial" w:eastAsia="黑体"/>
      <w:b w:val="0"/>
      <w:bCs w:val="0"/>
      <w:kern w:val="0"/>
      <w:szCs w:val="20"/>
    </w:rPr>
  </w:style>
  <w:style w:type="paragraph" w:styleId="5">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7"/>
    <w:unhideWhenUsed/>
    <w:qFormat/>
    <w:uiPriority w:val="0"/>
    <w:pPr>
      <w:spacing w:after="120"/>
    </w:pPr>
  </w:style>
  <w:style w:type="paragraph" w:styleId="7">
    <w:name w:val="annotation text"/>
    <w:basedOn w:val="1"/>
    <w:link w:val="24"/>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autoSpaceDE w:val="0"/>
      <w:autoSpaceDN w:val="0"/>
      <w:adjustRightInd w:val="0"/>
      <w:spacing w:line="360" w:lineRule="auto"/>
      <w:jc w:val="center"/>
      <w:textAlignment w:val="baseline"/>
    </w:pPr>
    <w:rPr>
      <w:rFonts w:ascii="宋体" w:hAnsiTheme="minorHAnsi" w:eastAsiaTheme="minorEastAsia" w:cstheme="minorBidi"/>
      <w:sz w:val="18"/>
      <w:szCs w:val="22"/>
    </w:rPr>
  </w:style>
  <w:style w:type="paragraph" w:styleId="11">
    <w:name w:val="annotation subject"/>
    <w:basedOn w:val="7"/>
    <w:next w:val="7"/>
    <w:link w:val="25"/>
    <w:semiHidden/>
    <w:unhideWhenUsed/>
    <w:qFormat/>
    <w:uiPriority w:val="99"/>
    <w:rPr>
      <w:b/>
      <w:bCs/>
    </w:rPr>
  </w:style>
  <w:style w:type="character" w:styleId="14">
    <w:name w:val="Hyperlink"/>
    <w:qFormat/>
    <w:uiPriority w:val="0"/>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2 字符"/>
    <w:basedOn w:val="13"/>
    <w:link w:val="4"/>
    <w:qFormat/>
    <w:uiPriority w:val="0"/>
    <w:rPr>
      <w:rFonts w:ascii="Arial" w:hAnsi="Arial" w:eastAsia="黑体" w:cs="Times New Roman"/>
      <w:kern w:val="0"/>
      <w:sz w:val="32"/>
      <w:szCs w:val="20"/>
    </w:rPr>
  </w:style>
  <w:style w:type="character" w:customStyle="1" w:styleId="17">
    <w:name w:val="正文文本 字符"/>
    <w:basedOn w:val="13"/>
    <w:link w:val="2"/>
    <w:qFormat/>
    <w:uiPriority w:val="0"/>
    <w:rPr>
      <w:rFonts w:ascii="Times New Roman" w:hAnsi="Times New Roman" w:eastAsia="宋体" w:cs="Times New Roman"/>
      <w:szCs w:val="24"/>
    </w:rPr>
  </w:style>
  <w:style w:type="character" w:customStyle="1" w:styleId="18">
    <w:name w:val="页眉 字符"/>
    <w:link w:val="10"/>
    <w:qFormat/>
    <w:uiPriority w:val="0"/>
    <w:rPr>
      <w:rFonts w:ascii="宋体"/>
      <w:sz w:val="18"/>
    </w:rPr>
  </w:style>
  <w:style w:type="character" w:customStyle="1" w:styleId="19">
    <w:name w:val="页眉 字符1"/>
    <w:basedOn w:val="13"/>
    <w:semiHidden/>
    <w:qFormat/>
    <w:uiPriority w:val="99"/>
    <w:rPr>
      <w:rFonts w:ascii="Times New Roman" w:hAnsi="Times New Roman" w:eastAsia="宋体" w:cs="Times New Roman"/>
      <w:sz w:val="18"/>
      <w:szCs w:val="18"/>
    </w:rPr>
  </w:style>
  <w:style w:type="character" w:customStyle="1" w:styleId="20">
    <w:name w:val="标题 3 字符"/>
    <w:basedOn w:val="13"/>
    <w:link w:val="5"/>
    <w:semiHidden/>
    <w:qFormat/>
    <w:uiPriority w:val="9"/>
    <w:rPr>
      <w:rFonts w:ascii="Times New Roman" w:hAnsi="Times New Roman" w:eastAsia="宋体" w:cs="Times New Roman"/>
      <w:b/>
      <w:bCs/>
      <w:sz w:val="32"/>
      <w:szCs w:val="32"/>
    </w:rPr>
  </w:style>
  <w:style w:type="character" w:customStyle="1" w:styleId="21">
    <w:name w:val="标题 4 字符"/>
    <w:basedOn w:val="13"/>
    <w:link w:val="6"/>
    <w:semiHidden/>
    <w:qFormat/>
    <w:uiPriority w:val="9"/>
    <w:rPr>
      <w:rFonts w:asciiTheme="majorHAnsi" w:hAnsiTheme="majorHAnsi" w:eastAsiaTheme="majorEastAsia" w:cstheme="majorBidi"/>
      <w:b/>
      <w:bCs/>
      <w:sz w:val="28"/>
      <w:szCs w:val="28"/>
    </w:rPr>
  </w:style>
  <w:style w:type="character" w:customStyle="1" w:styleId="22">
    <w:name w:val="标题 1 字符"/>
    <w:basedOn w:val="13"/>
    <w:link w:val="3"/>
    <w:qFormat/>
    <w:uiPriority w:val="9"/>
    <w:rPr>
      <w:rFonts w:ascii="Times New Roman" w:hAnsi="Times New Roman" w:eastAsia="宋体" w:cs="Times New Roman"/>
      <w:b/>
      <w:bCs/>
      <w:kern w:val="44"/>
      <w:sz w:val="44"/>
      <w:szCs w:val="44"/>
    </w:rPr>
  </w:style>
  <w:style w:type="character" w:customStyle="1" w:styleId="23">
    <w:name w:val="页脚 字符"/>
    <w:basedOn w:val="13"/>
    <w:link w:val="9"/>
    <w:qFormat/>
    <w:uiPriority w:val="99"/>
    <w:rPr>
      <w:rFonts w:ascii="Times New Roman" w:hAnsi="Times New Roman" w:eastAsia="宋体" w:cs="Times New Roman"/>
      <w:sz w:val="18"/>
      <w:szCs w:val="18"/>
    </w:rPr>
  </w:style>
  <w:style w:type="character" w:customStyle="1" w:styleId="24">
    <w:name w:val="批注文字 字符"/>
    <w:basedOn w:val="13"/>
    <w:link w:val="7"/>
    <w:semiHidden/>
    <w:qFormat/>
    <w:uiPriority w:val="99"/>
    <w:rPr>
      <w:rFonts w:ascii="Times New Roman" w:hAnsi="Times New Roman" w:eastAsia="宋体" w:cs="Times New Roman"/>
      <w:szCs w:val="24"/>
    </w:rPr>
  </w:style>
  <w:style w:type="character" w:customStyle="1" w:styleId="25">
    <w:name w:val="批注主题 字符"/>
    <w:basedOn w:val="24"/>
    <w:link w:val="11"/>
    <w:semiHidden/>
    <w:qFormat/>
    <w:uiPriority w:val="99"/>
    <w:rPr>
      <w:rFonts w:ascii="Times New Roman" w:hAnsi="Times New Roman" w:eastAsia="宋体" w:cs="Times New Roman"/>
      <w:b/>
      <w:bCs/>
      <w:szCs w:val="24"/>
    </w:rPr>
  </w:style>
  <w:style w:type="character" w:customStyle="1" w:styleId="26">
    <w:name w:val="批注框文本 字符"/>
    <w:basedOn w:val="13"/>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33339-BC41-4E12-99A1-E27624D839AE}">
  <ds:schemaRefs/>
</ds:datastoreItem>
</file>

<file path=docProps/app.xml><?xml version="1.0" encoding="utf-8"?>
<Properties xmlns="http://schemas.openxmlformats.org/officeDocument/2006/extended-properties" xmlns:vt="http://schemas.openxmlformats.org/officeDocument/2006/docPropsVTypes">
  <Template>Normal</Template>
  <Pages>5</Pages>
  <Words>287</Words>
  <Characters>1640</Characters>
  <Lines>13</Lines>
  <Paragraphs>3</Paragraphs>
  <TotalTime>5</TotalTime>
  <ScaleCrop>false</ScaleCrop>
  <LinksUpToDate>false</LinksUpToDate>
  <CharactersWithSpaces>1924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2022-05-05T01:13:00Z</dcterms:created>
  <dc:creator>于 海宁</dc:creator>
  <cp:lastModifiedBy>张云龙</cp:lastModifiedBy>
  <dcterms:modified xsi:type="dcterms:W3CDTF">2022-05-05T01:42:08Z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