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32"/>
        </w:rPr>
      </w:pPr>
    </w:p>
    <w:tbl>
      <w:tblPr>
        <w:tblStyle w:val="12"/>
        <w:tblW w:w="9902" w:type="dxa"/>
        <w:jc w:val="center"/>
        <w:tblCellSpacing w:w="0" w:type="dxa"/>
        <w:tblLayout w:type="fixed"/>
        <w:tblCellMar>
          <w:top w:w="45" w:type="dxa"/>
          <w:left w:w="45" w:type="dxa"/>
          <w:bottom w:w="45" w:type="dxa"/>
          <w:right w:w="45" w:type="dxa"/>
        </w:tblCellMar>
      </w:tblPr>
      <w:tblGrid>
        <w:gridCol w:w="621"/>
        <w:gridCol w:w="209"/>
        <w:gridCol w:w="690"/>
        <w:gridCol w:w="10"/>
        <w:gridCol w:w="2955"/>
        <w:gridCol w:w="62"/>
        <w:gridCol w:w="813"/>
        <w:gridCol w:w="1105"/>
        <w:gridCol w:w="3174"/>
        <w:gridCol w:w="263"/>
      </w:tblGrid>
      <w:tr>
        <w:tblPrEx>
          <w:tblCellMar>
            <w:top w:w="45" w:type="dxa"/>
            <w:left w:w="45" w:type="dxa"/>
            <w:bottom w:w="45" w:type="dxa"/>
            <w:right w:w="45" w:type="dxa"/>
          </w:tblCellMar>
        </w:tblPrEx>
        <w:trPr>
          <w:gridBefore w:val="1"/>
          <w:wBefore w:w="621" w:type="dxa"/>
          <w:tblCellSpacing w:w="0" w:type="dxa"/>
          <w:jc w:val="center"/>
        </w:trPr>
        <w:tc>
          <w:tcPr>
            <w:tcW w:w="9281" w:type="dxa"/>
            <w:gridSpan w:val="9"/>
            <w:tcBorders>
              <w:top w:val="nil"/>
              <w:left w:val="nil"/>
              <w:bottom w:val="nil"/>
              <w:right w:val="nil"/>
            </w:tcBorders>
            <w:vAlign w:val="center"/>
          </w:tcPr>
          <w:p>
            <w:pPr>
              <w:keepNext w:val="0"/>
              <w:keepLines w:val="0"/>
              <w:pageBreakBefore w:val="0"/>
              <w:widowControl/>
              <w:kinsoku/>
              <w:overflowPunct/>
              <w:topLinePunct w:val="0"/>
              <w:bidi w:val="0"/>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广东省国民体质监测工作项目信息评分表</w:t>
            </w:r>
          </w:p>
          <w:p>
            <w:pPr>
              <w:pStyle w:val="2"/>
              <w:keepNext w:val="0"/>
              <w:keepLines w:val="0"/>
              <w:pageBreakBefore w:val="0"/>
              <w:kinsoku/>
              <w:overflowPunct/>
              <w:topLinePunct w:val="0"/>
              <w:bidi w:val="0"/>
              <w:spacing w:after="0" w:line="560" w:lineRule="exact"/>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blCellSpacing w:w="0" w:type="dxa"/>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563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评分项</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权重</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blCellSpacing w:w="0" w:type="dxa"/>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w:t>
            </w:r>
          </w:p>
        </w:tc>
        <w:tc>
          <w:tcPr>
            <w:tcW w:w="563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技术部分</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63" w:hRule="atLeast"/>
          <w:tblCellSpacing w:w="0" w:type="dxa"/>
          <w:jc w:val="center"/>
        </w:trPr>
        <w:tc>
          <w:tcPr>
            <w:tcW w:w="830"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评分因素</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权重</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评分方式</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63" w:hRule="atLeast"/>
          <w:tblCellSpacing w:w="0" w:type="dxa"/>
          <w:jc w:val="center"/>
        </w:trPr>
        <w:tc>
          <w:tcPr>
            <w:tcW w:w="830"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项目报价</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专家打分</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采用低价优先法计算，即满足谈判文件要求且报价最低的为评标基准价，其报价为满分。其他谈判供应商的报价得分统一按照下列公式计算：</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报价得分=(评标基准价／投标报价)×</w:t>
            </w:r>
            <w:r>
              <w:rPr>
                <w:rFonts w:hint="eastAsia" w:ascii="仿宋_GB2312" w:hAnsi="仿宋_GB2312" w:eastAsia="仿宋_GB2312" w:cs="仿宋_GB2312"/>
                <w:color w:val="auto"/>
                <w:sz w:val="28"/>
                <w:szCs w:val="28"/>
                <w:highlight w:val="none"/>
                <w:lang w:val="en-US" w:eastAsia="zh-CN"/>
              </w:rPr>
              <w:t>100</w:t>
            </w:r>
            <w:r>
              <w:rPr>
                <w:rFonts w:hint="eastAsia" w:ascii="仿宋_GB2312" w:hAnsi="仿宋_GB2312" w:eastAsia="仿宋_GB2312" w:cs="仿宋_GB2312"/>
                <w:sz w:val="28"/>
                <w:szCs w:val="28"/>
                <w:highlight w:val="none"/>
              </w:rPr>
              <w:br w:type="textWrapping"/>
            </w:r>
            <w:r>
              <w:rPr>
                <w:rFonts w:hint="eastAsia" w:ascii="仿宋_GB2312" w:hAnsi="仿宋_GB2312" w:eastAsia="仿宋_GB2312" w:cs="仿宋_GB2312"/>
                <w:sz w:val="28"/>
                <w:szCs w:val="28"/>
                <w:highlight w:val="none"/>
              </w:rPr>
              <w:t>备注：项目报价上限为</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万，报价超过</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万的为无效报价，此项不得分。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63" w:hRule="atLeast"/>
          <w:tblCellSpacing w:w="0" w:type="dxa"/>
          <w:jc w:val="center"/>
        </w:trPr>
        <w:tc>
          <w:tcPr>
            <w:tcW w:w="830"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安全生产承诺</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专家打分</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供应商提供承诺函（格式自定），承诺内容至少包括：在项目履约期间，要强化安全生产管理，制定安全生产指定，落实主体责任，确保项目安全运营等内容。</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按要求提供承诺函的得100</w:t>
            </w:r>
            <w:r>
              <w:rPr>
                <w:rFonts w:hint="eastAsia" w:ascii="仿宋_GB2312" w:hAnsi="仿宋_GB2312" w:eastAsia="仿宋_GB2312" w:cs="仿宋_GB2312"/>
                <w:sz w:val="28"/>
                <w:szCs w:val="28"/>
                <w:highlight w:val="none"/>
                <w:lang w:eastAsia="zh-CN"/>
              </w:rPr>
              <w:t>分</w:t>
            </w:r>
            <w:r>
              <w:rPr>
                <w:rFonts w:hint="eastAsia" w:ascii="仿宋_GB2312" w:hAnsi="仿宋_GB2312" w:eastAsia="仿宋_GB2312" w:cs="仿宋_GB2312"/>
                <w:sz w:val="28"/>
                <w:szCs w:val="28"/>
                <w:highlight w:val="none"/>
              </w:rPr>
              <w:t>，未提供或承诺内容不满足要求的均不得分。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63" w:hRule="atLeast"/>
          <w:tblCellSpacing w:w="0" w:type="dxa"/>
          <w:jc w:val="center"/>
        </w:trPr>
        <w:tc>
          <w:tcPr>
            <w:tcW w:w="830"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违约承诺</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专家打分</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评审内容：</w:t>
            </w:r>
          </w:p>
          <w:p>
            <w:pPr>
              <w:keepNext w:val="0"/>
              <w:keepLines w:val="0"/>
              <w:pageBreakBefore w:val="0"/>
              <w:kinsoku/>
              <w:wordWrap w:val="0"/>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1.体测人员严格按照谈判文件及投标承诺配置；</w:t>
            </w:r>
          </w:p>
          <w:p>
            <w:pPr>
              <w:keepNext w:val="0"/>
              <w:keepLines w:val="0"/>
              <w:pageBreakBefore w:val="0"/>
              <w:kinsoku/>
              <w:wordWrap w:val="0"/>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2.服务质量达到文件要求；</w:t>
            </w:r>
          </w:p>
          <w:p>
            <w:pPr>
              <w:keepNext w:val="0"/>
              <w:keepLines w:val="0"/>
              <w:pageBreakBefore w:val="0"/>
              <w:kinsoku/>
              <w:wordWrap w:val="0"/>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3.对未能达到管理要求承担相应管理责任。</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标准：要求提供承诺（格式自拟）作为得分依据，未提供承诺的不得分。若隐瞒情况虚假承诺将被认定为投标无效并报主管部门处理。</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评标委员会根据响应情况进行打分，承诺满足以上3点</w:t>
            </w:r>
            <w:r>
              <w:rPr>
                <w:rFonts w:hint="eastAsia" w:ascii="仿宋_GB2312" w:hAnsi="仿宋_GB2312" w:eastAsia="仿宋_GB2312" w:cs="仿宋_GB2312"/>
                <w:color w:val="auto"/>
                <w:sz w:val="28"/>
                <w:szCs w:val="28"/>
                <w:highlight w:val="none"/>
              </w:rPr>
              <w:t>得100分</w:t>
            </w:r>
            <w:r>
              <w:rPr>
                <w:rFonts w:hint="eastAsia" w:ascii="仿宋_GB2312" w:hAnsi="仿宋_GB2312" w:eastAsia="仿宋_GB2312" w:cs="仿宋_GB2312"/>
                <w:sz w:val="28"/>
                <w:szCs w:val="28"/>
                <w:highlight w:val="none"/>
              </w:rPr>
              <w:t>，未满足不得分。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2346" w:hRule="atLeast"/>
          <w:tblCellSpacing w:w="0" w:type="dxa"/>
          <w:jc w:val="center"/>
        </w:trPr>
        <w:tc>
          <w:tcPr>
            <w:tcW w:w="830"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p>
        </w:tc>
        <w:tc>
          <w:tcPr>
            <w:tcW w:w="69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体测团队资质</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专家打分</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（一）评分内容：</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根据体测团队成员情况进行评分：</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highlight w:val="none"/>
              </w:rPr>
              <w:t>1.不少于15名体质测试专职人员</w:t>
            </w:r>
            <w:r>
              <w:rPr>
                <w:rFonts w:hint="eastAsia" w:ascii="仿宋_GB2312" w:hAnsi="仿宋_GB2312" w:eastAsia="仿宋_GB2312" w:cs="仿宋_GB2312"/>
                <w:color w:val="auto"/>
                <w:sz w:val="28"/>
                <w:szCs w:val="28"/>
                <w:highlight w:val="none"/>
              </w:rPr>
              <w:t>得30分，否则不得分；</w:t>
            </w:r>
          </w:p>
          <w:p>
            <w:pPr>
              <w:keepNext w:val="0"/>
              <w:keepLines w:val="0"/>
              <w:pageBreakBefore w:val="0"/>
              <w:kinsoku/>
              <w:overflowPunct/>
              <w:topLinePunct w:val="0"/>
              <w:bidi w:val="0"/>
              <w:spacing w:line="560" w:lineRule="exact"/>
              <w:rPr>
                <w:rStyle w:val="15"/>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rPr>
              <w:t>2.体质测试专职人员持有有效期内《深圳市国民体质测定工作上岗证》得30</w:t>
            </w:r>
            <w:r>
              <w:rPr>
                <w:rFonts w:hint="eastAsia" w:ascii="仿宋_GB2312" w:hAnsi="仿宋_GB2312" w:eastAsia="仿宋_GB2312" w:cs="仿宋_GB2312"/>
                <w:sz w:val="28"/>
                <w:szCs w:val="28"/>
                <w:highlight w:val="none"/>
              </w:rPr>
              <w:t>分，否则不得分</w:t>
            </w:r>
            <w:r>
              <w:rPr>
                <w:rStyle w:val="15"/>
                <w:rFonts w:hint="eastAsia" w:ascii="仿宋_GB2312" w:hAnsi="仿宋_GB2312" w:eastAsia="仿宋_GB2312" w:cs="仿宋_GB2312"/>
                <w:sz w:val="28"/>
                <w:szCs w:val="28"/>
                <w:highlight w:val="none"/>
              </w:rPr>
              <w:t>；</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3.体质测试专职人员中至少3名女性得30分；每增加一名得10分，满分40分。</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以上三项累计加分，满分100分。</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（二）评分依据：</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深圳市国民体质测定工作上岗证》要求是深圳市文化广电旅游体育局颁发，并在有效期内的证件。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blCellSpacing w:w="0" w:type="dxa"/>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w:t>
            </w:r>
          </w:p>
        </w:tc>
        <w:tc>
          <w:tcPr>
            <w:tcW w:w="563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服务部分</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blCellSpacing w:w="0" w:type="dxa"/>
          <w:jc w:val="center"/>
        </w:trPr>
        <w:tc>
          <w:tcPr>
            <w:tcW w:w="830"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评分因素</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权</w:t>
            </w:r>
            <w:r>
              <w:rPr>
                <w:rFonts w:hint="eastAsia" w:ascii="仿宋_GB2312" w:hAnsi="仿宋_GB2312" w:eastAsia="仿宋_GB2312" w:cs="仿宋_GB2312"/>
                <w:sz w:val="28"/>
                <w:szCs w:val="28"/>
                <w:highlight w:val="none"/>
              </w:rPr>
              <w:t>重</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评分方式</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510" w:hRule="atLeast"/>
          <w:tblCellSpacing w:w="0" w:type="dxa"/>
          <w:jc w:val="center"/>
        </w:trPr>
        <w:tc>
          <w:tcPr>
            <w:tcW w:w="830"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服务网点（场地）</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专家打分</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深圳供应商，投标人具有所投服务经营范围；售后机构必须同时提供售后服务合作合同及售后机构营业执照扫描件作为得分依据，原件备查）的，得100分。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120" w:hRule="atLeast"/>
          <w:tblCellSpacing w:w="0" w:type="dxa"/>
          <w:jc w:val="center"/>
        </w:trPr>
        <w:tc>
          <w:tcPr>
            <w:tcW w:w="830"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项目完成后的服务承诺</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专家打分</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rPr>
                <w:rFonts w:hint="eastAsia" w:ascii="仿宋_GB2312" w:hAnsi="仿宋_GB2312" w:eastAsia="仿宋_GB2312" w:cs="仿宋_GB2312"/>
                <w:b/>
                <w:i/>
                <w:sz w:val="28"/>
                <w:szCs w:val="28"/>
                <w:highlight w:val="none"/>
                <w:u w:val="single"/>
              </w:rPr>
            </w:pPr>
            <w:r>
              <w:rPr>
                <w:rFonts w:hint="eastAsia" w:ascii="仿宋_GB2312" w:hAnsi="仿宋_GB2312" w:eastAsia="仿宋_GB2312" w:cs="仿宋_GB2312"/>
                <w:sz w:val="28"/>
                <w:szCs w:val="28"/>
                <w:highlight w:val="none"/>
              </w:rPr>
              <w:t>（一）评分内容：</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针对本项目的需求提供项目完成（服务期满）后的服务承诺，内容包括但不限于：</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1.供应商服务期满后与后续服务公司的交接承诺；</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2.供应商服务期满，后续服务公司未到位前，仍按原合同服务承诺提供服务的承诺。</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（二）评分依据：</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供应商需提供违约承诺函（格式自拟），承诺函包括上述二项内容得100分。未按谈判文件要求或未承诺的不得分。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120" w:hRule="atLeast"/>
          <w:tblCellSpacing w:w="0" w:type="dxa"/>
          <w:jc w:val="center"/>
        </w:trPr>
        <w:tc>
          <w:tcPr>
            <w:tcW w:w="830"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30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服务方案</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35</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专家打分</w:t>
            </w:r>
          </w:p>
        </w:tc>
        <w:tc>
          <w:tcPr>
            <w:tcW w:w="317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numPr>
                <w:ilvl w:val="0"/>
                <w:numId w:val="0"/>
              </w:numPr>
              <w:kinsoku/>
              <w:overflowPunct/>
              <w:topLinePunct w:val="0"/>
              <w:bidi w:val="0"/>
              <w:spacing w:line="560" w:lineRule="exact"/>
              <w:ind w:left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（一）</w:t>
            </w:r>
            <w:r>
              <w:rPr>
                <w:rFonts w:hint="eastAsia" w:ascii="仿宋_GB2312" w:hAnsi="仿宋_GB2312" w:eastAsia="仿宋_GB2312" w:cs="仿宋_GB2312"/>
                <w:sz w:val="28"/>
                <w:szCs w:val="28"/>
                <w:highlight w:val="none"/>
              </w:rPr>
              <w:t>评分内容：</w:t>
            </w:r>
          </w:p>
          <w:p>
            <w:pPr>
              <w:pStyle w:val="2"/>
              <w:keepNext w:val="0"/>
              <w:keepLines w:val="0"/>
              <w:pageBreakBefore w:val="0"/>
              <w:kinsoku/>
              <w:overflowPunct/>
              <w:topLinePunct w:val="0"/>
              <w:bidi w:val="0"/>
              <w:spacing w:after="0"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体测站方案，包含疫情防控方案，测试计划，测试内容及工作任务，最高得100分。</w:t>
            </w:r>
          </w:p>
          <w:p>
            <w:pPr>
              <w:pStyle w:val="2"/>
              <w:keepNext w:val="0"/>
              <w:keepLines w:val="0"/>
              <w:pageBreakBefore w:val="0"/>
              <w:numPr>
                <w:ilvl w:val="0"/>
                <w:numId w:val="0"/>
              </w:numPr>
              <w:kinsoku/>
              <w:overflowPunct/>
              <w:topLinePunct w:val="0"/>
              <w:bidi w:val="0"/>
              <w:spacing w:after="0" w:line="560" w:lineRule="exact"/>
              <w:ind w:left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（二）</w:t>
            </w:r>
            <w:r>
              <w:rPr>
                <w:rFonts w:hint="eastAsia" w:ascii="仿宋_GB2312" w:hAnsi="仿宋_GB2312" w:eastAsia="仿宋_GB2312" w:cs="仿宋_GB2312"/>
                <w:sz w:val="28"/>
                <w:szCs w:val="28"/>
                <w:highlight w:val="none"/>
              </w:rPr>
              <w:t>评分依据：</w:t>
            </w:r>
          </w:p>
          <w:p>
            <w:pPr>
              <w:pStyle w:val="2"/>
              <w:keepNext w:val="0"/>
              <w:keepLines w:val="0"/>
              <w:pageBreakBefore w:val="0"/>
              <w:kinsoku/>
              <w:overflowPunct/>
              <w:topLinePunct w:val="0"/>
              <w:bidi w:val="0"/>
              <w:spacing w:after="0"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1.方案详细、周密、有条理；</w:t>
            </w:r>
          </w:p>
          <w:p>
            <w:pPr>
              <w:keepNext w:val="0"/>
              <w:keepLines w:val="0"/>
              <w:pageBreakBefore w:val="0"/>
              <w:kinsoku/>
              <w:overflowPunct/>
              <w:topLinePunct w:val="0"/>
              <w:bidi w:val="0"/>
              <w:adjustRightInd w:val="0"/>
              <w:snapToGrid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2.方案内容符合要求。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blCellSpacing w:w="0" w:type="dxa"/>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w:t>
            </w:r>
          </w:p>
        </w:tc>
        <w:tc>
          <w:tcPr>
            <w:tcW w:w="563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val="0"/>
                <w:bCs/>
                <w:sz w:val="28"/>
                <w:szCs w:val="28"/>
                <w:highlight w:val="none"/>
              </w:rPr>
              <w:t>综合实力部分</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81" w:hRule="atLeast"/>
          <w:tblCellSpacing w:w="0" w:type="dxa"/>
          <w:jc w:val="center"/>
        </w:trPr>
        <w:tc>
          <w:tcPr>
            <w:tcW w:w="830"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评分因素</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权重</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评分方式</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1740" w:hRule="atLeast"/>
          <w:tblCellSpacing w:w="0" w:type="dxa"/>
          <w:jc w:val="center"/>
        </w:trPr>
        <w:tc>
          <w:tcPr>
            <w:tcW w:w="830"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同类项目业绩情况</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highlight w:val="none"/>
              </w:rPr>
              <w:t>10</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专家打分</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（一）评分内容：</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2018年至今与市级以上各级体育行政部门签订过国民体质测定相关业务；每有一项业绩得20分，最高得100分；。</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（二）评分依据：</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1.要求同时提供合同关键信息，需加盖合同甲方公章（或甲方业务章）。</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2.通过合同关键信息无法判断是否得分的，也可以提供能证明得分的其它证明资料，如项目报告或合同甲方出具的证明文件等。</w:t>
            </w:r>
          </w:p>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860" w:hRule="atLeast"/>
          <w:tblCellSpacing w:w="0" w:type="dxa"/>
          <w:jc w:val="center"/>
        </w:trPr>
        <w:tc>
          <w:tcPr>
            <w:tcW w:w="830"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p>
        </w:tc>
        <w:tc>
          <w:tcPr>
            <w:tcW w:w="69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履约评价</w:t>
            </w:r>
          </w:p>
        </w:tc>
        <w:tc>
          <w:tcPr>
            <w:tcW w:w="875" w:type="dxa"/>
            <w:gridSpan w:val="2"/>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p>
        </w:tc>
        <w:tc>
          <w:tcPr>
            <w:tcW w:w="1105" w:type="dxa"/>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专家评分</w:t>
            </w:r>
          </w:p>
        </w:tc>
        <w:tc>
          <w:tcPr>
            <w:tcW w:w="3174"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（一）评分内容：</w:t>
            </w:r>
          </w:p>
          <w:p>
            <w:pPr>
              <w:keepNext w:val="0"/>
              <w:keepLines w:val="0"/>
              <w:pageBreakBefore w:val="0"/>
              <w:kinsoku/>
              <w:wordWrap w:val="0"/>
              <w:overflowPunct/>
              <w:topLinePunct w:val="0"/>
              <w:bidi w:val="0"/>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1.上述经评审得分的“同类项目业绩情况”中，合同甲方出具评价为优/优秀/满意或最高评价的履约（验收）合格评价证明文件，每提供一份得20分，最高得100分，没有不得分；</w:t>
            </w:r>
          </w:p>
          <w:p>
            <w:pPr>
              <w:keepNext w:val="0"/>
              <w:keepLines w:val="0"/>
              <w:pageBreakBefore w:val="0"/>
              <w:kinsoku/>
              <w:overflowPunct/>
              <w:topLinePunct w:val="0"/>
              <w:bidi w:val="0"/>
              <w:spacing w:line="56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（二）评分依据：</w:t>
            </w:r>
          </w:p>
          <w:p>
            <w:pPr>
              <w:pStyle w:val="10"/>
              <w:keepNext w:val="0"/>
              <w:keepLines w:val="0"/>
              <w:pageBreakBefore w:val="0"/>
              <w:pBdr>
                <w:bottom w:val="none" w:color="auto" w:sz="0" w:space="0"/>
              </w:pBdr>
              <w:tabs>
                <w:tab w:val="clear" w:pos="4153"/>
                <w:tab w:val="clear" w:pos="8306"/>
              </w:tabs>
              <w:kinsoku/>
              <w:overflowPunct/>
              <w:topLinePunct w:val="0"/>
              <w:bidi w:val="0"/>
              <w:spacing w:line="56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提供盖有合同甲方公章的履约评价扫描件（履约评价需由服务单位本单位盖章出具，下属单位、内设机构或关联单位的履约评价不得分），原件备查。（未提供或未按要求提供或提供的不清晰导致专家无法判断的，不得分）</w:t>
            </w:r>
          </w:p>
          <w:p>
            <w:pPr>
              <w:pStyle w:val="10"/>
              <w:keepNext w:val="0"/>
              <w:keepLines w:val="0"/>
              <w:pageBreakBefore w:val="0"/>
              <w:pBdr>
                <w:bottom w:val="none" w:color="auto" w:sz="0" w:space="0"/>
              </w:pBdr>
              <w:tabs>
                <w:tab w:val="clear" w:pos="4153"/>
                <w:tab w:val="clear" w:pos="8306"/>
              </w:tabs>
              <w:kinsoku/>
              <w:overflowPunct/>
              <w:topLinePunct w:val="0"/>
              <w:bidi w:val="0"/>
              <w:spacing w:line="56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供应商提供的合同甲方出具评价为优/优秀/满意或最高评价的履约（验收）合格评价证明文件的，同样得分。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4418" w:hRule="atLeast"/>
          <w:tblCellSpacing w:w="0" w:type="dxa"/>
          <w:jc w:val="center"/>
        </w:trPr>
        <w:tc>
          <w:tcPr>
            <w:tcW w:w="830"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rPr>
                <w:rFonts w:hint="eastAsia" w:ascii="仿宋_GB2312" w:hAnsi="仿宋_GB2312" w:eastAsia="仿宋_GB2312" w:cs="仿宋_GB2312"/>
                <w:sz w:val="28"/>
                <w:szCs w:val="28"/>
                <w:highlight w:val="none"/>
              </w:rPr>
            </w:pPr>
          </w:p>
        </w:tc>
        <w:tc>
          <w:tcPr>
            <w:tcW w:w="690"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荣誉奖</w:t>
            </w:r>
            <w:bookmarkStart w:id="0" w:name="_GoBack"/>
            <w:bookmarkEnd w:id="0"/>
            <w:r>
              <w:rPr>
                <w:rFonts w:hint="eastAsia" w:ascii="仿宋_GB2312" w:hAnsi="仿宋_GB2312" w:eastAsia="仿宋_GB2312" w:cs="仿宋_GB2312"/>
                <w:sz w:val="28"/>
                <w:szCs w:val="28"/>
                <w:highlight w:val="none"/>
              </w:rPr>
              <w:t>项</w:t>
            </w:r>
          </w:p>
        </w:tc>
        <w:tc>
          <w:tcPr>
            <w:tcW w:w="875" w:type="dxa"/>
            <w:gridSpan w:val="2"/>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w:t>
            </w:r>
          </w:p>
        </w:tc>
        <w:tc>
          <w:tcPr>
            <w:tcW w:w="1105" w:type="dxa"/>
            <w:vMerge w:val="continue"/>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p>
        </w:tc>
        <w:tc>
          <w:tcPr>
            <w:tcW w:w="3174"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（一）评分内容：</w:t>
            </w:r>
          </w:p>
          <w:p>
            <w:pPr>
              <w:pStyle w:val="2"/>
              <w:keepNext w:val="0"/>
              <w:keepLines w:val="0"/>
              <w:pageBreakBefore w:val="0"/>
              <w:kinsoku/>
              <w:overflowPunct/>
              <w:topLinePunct w:val="0"/>
              <w:bidi w:val="0"/>
              <w:spacing w:after="0"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近5年获得过国家、省、市文体部门颁发的（团体或单位）奖项；有国家级奖项得50分，省级奖项得30分，区级奖项得20分，最高得100分。</w:t>
            </w:r>
          </w:p>
          <w:p>
            <w:pPr>
              <w:keepNext w:val="0"/>
              <w:keepLines w:val="0"/>
              <w:pageBreakBefore w:val="0"/>
              <w:kinsoku/>
              <w:overflowPunct/>
              <w:topLinePunct w:val="0"/>
              <w:bidi w:val="0"/>
              <w:spacing w:line="56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二）评分依据：</w:t>
            </w:r>
          </w:p>
          <w:p>
            <w:pPr>
              <w:pStyle w:val="10"/>
              <w:keepNext w:val="0"/>
              <w:keepLines w:val="0"/>
              <w:pageBreakBefore w:val="0"/>
              <w:pBdr>
                <w:bottom w:val="none" w:color="auto" w:sz="0" w:space="0"/>
              </w:pBdr>
              <w:tabs>
                <w:tab w:val="clear" w:pos="4153"/>
                <w:tab w:val="clear" w:pos="8306"/>
              </w:tabs>
              <w:kinsoku/>
              <w:overflowPunct/>
              <w:topLinePunct w:val="0"/>
              <w:bidi w:val="0"/>
              <w:spacing w:line="56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提供盖有合同甲方公章的履约评价扫描件（履约评价需由服务单位本单位盖章出具，下属单位、内设机构或关联单位的履约评价不得分），原件备查。（未提供或未按要求提供或提供的不清晰导致专家无法判断的，不得分）</w:t>
            </w:r>
          </w:p>
          <w:p>
            <w:pPr>
              <w:keepNext w:val="0"/>
              <w:keepLines w:val="0"/>
              <w:pageBreakBefore w:val="0"/>
              <w:kinsoku/>
              <w:overflowPunct/>
              <w:topLinePunct w:val="0"/>
              <w:bidi w:val="0"/>
              <w:spacing w:line="56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2、供应商提供的合同甲方出具评价为优/优秀/满意或最高评价的履约（验收）合格评价证明文件的，同样得分。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406" w:hRule="atLeast"/>
          <w:tblCellSpacing w:w="0" w:type="dxa"/>
          <w:jc w:val="center"/>
        </w:trPr>
        <w:tc>
          <w:tcPr>
            <w:tcW w:w="830" w:type="dxa"/>
            <w:gridSpan w:val="2"/>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4</w:t>
            </w:r>
          </w:p>
        </w:tc>
        <w:tc>
          <w:tcPr>
            <w:tcW w:w="563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val="0"/>
                <w:bCs/>
                <w:sz w:val="28"/>
                <w:szCs w:val="28"/>
                <w:highlight w:val="none"/>
              </w:rPr>
              <w:t>供应商社会责任</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78" w:hRule="atLeast"/>
          <w:tblCellSpacing w:w="0" w:type="dxa"/>
          <w:jc w:val="center"/>
        </w:trPr>
        <w:tc>
          <w:tcPr>
            <w:tcW w:w="830" w:type="dxa"/>
            <w:gridSpan w:val="2"/>
            <w:vMerge w:val="restart"/>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2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评分因素</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权重</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评分方式</w:t>
            </w:r>
          </w:p>
        </w:tc>
        <w:tc>
          <w:tcPr>
            <w:tcW w:w="31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3" w:type="dxa"/>
          <w:trHeight w:val="78" w:hRule="atLeast"/>
          <w:tblCellSpacing w:w="0" w:type="dxa"/>
          <w:jc w:val="center"/>
        </w:trPr>
        <w:tc>
          <w:tcPr>
            <w:tcW w:w="830"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560" w:lineRule="exact"/>
              <w:jc w:val="center"/>
              <w:rPr>
                <w:rFonts w:hint="eastAsia" w:ascii="仿宋_GB2312" w:hAnsi="仿宋_GB2312" w:eastAsia="仿宋_GB2312" w:cs="仿宋_GB2312"/>
                <w:sz w:val="28"/>
                <w:szCs w:val="28"/>
                <w:highlight w:val="none"/>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2" w:rightChars="1"/>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2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2" w:rightChars="1"/>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公司诚信</w:t>
            </w:r>
          </w:p>
        </w:tc>
        <w:tc>
          <w:tcPr>
            <w:tcW w:w="8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2" w:rightChars="1"/>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560" w:lineRule="exact"/>
              <w:ind w:right="2" w:rightChars="1"/>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专家评分</w:t>
            </w:r>
          </w:p>
        </w:tc>
        <w:tc>
          <w:tcPr>
            <w:tcW w:w="3174"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pBdr>
                <w:bottom w:val="none" w:color="auto" w:sz="0" w:space="0"/>
              </w:pBdr>
              <w:tabs>
                <w:tab w:val="clear" w:pos="4153"/>
                <w:tab w:val="clear" w:pos="8306"/>
              </w:tabs>
              <w:kinsoku/>
              <w:overflowPunct/>
              <w:topLinePunct w:val="0"/>
              <w:bidi w:val="0"/>
              <w:spacing w:line="560" w:lineRule="exact"/>
              <w:ind w:right="2" w:rightChars="1"/>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供应商在参与政府采购活动中存在诚信相关问题且在主管部门相关处理措施实施期限内的，本项不得分，否则得满分。供应商无需提供任何证明材料，由工作人员向评审委员会提供相关信息。</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CESI仿宋-GB2312">
    <w:panose1 w:val="02000500000000000000"/>
    <w:charset w:val="86"/>
    <w:family w:val="auto"/>
    <w:pitch w:val="default"/>
    <w:sig w:usb0="800002AF" w:usb1="084F6CF8" w:usb2="00000010" w:usb3="00000000" w:csb0="0004000F"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2D"/>
    <w:rsid w:val="0004452E"/>
    <w:rsid w:val="00063A7C"/>
    <w:rsid w:val="00093FD0"/>
    <w:rsid w:val="00126CCA"/>
    <w:rsid w:val="00147FAE"/>
    <w:rsid w:val="001920F3"/>
    <w:rsid w:val="0019407C"/>
    <w:rsid w:val="001B6BA1"/>
    <w:rsid w:val="001C4652"/>
    <w:rsid w:val="001E1A82"/>
    <w:rsid w:val="002855E7"/>
    <w:rsid w:val="0029672D"/>
    <w:rsid w:val="002B1697"/>
    <w:rsid w:val="003245FC"/>
    <w:rsid w:val="00346479"/>
    <w:rsid w:val="00387F19"/>
    <w:rsid w:val="0039352C"/>
    <w:rsid w:val="003978C0"/>
    <w:rsid w:val="003A7B98"/>
    <w:rsid w:val="003B023A"/>
    <w:rsid w:val="00442230"/>
    <w:rsid w:val="004C4C3B"/>
    <w:rsid w:val="00511EF3"/>
    <w:rsid w:val="005E797E"/>
    <w:rsid w:val="006466FA"/>
    <w:rsid w:val="0065060B"/>
    <w:rsid w:val="006A7642"/>
    <w:rsid w:val="006A79A5"/>
    <w:rsid w:val="006B16D2"/>
    <w:rsid w:val="006D13BB"/>
    <w:rsid w:val="006D2CFE"/>
    <w:rsid w:val="006F5A72"/>
    <w:rsid w:val="00742202"/>
    <w:rsid w:val="00787327"/>
    <w:rsid w:val="008429C8"/>
    <w:rsid w:val="00846CD3"/>
    <w:rsid w:val="00885ACF"/>
    <w:rsid w:val="008F0EE7"/>
    <w:rsid w:val="0092181B"/>
    <w:rsid w:val="00985AFC"/>
    <w:rsid w:val="009C0D69"/>
    <w:rsid w:val="009C0FC1"/>
    <w:rsid w:val="00A002DA"/>
    <w:rsid w:val="00AD7E38"/>
    <w:rsid w:val="00B42079"/>
    <w:rsid w:val="00BB76A1"/>
    <w:rsid w:val="00C06CED"/>
    <w:rsid w:val="00C164F5"/>
    <w:rsid w:val="00C31E08"/>
    <w:rsid w:val="00C630D4"/>
    <w:rsid w:val="00C759D5"/>
    <w:rsid w:val="00C923D7"/>
    <w:rsid w:val="00CA6284"/>
    <w:rsid w:val="00CE0EC9"/>
    <w:rsid w:val="00CF74BC"/>
    <w:rsid w:val="00D01DE3"/>
    <w:rsid w:val="00D946C9"/>
    <w:rsid w:val="00DE7843"/>
    <w:rsid w:val="00E31A6A"/>
    <w:rsid w:val="00EB71B2"/>
    <w:rsid w:val="00EE2FD1"/>
    <w:rsid w:val="00F123E9"/>
    <w:rsid w:val="00F20F4D"/>
    <w:rsid w:val="00F94E83"/>
    <w:rsid w:val="00FE2B59"/>
    <w:rsid w:val="0DFD8B5A"/>
    <w:rsid w:val="1B1D30B7"/>
    <w:rsid w:val="3B7D2F0B"/>
    <w:rsid w:val="3BED14AB"/>
    <w:rsid w:val="3F7B08CA"/>
    <w:rsid w:val="4FE3D2A0"/>
    <w:rsid w:val="51A23FA9"/>
    <w:rsid w:val="5BEE1759"/>
    <w:rsid w:val="66784CA8"/>
    <w:rsid w:val="6BFF6024"/>
    <w:rsid w:val="706A4457"/>
    <w:rsid w:val="73570BE7"/>
    <w:rsid w:val="7CBEE87C"/>
    <w:rsid w:val="7FCB8BDC"/>
    <w:rsid w:val="D4FA8DEC"/>
    <w:rsid w:val="DDF3888B"/>
    <w:rsid w:val="DFBEE38A"/>
    <w:rsid w:val="EFB2F67F"/>
    <w:rsid w:val="F773AD9B"/>
    <w:rsid w:val="F7BE72C6"/>
    <w:rsid w:val="FB7F7EAC"/>
    <w:rsid w:val="FB7FC550"/>
    <w:rsid w:val="FDB54E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5"/>
    <w:next w:val="6"/>
    <w:link w:val="16"/>
    <w:qFormat/>
    <w:uiPriority w:val="0"/>
    <w:pPr>
      <w:numPr>
        <w:ilvl w:val="1"/>
        <w:numId w:val="1"/>
      </w:numPr>
      <w:adjustRightInd w:val="0"/>
      <w:spacing w:line="416" w:lineRule="atLeast"/>
      <w:textAlignment w:val="baseline"/>
      <w:outlineLvl w:val="1"/>
    </w:pPr>
    <w:rPr>
      <w:rFonts w:ascii="Arial" w:hAnsi="Arial" w:eastAsia="黑体"/>
      <w:b w:val="0"/>
      <w:bCs w:val="0"/>
      <w:kern w:val="0"/>
      <w:szCs w:val="20"/>
    </w:rPr>
  </w:style>
  <w:style w:type="paragraph" w:styleId="5">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unhideWhenUsed/>
    <w:qFormat/>
    <w:uiPriority w:val="0"/>
    <w:pPr>
      <w:spacing w:after="120"/>
    </w:pPr>
  </w:style>
  <w:style w:type="paragraph" w:styleId="7">
    <w:name w:val="annotation text"/>
    <w:basedOn w:val="1"/>
    <w:link w:val="24"/>
    <w:semiHidden/>
    <w:unhideWhenUsed/>
    <w:qFormat/>
    <w:uiPriority w:val="99"/>
    <w:pPr>
      <w:jc w:val="left"/>
    </w:pPr>
  </w:style>
  <w:style w:type="paragraph" w:styleId="8">
    <w:name w:val="Balloon Text"/>
    <w:basedOn w:val="1"/>
    <w:link w:val="26"/>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autoSpaceDE w:val="0"/>
      <w:autoSpaceDN w:val="0"/>
      <w:adjustRightInd w:val="0"/>
      <w:spacing w:line="360" w:lineRule="auto"/>
      <w:jc w:val="center"/>
      <w:textAlignment w:val="baseline"/>
    </w:pPr>
    <w:rPr>
      <w:rFonts w:ascii="宋体" w:hAnsiTheme="minorHAnsi" w:eastAsiaTheme="minorEastAsia" w:cstheme="minorBidi"/>
      <w:sz w:val="18"/>
      <w:szCs w:val="22"/>
    </w:rPr>
  </w:style>
  <w:style w:type="paragraph" w:styleId="11">
    <w:name w:val="annotation subject"/>
    <w:basedOn w:val="7"/>
    <w:next w:val="7"/>
    <w:link w:val="25"/>
    <w:semiHidden/>
    <w:unhideWhenUsed/>
    <w:qFormat/>
    <w:uiPriority w:val="99"/>
    <w:rPr>
      <w:b/>
      <w:bCs/>
    </w:rPr>
  </w:style>
  <w:style w:type="character" w:styleId="14">
    <w:name w:val="Hyperlink"/>
    <w:qFormat/>
    <w:uiPriority w:val="0"/>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标题 2 字符"/>
    <w:basedOn w:val="13"/>
    <w:link w:val="4"/>
    <w:qFormat/>
    <w:uiPriority w:val="0"/>
    <w:rPr>
      <w:rFonts w:ascii="Arial" w:hAnsi="Arial" w:eastAsia="黑体" w:cs="Times New Roman"/>
      <w:kern w:val="0"/>
      <w:sz w:val="32"/>
      <w:szCs w:val="20"/>
    </w:rPr>
  </w:style>
  <w:style w:type="character" w:customStyle="1" w:styleId="17">
    <w:name w:val="正文文本 字符"/>
    <w:basedOn w:val="13"/>
    <w:link w:val="2"/>
    <w:qFormat/>
    <w:uiPriority w:val="0"/>
    <w:rPr>
      <w:rFonts w:ascii="Times New Roman" w:hAnsi="Times New Roman" w:eastAsia="宋体" w:cs="Times New Roman"/>
      <w:szCs w:val="24"/>
    </w:rPr>
  </w:style>
  <w:style w:type="character" w:customStyle="1" w:styleId="18">
    <w:name w:val="页眉 字符"/>
    <w:link w:val="10"/>
    <w:qFormat/>
    <w:uiPriority w:val="0"/>
    <w:rPr>
      <w:rFonts w:ascii="宋体"/>
      <w:sz w:val="18"/>
    </w:rPr>
  </w:style>
  <w:style w:type="character" w:customStyle="1" w:styleId="19">
    <w:name w:val="页眉 字符1"/>
    <w:basedOn w:val="13"/>
    <w:semiHidden/>
    <w:qFormat/>
    <w:uiPriority w:val="99"/>
    <w:rPr>
      <w:rFonts w:ascii="Times New Roman" w:hAnsi="Times New Roman" w:eastAsia="宋体" w:cs="Times New Roman"/>
      <w:sz w:val="18"/>
      <w:szCs w:val="18"/>
    </w:rPr>
  </w:style>
  <w:style w:type="character" w:customStyle="1" w:styleId="20">
    <w:name w:val="标题 3 字符"/>
    <w:basedOn w:val="13"/>
    <w:link w:val="5"/>
    <w:semiHidden/>
    <w:qFormat/>
    <w:uiPriority w:val="9"/>
    <w:rPr>
      <w:rFonts w:ascii="Times New Roman" w:hAnsi="Times New Roman" w:eastAsia="宋体" w:cs="Times New Roman"/>
      <w:b/>
      <w:bCs/>
      <w:sz w:val="32"/>
      <w:szCs w:val="32"/>
    </w:rPr>
  </w:style>
  <w:style w:type="character" w:customStyle="1" w:styleId="21">
    <w:name w:val="标题 4 字符"/>
    <w:basedOn w:val="13"/>
    <w:link w:val="6"/>
    <w:semiHidden/>
    <w:qFormat/>
    <w:uiPriority w:val="9"/>
    <w:rPr>
      <w:rFonts w:asciiTheme="majorHAnsi" w:hAnsiTheme="majorHAnsi" w:eastAsiaTheme="majorEastAsia" w:cstheme="majorBidi"/>
      <w:b/>
      <w:bCs/>
      <w:sz w:val="28"/>
      <w:szCs w:val="28"/>
    </w:rPr>
  </w:style>
  <w:style w:type="character" w:customStyle="1" w:styleId="22">
    <w:name w:val="标题 1 字符"/>
    <w:basedOn w:val="13"/>
    <w:link w:val="3"/>
    <w:qFormat/>
    <w:uiPriority w:val="9"/>
    <w:rPr>
      <w:rFonts w:ascii="Times New Roman" w:hAnsi="Times New Roman" w:eastAsia="宋体" w:cs="Times New Roman"/>
      <w:b/>
      <w:bCs/>
      <w:kern w:val="44"/>
      <w:sz w:val="44"/>
      <w:szCs w:val="44"/>
    </w:rPr>
  </w:style>
  <w:style w:type="character" w:customStyle="1" w:styleId="23">
    <w:name w:val="页脚 字符"/>
    <w:basedOn w:val="13"/>
    <w:link w:val="9"/>
    <w:qFormat/>
    <w:uiPriority w:val="99"/>
    <w:rPr>
      <w:rFonts w:ascii="Times New Roman" w:hAnsi="Times New Roman" w:eastAsia="宋体" w:cs="Times New Roman"/>
      <w:sz w:val="18"/>
      <w:szCs w:val="18"/>
    </w:rPr>
  </w:style>
  <w:style w:type="character" w:customStyle="1" w:styleId="24">
    <w:name w:val="批注文字 字符"/>
    <w:basedOn w:val="13"/>
    <w:link w:val="7"/>
    <w:semiHidden/>
    <w:qFormat/>
    <w:uiPriority w:val="99"/>
    <w:rPr>
      <w:rFonts w:ascii="Times New Roman" w:hAnsi="Times New Roman" w:eastAsia="宋体" w:cs="Times New Roman"/>
      <w:szCs w:val="24"/>
    </w:rPr>
  </w:style>
  <w:style w:type="character" w:customStyle="1" w:styleId="25">
    <w:name w:val="批注主题 字符"/>
    <w:basedOn w:val="24"/>
    <w:link w:val="11"/>
    <w:semiHidden/>
    <w:qFormat/>
    <w:uiPriority w:val="99"/>
    <w:rPr>
      <w:rFonts w:ascii="Times New Roman" w:hAnsi="Times New Roman" w:eastAsia="宋体" w:cs="Times New Roman"/>
      <w:b/>
      <w:bCs/>
      <w:szCs w:val="24"/>
    </w:rPr>
  </w:style>
  <w:style w:type="character" w:customStyle="1" w:styleId="26">
    <w:name w:val="批注框文本 字符"/>
    <w:basedOn w:val="13"/>
    <w:link w:val="8"/>
    <w:semiHidden/>
    <w:qFormat/>
    <w:uiPriority w:val="99"/>
    <w:rPr>
      <w:rFonts w:ascii="Times New Roman" w:hAnsi="Times New Roman" w:eastAsia="宋体" w:cs="Times New Roman"/>
      <w:sz w:val="18"/>
      <w:szCs w:val="18"/>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313</Words>
  <Characters>1790</Characters>
  <Lines>14</Lines>
  <Paragraphs>4</Paragraphs>
  <TotalTime>97</TotalTime>
  <ScaleCrop>false</ScaleCrop>
  <LinksUpToDate>false</LinksUpToDate>
  <CharactersWithSpaces>2099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2022-05-27T08:22:00Z</dcterms:created>
  <dc:creator>于 海宁</dc:creator>
  <cp:lastModifiedBy>yt</cp:lastModifiedBy>
  <dcterms:modified xsi:type="dcterms:W3CDTF">2022-06-02T16:35:25Z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