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902" w:type="dxa"/>
        <w:jc w:val="center"/>
        <w:tblCellSpacing w:w="0" w:type="dxa"/>
        <w:tblLayout w:type="fixed"/>
        <w:tblCellMar>
          <w:top w:w="45" w:type="dxa"/>
          <w:left w:w="45" w:type="dxa"/>
          <w:bottom w:w="45" w:type="dxa"/>
          <w:right w:w="45" w:type="dxa"/>
        </w:tblCellMar>
      </w:tblPr>
      <w:tblGrid>
        <w:gridCol w:w="621"/>
        <w:gridCol w:w="209"/>
        <w:gridCol w:w="690"/>
        <w:gridCol w:w="10"/>
        <w:gridCol w:w="2955"/>
        <w:gridCol w:w="62"/>
        <w:gridCol w:w="795"/>
        <w:gridCol w:w="18"/>
        <w:gridCol w:w="1105"/>
        <w:gridCol w:w="3122"/>
        <w:gridCol w:w="315"/>
      </w:tblGrid>
      <w:tr>
        <w:tblPrEx>
          <w:tblCellMar>
            <w:top w:w="45" w:type="dxa"/>
            <w:left w:w="45" w:type="dxa"/>
            <w:bottom w:w="45" w:type="dxa"/>
            <w:right w:w="45" w:type="dxa"/>
          </w:tblCellMar>
        </w:tblPrEx>
        <w:trPr>
          <w:gridBefore w:val="1"/>
          <w:wBefore w:w="621" w:type="dxa"/>
          <w:tblCellSpacing w:w="0" w:type="dxa"/>
          <w:jc w:val="center"/>
        </w:trPr>
        <w:tc>
          <w:tcPr>
            <w:tcW w:w="9281" w:type="dxa"/>
            <w:gridSpan w:val="10"/>
            <w:tcBorders>
              <w:top w:val="nil"/>
              <w:left w:val="nil"/>
              <w:bottom w:val="nil"/>
              <w:right w:val="nil"/>
            </w:tcBorders>
            <w:vAlign w:val="center"/>
          </w:tcPr>
          <w:p>
            <w:pPr>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val="en-US" w:eastAsia="zh-CN"/>
              </w:rPr>
              <w:t>2023年</w:t>
            </w:r>
            <w:r>
              <w:rPr>
                <w:rFonts w:hint="eastAsia" w:ascii="方正小标宋简体" w:hAnsi="方正小标宋简体" w:eastAsia="方正小标宋简体" w:cs="方正小标宋简体"/>
                <w:color w:val="auto"/>
                <w:kern w:val="0"/>
                <w:sz w:val="44"/>
                <w:szCs w:val="44"/>
              </w:rPr>
              <w:t>广东省国民体质监测工作</w:t>
            </w:r>
            <w:r>
              <w:rPr>
                <w:rFonts w:hint="eastAsia" w:ascii="方正小标宋简体" w:hAnsi="方正小标宋简体" w:eastAsia="方正小标宋简体" w:cs="方正小标宋简体"/>
                <w:color w:val="auto"/>
                <w:kern w:val="0"/>
                <w:sz w:val="44"/>
                <w:szCs w:val="44"/>
                <w:lang w:eastAsia="zh-CN"/>
              </w:rPr>
              <w:t>（盐田区）</w:t>
            </w:r>
          </w:p>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color w:val="auto"/>
                <w:kern w:val="0"/>
                <w:sz w:val="44"/>
                <w:szCs w:val="44"/>
              </w:rPr>
              <w:t>项目</w:t>
            </w:r>
            <w:bookmarkStart w:id="0" w:name="_GoBack"/>
            <w:bookmarkEnd w:id="0"/>
            <w:r>
              <w:rPr>
                <w:rFonts w:hint="eastAsia" w:ascii="方正小标宋简体" w:hAnsi="方正小标宋简体" w:eastAsia="方正小标宋简体" w:cs="方正小标宋简体"/>
                <w:color w:val="auto"/>
                <w:kern w:val="0"/>
                <w:sz w:val="44"/>
                <w:szCs w:val="44"/>
              </w:rPr>
              <w:t>信息评分表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563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评分项</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563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技术部分</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63"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项目报价</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rPr>
                <w:rFonts w:hint="eastAsia" w:ascii="仿宋_GB2312" w:hAnsi="仿宋_GB2312" w:eastAsia="仿宋_GB2312" w:cs="仿宋_GB2312"/>
              </w:rPr>
            </w:pPr>
            <w:r>
              <w:rPr>
                <w:rFonts w:hint="eastAsia" w:ascii="仿宋_GB2312" w:hAnsi="仿宋_GB2312" w:eastAsia="仿宋_GB2312" w:cs="仿宋_GB2312"/>
              </w:rPr>
              <w:t>采用低价优先法计算，即满足谈判文件要求且报价最低的为评标基准价，其报价为满分。其他谈判供应商的报价得分统一按照下列公式计算：</w:t>
            </w:r>
          </w:p>
          <w:p>
            <w:pPr>
              <w:spacing w:after="240"/>
              <w:rPr>
                <w:rFonts w:hint="eastAsia" w:ascii="仿宋_GB2312" w:hAnsi="仿宋_GB2312" w:eastAsia="仿宋_GB2312" w:cs="仿宋_GB2312"/>
                <w:szCs w:val="21"/>
              </w:rPr>
            </w:pPr>
            <w:r>
              <w:rPr>
                <w:rFonts w:hint="eastAsia" w:ascii="仿宋_GB2312" w:hAnsi="仿宋_GB2312" w:eastAsia="仿宋_GB2312" w:cs="仿宋_GB2312"/>
              </w:rPr>
              <w:t xml:space="preserve">报价得分=(评标基准价／投标报价)×100 </w:t>
            </w:r>
            <w:r>
              <w:rPr>
                <w:rFonts w:hint="eastAsia" w:ascii="仿宋_GB2312" w:hAnsi="仿宋_GB2312" w:eastAsia="仿宋_GB2312" w:cs="仿宋_GB2312"/>
              </w:rPr>
              <w:br w:type="textWrapping"/>
            </w:r>
            <w:r>
              <w:rPr>
                <w:rFonts w:hint="eastAsia" w:ascii="仿宋_GB2312" w:hAnsi="仿宋_GB2312" w:eastAsia="仿宋_GB2312" w:cs="仿宋_GB2312"/>
              </w:rPr>
              <w:t>备注：项目报价每年上限为11万，报价超过11万的为无效报价，此项不得分。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安全生产承诺</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供应商提供承诺函（格式自定），承诺内容至少包括：在项目履约期间，要强化安全生产管理，制定安全生产指定，落实主体责任，确保项目安全运营等内容。</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按要求提供承诺函的得100%，未提供或承诺内容不满足要求的均不得分。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违约承诺</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评审内容：</w:t>
            </w:r>
          </w:p>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1.体测人员严格按照谈判文件及投标承诺配置；</w:t>
            </w:r>
          </w:p>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2.服务质量达到文件要求；</w:t>
            </w:r>
          </w:p>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3.对未能达到管理要求承担相应管理责任。</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标准：要求提供承诺（格式自拟）作为得分依据，未提供承诺的不得分。若隐瞒情况虚假承诺将被认定为投标无效并报主管部门处理。</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评标委员会根据响应情况进行打分，承诺满足以上3点得100分，未满足不得分。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2346"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体测团队资质</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rPr>
            </w:pPr>
            <w:r>
              <w:rPr>
                <w:rFonts w:hint="eastAsia" w:ascii="仿宋_GB2312" w:hAnsi="仿宋_GB2312" w:eastAsia="仿宋_GB2312" w:cs="仿宋_GB2312"/>
                <w:szCs w:val="21"/>
              </w:rPr>
              <w:t>20</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根据体测团队成员情况进行评分：</w:t>
            </w:r>
          </w:p>
          <w:p>
            <w:pPr>
              <w:spacing w:after="240"/>
              <w:rPr>
                <w:rFonts w:hint="eastAsia" w:ascii="仿宋_GB2312" w:hAnsi="仿宋_GB2312" w:eastAsia="仿宋_GB2312" w:cs="仿宋_GB2312"/>
                <w:sz w:val="18"/>
                <w:szCs w:val="18"/>
              </w:rPr>
            </w:pPr>
            <w:r>
              <w:rPr>
                <w:rFonts w:hint="eastAsia" w:ascii="仿宋_GB2312" w:hAnsi="仿宋_GB2312" w:eastAsia="仿宋_GB2312" w:cs="仿宋_GB2312"/>
                <w:szCs w:val="21"/>
              </w:rPr>
              <w:t>1.不少于15名体质测试专职人员得30分，否则不得分；</w:t>
            </w:r>
          </w:p>
          <w:p>
            <w:pPr>
              <w:spacing w:after="240"/>
              <w:rPr>
                <w:rStyle w:val="15"/>
                <w:rFonts w:hint="eastAsia" w:ascii="仿宋_GB2312" w:hAnsi="仿宋_GB2312" w:eastAsia="仿宋_GB2312" w:cs="仿宋_GB2312"/>
              </w:rPr>
            </w:pPr>
            <w:r>
              <w:rPr>
                <w:rFonts w:hint="eastAsia" w:ascii="仿宋_GB2312" w:hAnsi="仿宋_GB2312" w:eastAsia="仿宋_GB2312" w:cs="仿宋_GB2312"/>
                <w:szCs w:val="21"/>
              </w:rPr>
              <w:t>2.体质测试专职人员持有有效期内《深圳市国民体质测定工作上岗证》得30分，否则不得分</w:t>
            </w:r>
            <w:r>
              <w:rPr>
                <w:rStyle w:val="15"/>
                <w:rFonts w:hint="eastAsia" w:ascii="仿宋_GB2312" w:hAnsi="仿宋_GB2312" w:eastAsia="仿宋_GB2312" w:cs="仿宋_GB2312"/>
              </w:rPr>
              <w:t>；</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3.体质测试专职人员中至少3名女性得30分；每增加一名得10分，满分40分。</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以上三项累计加分，满分100分。</w:t>
            </w:r>
          </w:p>
          <w:p>
            <w:pPr>
              <w:spacing w:after="2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（二）评分依据：</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《深圳市国民体质测定工作上岗证》要求是深圳市文化广电旅游体育局颁发，并在有效期内的证件。要求</w:t>
            </w:r>
            <w:r>
              <w:rPr>
                <w:rFonts w:hint="eastAsia" w:ascii="仿宋_GB2312" w:hAnsi="仿宋_GB2312" w:eastAsia="仿宋_GB2312" w:cs="仿宋_GB2312"/>
                <w:szCs w:val="21"/>
              </w:rPr>
              <w:t>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5635" w:type="dxa"/>
            <w:gridSpan w:val="7"/>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服务部分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79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510"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服务网点（场地）</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深圳供应商，投标人具有所投服务经营范围；售后机构必须同时提供售后服务合作合同及售后机构营业执照扫描件作为得分依据，原件备查）的，得100分。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120"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项目完成后的服务承诺</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rPr>
                <w:rFonts w:hint="eastAsia" w:ascii="仿宋_GB2312" w:hAnsi="仿宋_GB2312" w:eastAsia="仿宋_GB2312" w:cs="仿宋_GB2312"/>
                <w:b/>
                <w:i/>
                <w:szCs w:val="21"/>
                <w:u w:val="single"/>
              </w:rPr>
            </w:pPr>
            <w:r>
              <w:rPr>
                <w:rFonts w:hint="eastAsia" w:ascii="仿宋_GB2312" w:hAnsi="仿宋_GB2312" w:eastAsia="仿宋_GB2312" w:cs="仿宋_GB2312"/>
                <w:szCs w:val="21"/>
              </w:rPr>
              <w:t>（一）评分内容：</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针对本项目的需求提供项目完成（服务期满）后的服务承诺，内容包括但不限于：</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1.供应商服务期满后与后续服务公司的交接承诺；</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2.供应商服务期满，后续服务公司未到位前，仍按原合同服务承诺提供服务的承诺。</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供应商需提供违约承诺函（格式自拟），承诺函包括上述二项内容得100分。未按谈判文件要求或未承诺的不得分。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120"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服务方案</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35</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after="240"/>
              <w:ind w:firstLine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评分内容：</w:t>
            </w:r>
          </w:p>
          <w:p>
            <w:pPr>
              <w:pStyle w:val="2"/>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体测站方案</w:t>
            </w:r>
            <w:r>
              <w:rPr>
                <w:rFonts w:hint="eastAsia" w:ascii="仿宋_GB2312" w:hAnsi="仿宋_GB2312" w:eastAsia="仿宋_GB2312" w:cs="仿宋_GB2312"/>
                <w:szCs w:val="21"/>
                <w:highlight w:val="none"/>
              </w:rPr>
              <w:t>，包含应急方案，测试计划，测试内容及工作任务，最高得100分。</w:t>
            </w:r>
          </w:p>
          <w:p>
            <w:pPr>
              <w:pStyle w:val="2"/>
              <w:numPr>
                <w:ilvl w:val="0"/>
                <w:numId w:val="2"/>
              </w:num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评分依据：</w:t>
            </w:r>
          </w:p>
          <w:p>
            <w:pPr>
              <w:pStyle w:val="2"/>
              <w:rPr>
                <w:rFonts w:hint="eastAsia" w:ascii="仿宋_GB2312" w:hAnsi="仿宋_GB2312" w:eastAsia="仿宋_GB2312" w:cs="仿宋_GB2312"/>
                <w:highlight w:val="none"/>
              </w:rPr>
            </w:pPr>
            <w:r>
              <w:rPr>
                <w:rFonts w:hint="eastAsia" w:ascii="仿宋_GB2312" w:hAnsi="仿宋_GB2312" w:eastAsia="仿宋_GB2312" w:cs="仿宋_GB2312"/>
                <w:highlight w:val="none"/>
              </w:rPr>
              <w:t>1.方案详细、周密、有条理；</w:t>
            </w:r>
          </w:p>
          <w:p>
            <w:pPr>
              <w:adjustRightInd w:val="0"/>
              <w:snapToGrid w:val="0"/>
              <w:spacing w:line="600" w:lineRule="exact"/>
              <w:rPr>
                <w:rFonts w:hint="eastAsia" w:ascii="仿宋_GB2312" w:hAnsi="仿宋_GB2312" w:eastAsia="仿宋_GB2312" w:cs="仿宋_GB2312"/>
              </w:rPr>
            </w:pPr>
            <w:r>
              <w:rPr>
                <w:rFonts w:hint="eastAsia" w:ascii="仿宋_GB2312" w:hAnsi="仿宋_GB2312" w:eastAsia="仿宋_GB2312" w:cs="仿宋_GB2312"/>
                <w:highlight w:val="none"/>
              </w:rPr>
              <w:t>2.方案内容符合要求。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3</w:t>
            </w:r>
          </w:p>
        </w:tc>
        <w:tc>
          <w:tcPr>
            <w:tcW w:w="5635" w:type="dxa"/>
            <w:gridSpan w:val="7"/>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综合实力部分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81"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权重</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1740"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同类项目业绩情况</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10</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专家打分</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spacing w:after="240"/>
              <w:rPr>
                <w:rFonts w:hint="eastAsia" w:ascii="仿宋_GB2312" w:hAnsi="仿宋_GB2312" w:eastAsia="仿宋_GB2312" w:cs="仿宋_GB2312"/>
                <w:szCs w:val="21"/>
              </w:rPr>
            </w:pPr>
            <w:r>
              <w:rPr>
                <w:rFonts w:hint="eastAsia" w:ascii="仿宋_GB2312" w:hAnsi="仿宋_GB2312" w:eastAsia="仿宋_GB2312" w:cs="仿宋_GB2312"/>
              </w:rPr>
              <w:t>2019年至今与市级以上各级体育行政部门签订过国民体质测定相关业务；每有一项业绩得20分，最高得100分；。</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1.要求同时提供合同关键信息，需加盖合同甲方公章（或甲方业务章）。</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2.通过合同关键信息无法判断是否得分的，也可以提供能证明得分的其它证明资料，如项目报告或合同甲方出具的证明文件等。</w:t>
            </w:r>
          </w:p>
          <w:p>
            <w:pPr>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3.以上资料均要求提供扫描件，原件备查。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6013"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履约评价</w:t>
            </w:r>
          </w:p>
        </w:tc>
        <w:tc>
          <w:tcPr>
            <w:tcW w:w="875" w:type="dxa"/>
            <w:gridSpan w:val="3"/>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05" w:type="dxa"/>
            <w:vMerge w:val="restart"/>
            <w:tcBorders>
              <w:top w:val="single" w:color="auto" w:sz="4" w:space="0"/>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专家评分</w:t>
            </w:r>
          </w:p>
        </w:tc>
        <w:tc>
          <w:tcPr>
            <w:tcW w:w="3122" w:type="dxa"/>
            <w:tcBorders>
              <w:top w:val="single" w:color="auto" w:sz="4" w:space="0"/>
              <w:left w:val="single" w:color="auto" w:sz="4" w:space="0"/>
              <w:right w:val="single" w:color="auto" w:sz="4" w:space="0"/>
            </w:tcBorders>
            <w:vAlign w:val="center"/>
          </w:tcPr>
          <w:p>
            <w:pPr>
              <w:spacing w:after="240"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wordWrap w:val="0"/>
              <w:spacing w:after="240"/>
              <w:rPr>
                <w:rFonts w:hint="eastAsia" w:ascii="仿宋_GB2312" w:hAnsi="仿宋_GB2312" w:eastAsia="仿宋_GB2312" w:cs="仿宋_GB2312"/>
                <w:szCs w:val="21"/>
              </w:rPr>
            </w:pPr>
            <w:r>
              <w:rPr>
                <w:rFonts w:hint="eastAsia" w:ascii="仿宋_GB2312" w:hAnsi="仿宋_GB2312" w:eastAsia="仿宋_GB2312" w:cs="仿宋_GB2312"/>
                <w:szCs w:val="21"/>
              </w:rPr>
              <w:t>1.上述经评审得分的“同类项目业绩情况”中，合同甲方出具评价为优/优秀/满意或最高评价的履约（验收）合格评价证明文件，每提供一份得20分，最高得100分，没有不得分；</w:t>
            </w:r>
          </w:p>
          <w:p>
            <w:pPr>
              <w:spacing w:after="240"/>
              <w:jc w:val="left"/>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pStyle w:val="10"/>
              <w:pBdr>
                <w:bottom w:val="none" w:color="auto" w:sz="0" w:space="0"/>
              </w:pBdr>
              <w:tabs>
                <w:tab w:val="clear" w:pos="4153"/>
                <w:tab w:val="clear" w:pos="8306"/>
              </w:tabs>
              <w:spacing w:after="24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盖有合同甲方公章的履约评价扫描件（履约评价需由服务单位本单位盖章出具，下属单位、内设机构或关联单位的履约评价不得分），原件备查。（未提供或未按要求提供或提供的不清晰导致专家无法判断的，不得分）</w:t>
            </w:r>
          </w:p>
          <w:p>
            <w:pPr>
              <w:pStyle w:val="10"/>
              <w:pBdr>
                <w:bottom w:val="none" w:color="auto" w:sz="0" w:space="0"/>
              </w:pBdr>
              <w:tabs>
                <w:tab w:val="clear" w:pos="4153"/>
                <w:tab w:val="clear" w:pos="8306"/>
              </w:tabs>
              <w:spacing w:after="24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2、供应商提供的合同甲方出具评价为优/优秀/满意或最高评价的履约（验收）合格评价证明文件的，同样得分。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4418"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rPr>
                <w:rFonts w:hint="eastAsia" w:ascii="仿宋_GB2312" w:hAnsi="仿宋_GB2312" w:eastAsia="仿宋_GB2312" w:cs="仿宋_GB2312"/>
                <w:szCs w:val="21"/>
              </w:rPr>
            </w:pPr>
          </w:p>
        </w:tc>
        <w:tc>
          <w:tcPr>
            <w:tcW w:w="690" w:type="dxa"/>
            <w:tcBorders>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荣誉奖项</w:t>
            </w:r>
          </w:p>
        </w:tc>
        <w:tc>
          <w:tcPr>
            <w:tcW w:w="875" w:type="dxa"/>
            <w:gridSpan w:val="3"/>
            <w:tcBorders>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105" w:type="dxa"/>
            <w:vMerge w:val="continue"/>
            <w:tcBorders>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3122" w:type="dxa"/>
            <w:tcBorders>
              <w:left w:val="single" w:color="auto" w:sz="4" w:space="0"/>
              <w:bottom w:val="single" w:color="auto" w:sz="4" w:space="0"/>
              <w:right w:val="single" w:color="auto" w:sz="4" w:space="0"/>
            </w:tcBorders>
            <w:vAlign w:val="center"/>
          </w:tcPr>
          <w:p>
            <w:pPr>
              <w:spacing w:after="240" w:line="24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rPr>
              <w:t>（一</w:t>
            </w:r>
            <w:r>
              <w:rPr>
                <w:rFonts w:hint="eastAsia" w:ascii="仿宋_GB2312" w:hAnsi="仿宋_GB2312" w:eastAsia="仿宋_GB2312" w:cs="仿宋_GB2312"/>
                <w:szCs w:val="21"/>
                <w:highlight w:val="none"/>
              </w:rPr>
              <w:t>）评分内容：</w:t>
            </w:r>
          </w:p>
          <w:p>
            <w:pPr>
              <w:pStyle w:val="2"/>
              <w:spacing w:after="240"/>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近5年获得过国家、省、市文体部门颁发的（团体或单位）奖项；有国家级奖项得50分，省、市级奖项得30分，区</w:t>
            </w:r>
            <w:r>
              <w:rPr>
                <w:rFonts w:hint="eastAsia" w:ascii="仿宋_GB2312" w:hAnsi="仿宋_GB2312" w:eastAsia="仿宋_GB2312" w:cs="仿宋_GB2312"/>
                <w:szCs w:val="21"/>
              </w:rPr>
              <w:t>级奖项得20分，最高得100分。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406" w:hRule="atLeast"/>
          <w:tblCellSpacing w:w="0" w:type="dxa"/>
          <w:jc w:val="center"/>
        </w:trPr>
        <w:tc>
          <w:tcPr>
            <w:tcW w:w="830" w:type="dxa"/>
            <w:gridSpan w:val="2"/>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4</w:t>
            </w:r>
          </w:p>
        </w:tc>
        <w:tc>
          <w:tcPr>
            <w:tcW w:w="5635" w:type="dxa"/>
            <w:gridSpan w:val="7"/>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供应商社会责任</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78" w:hRule="atLeast"/>
          <w:tblCellSpacing w:w="0" w:type="dxa"/>
          <w:jc w:val="center"/>
        </w:trPr>
        <w:tc>
          <w:tcPr>
            <w:tcW w:w="830" w:type="dxa"/>
            <w:gridSpan w:val="2"/>
            <w:vMerge w:val="restart"/>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95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122" w:type="dxa"/>
            <w:tcBorders>
              <w:top w:val="single" w:color="auto" w:sz="4" w:space="0"/>
              <w:left w:val="single" w:color="auto" w:sz="4" w:space="0"/>
              <w:bottom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5" w:type="dxa"/>
          <w:trHeight w:val="78" w:hRule="atLeast"/>
          <w:tblCellSpacing w:w="0" w:type="dxa"/>
          <w:jc w:val="center"/>
        </w:trPr>
        <w:tc>
          <w:tcPr>
            <w:tcW w:w="830" w:type="dxa"/>
            <w:gridSpan w:val="2"/>
            <w:vMerge w:val="continue"/>
            <w:tcBorders>
              <w:left w:val="single" w:color="auto" w:sz="4" w:space="0"/>
              <w:right w:val="single" w:color="auto" w:sz="4" w:space="0"/>
            </w:tcBorders>
            <w:vAlign w:val="center"/>
          </w:tcPr>
          <w:p>
            <w:pPr>
              <w:spacing w:after="240"/>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after="240"/>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pPr>
              <w:spacing w:after="240"/>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公司诚信</w:t>
            </w: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after="240"/>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05" w:type="dxa"/>
            <w:tcBorders>
              <w:top w:val="single" w:color="auto" w:sz="4" w:space="0"/>
              <w:left w:val="single" w:color="auto" w:sz="4" w:space="0"/>
              <w:bottom w:val="single" w:color="auto" w:sz="4" w:space="0"/>
              <w:right w:val="single" w:color="auto" w:sz="4" w:space="0"/>
            </w:tcBorders>
            <w:vAlign w:val="center"/>
          </w:tcPr>
          <w:p>
            <w:pPr>
              <w:spacing w:after="240"/>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专家评分</w:t>
            </w:r>
          </w:p>
        </w:tc>
        <w:tc>
          <w:tcPr>
            <w:tcW w:w="312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clear" w:pos="4153"/>
                <w:tab w:val="clear" w:pos="8306"/>
              </w:tabs>
              <w:spacing w:after="240"/>
              <w:ind w:right="2" w:rightChars="1"/>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供应商在参与政府采购活动中存在诚信相关问题且在主管部门相关处理措施实施期限内的，本项不得分，否则得满分。供应商无需提供任何证明材料，由工作人员向评审委员会提供相关信息。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4EDF73D6"/>
    <w:multiLevelType w:val="multilevel"/>
    <w:tmpl w:val="4EDF73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72D"/>
    <w:rsid w:val="0004452E"/>
    <w:rsid w:val="00063A7C"/>
    <w:rsid w:val="00093FD0"/>
    <w:rsid w:val="00126CCA"/>
    <w:rsid w:val="00147FAE"/>
    <w:rsid w:val="001920F3"/>
    <w:rsid w:val="0019407C"/>
    <w:rsid w:val="001B6BA1"/>
    <w:rsid w:val="001C4652"/>
    <w:rsid w:val="001E1A82"/>
    <w:rsid w:val="002855E7"/>
    <w:rsid w:val="0029672D"/>
    <w:rsid w:val="002B1697"/>
    <w:rsid w:val="003245FC"/>
    <w:rsid w:val="00346479"/>
    <w:rsid w:val="00387F19"/>
    <w:rsid w:val="0039352C"/>
    <w:rsid w:val="003978C0"/>
    <w:rsid w:val="003A7B98"/>
    <w:rsid w:val="003B023A"/>
    <w:rsid w:val="00442230"/>
    <w:rsid w:val="00491D15"/>
    <w:rsid w:val="004C4C3B"/>
    <w:rsid w:val="00511EF3"/>
    <w:rsid w:val="00592A8D"/>
    <w:rsid w:val="005E797E"/>
    <w:rsid w:val="006466FA"/>
    <w:rsid w:val="0065060B"/>
    <w:rsid w:val="006A7642"/>
    <w:rsid w:val="006A79A5"/>
    <w:rsid w:val="006B16D2"/>
    <w:rsid w:val="006D13BB"/>
    <w:rsid w:val="006D2CFE"/>
    <w:rsid w:val="006F5A72"/>
    <w:rsid w:val="00742202"/>
    <w:rsid w:val="00787327"/>
    <w:rsid w:val="008429C8"/>
    <w:rsid w:val="00846CD3"/>
    <w:rsid w:val="00885ACF"/>
    <w:rsid w:val="008F0EE7"/>
    <w:rsid w:val="0092181B"/>
    <w:rsid w:val="00985AFC"/>
    <w:rsid w:val="009C0D69"/>
    <w:rsid w:val="009C0FC1"/>
    <w:rsid w:val="00A002DA"/>
    <w:rsid w:val="00AD7E38"/>
    <w:rsid w:val="00B42079"/>
    <w:rsid w:val="00BB76A1"/>
    <w:rsid w:val="00C06CED"/>
    <w:rsid w:val="00C164F5"/>
    <w:rsid w:val="00C31E08"/>
    <w:rsid w:val="00C630D4"/>
    <w:rsid w:val="00C759D5"/>
    <w:rsid w:val="00C923D7"/>
    <w:rsid w:val="00CA6284"/>
    <w:rsid w:val="00CE0EC9"/>
    <w:rsid w:val="00CF74BC"/>
    <w:rsid w:val="00D01DE3"/>
    <w:rsid w:val="00D946C9"/>
    <w:rsid w:val="00DD7D1C"/>
    <w:rsid w:val="00DE7843"/>
    <w:rsid w:val="00E31A6A"/>
    <w:rsid w:val="00EB71B2"/>
    <w:rsid w:val="00EE2FD1"/>
    <w:rsid w:val="00F123E9"/>
    <w:rsid w:val="00F20F4D"/>
    <w:rsid w:val="00F94E83"/>
    <w:rsid w:val="00FE2B59"/>
    <w:rsid w:val="149F7472"/>
    <w:rsid w:val="1B1D30B7"/>
    <w:rsid w:val="3DE5CED2"/>
    <w:rsid w:val="51A23FA9"/>
    <w:rsid w:val="5CB73BD1"/>
    <w:rsid w:val="66784CA8"/>
    <w:rsid w:val="706A4457"/>
    <w:rsid w:val="B1FFEC4E"/>
    <w:rsid w:val="B9756BE6"/>
    <w:rsid w:val="D9F7C5DC"/>
    <w:rsid w:val="DBBE0846"/>
    <w:rsid w:val="EB7F671F"/>
    <w:rsid w:val="FFDF5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5"/>
    <w:next w:val="6"/>
    <w:link w:val="16"/>
    <w:qFormat/>
    <w:uiPriority w:val="0"/>
    <w:pPr>
      <w:numPr>
        <w:ilvl w:val="1"/>
        <w:numId w:val="1"/>
      </w:numPr>
      <w:adjustRightInd w:val="0"/>
      <w:spacing w:line="416" w:lineRule="atLeast"/>
      <w:textAlignment w:val="baseline"/>
      <w:outlineLvl w:val="1"/>
    </w:pPr>
    <w:rPr>
      <w:rFonts w:ascii="Arial" w:hAnsi="Arial" w:eastAsia="黑体"/>
      <w:b w:val="0"/>
      <w:bCs w:val="0"/>
      <w:kern w:val="0"/>
      <w:szCs w:val="20"/>
    </w:rPr>
  </w:style>
  <w:style w:type="paragraph" w:styleId="5">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0"/>
    <w:pPr>
      <w:spacing w:after="120"/>
    </w:pPr>
  </w:style>
  <w:style w:type="paragraph" w:styleId="7">
    <w:name w:val="annotation text"/>
    <w:basedOn w:val="1"/>
    <w:link w:val="24"/>
    <w:semiHidden/>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autoSpaceDE w:val="0"/>
      <w:autoSpaceDN w:val="0"/>
      <w:adjustRightInd w:val="0"/>
      <w:spacing w:line="360" w:lineRule="auto"/>
      <w:jc w:val="center"/>
      <w:textAlignment w:val="baseline"/>
    </w:pPr>
    <w:rPr>
      <w:rFonts w:ascii="宋体" w:hAnsiTheme="minorHAnsi" w:eastAsiaTheme="minorEastAsia" w:cstheme="minorBidi"/>
      <w:sz w:val="18"/>
      <w:szCs w:val="22"/>
    </w:rPr>
  </w:style>
  <w:style w:type="paragraph" w:styleId="11">
    <w:name w:val="annotation subject"/>
    <w:basedOn w:val="7"/>
    <w:next w:val="7"/>
    <w:link w:val="25"/>
    <w:semiHidden/>
    <w:unhideWhenUsed/>
    <w:qFormat/>
    <w:uiPriority w:val="99"/>
    <w:rPr>
      <w:b/>
      <w:bCs/>
    </w:rPr>
  </w:style>
  <w:style w:type="character" w:styleId="14">
    <w:name w:val="Hyperlink"/>
    <w:qFormat/>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2 Char"/>
    <w:basedOn w:val="13"/>
    <w:link w:val="4"/>
    <w:qFormat/>
    <w:uiPriority w:val="0"/>
    <w:rPr>
      <w:rFonts w:ascii="Arial" w:hAnsi="Arial" w:eastAsia="黑体" w:cs="Times New Roman"/>
      <w:kern w:val="0"/>
      <w:sz w:val="32"/>
      <w:szCs w:val="20"/>
    </w:rPr>
  </w:style>
  <w:style w:type="character" w:customStyle="1" w:styleId="17">
    <w:name w:val="正文文本 Char"/>
    <w:basedOn w:val="13"/>
    <w:link w:val="2"/>
    <w:qFormat/>
    <w:uiPriority w:val="0"/>
    <w:rPr>
      <w:rFonts w:ascii="Times New Roman" w:hAnsi="Times New Roman" w:eastAsia="宋体" w:cs="Times New Roman"/>
      <w:szCs w:val="24"/>
    </w:rPr>
  </w:style>
  <w:style w:type="character" w:customStyle="1" w:styleId="18">
    <w:name w:val="页眉 Char"/>
    <w:link w:val="10"/>
    <w:qFormat/>
    <w:uiPriority w:val="0"/>
    <w:rPr>
      <w:rFonts w:ascii="宋体"/>
      <w:sz w:val="18"/>
    </w:rPr>
  </w:style>
  <w:style w:type="character" w:customStyle="1" w:styleId="19">
    <w:name w:val="页眉 字符1"/>
    <w:basedOn w:val="13"/>
    <w:semiHidden/>
    <w:qFormat/>
    <w:uiPriority w:val="99"/>
    <w:rPr>
      <w:rFonts w:ascii="Times New Roman" w:hAnsi="Times New Roman" w:eastAsia="宋体" w:cs="Times New Roman"/>
      <w:sz w:val="18"/>
      <w:szCs w:val="18"/>
    </w:rPr>
  </w:style>
  <w:style w:type="character" w:customStyle="1" w:styleId="20">
    <w:name w:val="标题 3 Char"/>
    <w:basedOn w:val="13"/>
    <w:link w:val="5"/>
    <w:semiHidden/>
    <w:qFormat/>
    <w:uiPriority w:val="9"/>
    <w:rPr>
      <w:rFonts w:ascii="Times New Roman" w:hAnsi="Times New Roman" w:eastAsia="宋体" w:cs="Times New Roman"/>
      <w:b/>
      <w:bCs/>
      <w:sz w:val="32"/>
      <w:szCs w:val="32"/>
    </w:rPr>
  </w:style>
  <w:style w:type="character" w:customStyle="1" w:styleId="21">
    <w:name w:val="标题 4 Char"/>
    <w:basedOn w:val="13"/>
    <w:link w:val="6"/>
    <w:semiHidden/>
    <w:qFormat/>
    <w:uiPriority w:val="9"/>
    <w:rPr>
      <w:rFonts w:asciiTheme="majorHAnsi" w:hAnsiTheme="majorHAnsi" w:eastAsiaTheme="majorEastAsia" w:cstheme="majorBidi"/>
      <w:b/>
      <w:bCs/>
      <w:sz w:val="28"/>
      <w:szCs w:val="28"/>
    </w:rPr>
  </w:style>
  <w:style w:type="character" w:customStyle="1" w:styleId="22">
    <w:name w:val="标题 1 Char"/>
    <w:basedOn w:val="13"/>
    <w:link w:val="3"/>
    <w:qFormat/>
    <w:uiPriority w:val="9"/>
    <w:rPr>
      <w:rFonts w:ascii="Times New Roman" w:hAnsi="Times New Roman" w:eastAsia="宋体" w:cs="Times New Roman"/>
      <w:b/>
      <w:bCs/>
      <w:kern w:val="44"/>
      <w:sz w:val="44"/>
      <w:szCs w:val="44"/>
    </w:rPr>
  </w:style>
  <w:style w:type="character" w:customStyle="1" w:styleId="23">
    <w:name w:val="页脚 Char"/>
    <w:basedOn w:val="13"/>
    <w:link w:val="9"/>
    <w:qFormat/>
    <w:uiPriority w:val="99"/>
    <w:rPr>
      <w:rFonts w:ascii="Times New Roman" w:hAnsi="Times New Roman" w:eastAsia="宋体" w:cs="Times New Roman"/>
      <w:sz w:val="18"/>
      <w:szCs w:val="18"/>
    </w:rPr>
  </w:style>
  <w:style w:type="character" w:customStyle="1" w:styleId="24">
    <w:name w:val="批注文字 Char"/>
    <w:basedOn w:val="13"/>
    <w:link w:val="7"/>
    <w:semiHidden/>
    <w:qFormat/>
    <w:uiPriority w:val="99"/>
    <w:rPr>
      <w:rFonts w:ascii="Times New Roman" w:hAnsi="Times New Roman" w:eastAsia="宋体" w:cs="Times New Roman"/>
      <w:szCs w:val="24"/>
    </w:rPr>
  </w:style>
  <w:style w:type="character" w:customStyle="1" w:styleId="25">
    <w:name w:val="批注主题 Char"/>
    <w:basedOn w:val="24"/>
    <w:link w:val="11"/>
    <w:semiHidden/>
    <w:qFormat/>
    <w:uiPriority w:val="99"/>
    <w:rPr>
      <w:rFonts w:ascii="Times New Roman" w:hAnsi="Times New Roman" w:eastAsia="宋体" w:cs="Times New Roman"/>
      <w:b/>
      <w:bCs/>
      <w:szCs w:val="24"/>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289</Words>
  <Characters>1653</Characters>
  <Lines>13</Lines>
  <Paragraphs>3</Paragraphs>
  <TotalTime>10</TotalTime>
  <ScaleCrop>false</ScaleCrop>
  <LinksUpToDate>false</LinksUpToDate>
  <CharactersWithSpaces>1939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2022-05-26T00:22:00Z</dcterms:created>
  <dc:creator>于 海宁</dc:creator>
  <cp:lastModifiedBy>yt</cp:lastModifiedBy>
  <dcterms:modified xsi:type="dcterms:W3CDTF">2023-07-19T15:54:06Z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