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12"/>
        <w:tblW w:w="9902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21"/>
        <w:gridCol w:w="209"/>
        <w:gridCol w:w="690"/>
        <w:gridCol w:w="10"/>
        <w:gridCol w:w="2801"/>
        <w:gridCol w:w="1029"/>
        <w:gridCol w:w="1105"/>
        <w:gridCol w:w="3174"/>
        <w:gridCol w:w="263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621" w:type="dxa"/>
          <w:tblCellSpacing w:w="0" w:type="dxa"/>
          <w:jc w:val="center"/>
        </w:trPr>
        <w:tc>
          <w:tcPr>
            <w:tcW w:w="92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年盐田区体质测定与运动健身指导站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日常运营服务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项目评分表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blCellSpacing w:w="0" w:type="dxa"/>
          <w:jc w:val="center"/>
        </w:trPr>
        <w:tc>
          <w:tcPr>
            <w:tcW w:w="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评分项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权重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blCellSpacing w:w="0" w:type="dxa"/>
          <w:jc w:val="center"/>
        </w:trPr>
        <w:tc>
          <w:tcPr>
            <w:tcW w:w="8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技术能力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63" w:hRule="atLeast"/>
          <w:tblCellSpacing w:w="0" w:type="dxa"/>
          <w:jc w:val="center"/>
        </w:trPr>
        <w:tc>
          <w:tcPr>
            <w:tcW w:w="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评分因素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权重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评分方式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63" w:hRule="atLeast"/>
          <w:tblCellSpacing w:w="0" w:type="dxa"/>
          <w:jc w:val="center"/>
        </w:trPr>
        <w:tc>
          <w:tcPr>
            <w:tcW w:w="8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安全生产承诺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评审人员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打分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供应商提供承诺函（格式自定），承诺内容至少包括：在项目履约期间，要强化安全生产管理，制定安全生产指定，落实主体责任，确保项目安全运营等内容。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按要求提供承诺函的得100%，未提供或承诺内容不满足要求的均不得分。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2346" w:hRule="atLeast"/>
          <w:tblCellSpacing w:w="0" w:type="dxa"/>
          <w:jc w:val="center"/>
        </w:trPr>
        <w:tc>
          <w:tcPr>
            <w:tcW w:w="8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体测团队资质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评审人员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打分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（一）评分内容：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根据体测团队成员情况进行评分：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1.不少于15名体质测试队伍人员得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分，否则不得分；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Style w:val="15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2.体质测试专职人员持有有效期内《深圳市国民体质测定工作上岗证》得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分，否则不得分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3.体质测试专职人员中至少3名女性得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分；每增加一名得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以上三项累计加分，满分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（二）评分依据：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《深圳市国民体质测定工作上岗证》要求是深圳市文化广电旅游体育局颁发，并在有效期内的证件。提供扫描件，原件备查。评分中出现无证明资料或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评审人员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无法凭所提供资料判断是否得分的情况，一律作不得分处理。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510" w:hRule="atLeast"/>
          <w:tblCellSpacing w:w="0" w:type="dxa"/>
          <w:jc w:val="center"/>
        </w:trPr>
        <w:tc>
          <w:tcPr>
            <w:tcW w:w="8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项目完成后的服务承诺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评审人员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打分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b/>
                <w:i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（一）评分内容：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针对本项目的需求提供项目完成（服务期满）后的服务承诺，内容包括但不限于：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1.供应商服务期满后与后续服务公司的交接承诺；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2.供应商服务期满，后续服务供应商未到位前，仍按原合同服务承诺提供服务的承诺。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（二）评分依据：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供应商需提供违约承诺函（格式自拟），承诺函包括上述二项内容得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分。未按谈判文件要求或未承诺的不得分。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120" w:hRule="atLeast"/>
          <w:tblCellSpacing w:w="0" w:type="dxa"/>
          <w:jc w:val="center"/>
        </w:trPr>
        <w:tc>
          <w:tcPr>
            <w:tcW w:w="8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服务方案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评审人员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打分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评分内容：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体测站方案，应急方案，测试内容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工作任务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及管理制度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最高得分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after="0"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评分依据：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1.方案详细、周密、有条理；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2.方案内容符合要求。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blCellSpacing w:w="0" w:type="dxa"/>
          <w:jc w:val="center"/>
        </w:trPr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综合能力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部分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81" w:hRule="atLeast"/>
          <w:tblCellSpacing w:w="0" w:type="dxa"/>
          <w:jc w:val="center"/>
        </w:trPr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评分因素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权重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评分方式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4418" w:hRule="atLeast"/>
          <w:tblCellSpacing w:w="0" w:type="dxa"/>
          <w:jc w:val="center"/>
        </w:trPr>
        <w:tc>
          <w:tcPr>
            <w:tcW w:w="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企业责任</w:t>
            </w: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评审人员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评分</w:t>
            </w:r>
          </w:p>
        </w:tc>
        <w:tc>
          <w:tcPr>
            <w:tcW w:w="3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（一）评分内容：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投标人提供有效期内企业社会责任认证有效证书得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（二）评分依据：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提供证书扫描件，原件备查。不具备或未提供有效证明文件的不得分。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2.以上资料均要求提供扫描件，原件备查。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78" w:hRule="atLeast"/>
          <w:tblCellSpacing w:w="0" w:type="dxa"/>
          <w:jc w:val="center"/>
        </w:trPr>
        <w:tc>
          <w:tcPr>
            <w:tcW w:w="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2" w:right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2" w:right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公司诚信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2" w:rightChars="1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2" w:right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评审人员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评分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pacing w:line="400" w:lineRule="exact"/>
              <w:ind w:right="2" w:rightChars="1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供应商根据招标公告规定提供承诺声明。按要求提供承诺声明的得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分，承诺内容不满足邀请函要求的少一条扣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分，未提供的不得分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670" w:hRule="atLeast"/>
          <w:tblCellSpacing w:w="0" w:type="dxa"/>
          <w:jc w:val="center"/>
        </w:trPr>
        <w:tc>
          <w:tcPr>
            <w:tcW w:w="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2" w:rightChars="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pacing w:line="400" w:lineRule="exact"/>
              <w:ind w:right="2" w:rightChars="1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78" w:hRule="atLeast"/>
          <w:tblCellSpacing w:w="0" w:type="dxa"/>
          <w:jc w:val="center"/>
        </w:trPr>
        <w:tc>
          <w:tcPr>
            <w:tcW w:w="8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评分因素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权重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评分方式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" w:type="dxa"/>
          <w:trHeight w:val="1740" w:hRule="atLeast"/>
          <w:tblCellSpacing w:w="0" w:type="dxa"/>
          <w:jc w:val="center"/>
        </w:trPr>
        <w:tc>
          <w:tcPr>
            <w:tcW w:w="8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价格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评审人员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打分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采用低价优先法计算，即满足谈判文件要求且报价最低的为评标基准价，其报价为满分。其他谈判供应商的报价得分统一按照下列公式计算： 报价得分=(评标基准价／投标报价)×100×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</w:tr>
    </w:tbl>
    <w:p/>
    <w:sectPr>
      <w:footerReference r:id="rId3" w:type="default"/>
      <w:pgSz w:w="11906" w:h="16838"/>
      <w:pgMar w:top="1134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pStyle w:val="4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">
    <w:nsid w:val="4EDF73D6"/>
    <w:multiLevelType w:val="multilevel"/>
    <w:tmpl w:val="4EDF73D6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TE0YWFhNTBmMzcyYmM1ZjI0YjQ2NDNiMTI5ZjkifQ=="/>
  </w:docVars>
  <w:rsids>
    <w:rsidRoot w:val="0029672D"/>
    <w:rsid w:val="0003102E"/>
    <w:rsid w:val="0004452E"/>
    <w:rsid w:val="00063A7C"/>
    <w:rsid w:val="00084B99"/>
    <w:rsid w:val="00093FD0"/>
    <w:rsid w:val="00126CCA"/>
    <w:rsid w:val="00147FAE"/>
    <w:rsid w:val="00163975"/>
    <w:rsid w:val="00181A65"/>
    <w:rsid w:val="001920F3"/>
    <w:rsid w:val="0019407C"/>
    <w:rsid w:val="001B6BA1"/>
    <w:rsid w:val="001C4652"/>
    <w:rsid w:val="001E1A82"/>
    <w:rsid w:val="002661D0"/>
    <w:rsid w:val="00273249"/>
    <w:rsid w:val="0029672D"/>
    <w:rsid w:val="002B1697"/>
    <w:rsid w:val="00317997"/>
    <w:rsid w:val="003245FC"/>
    <w:rsid w:val="0034029A"/>
    <w:rsid w:val="00346479"/>
    <w:rsid w:val="00354520"/>
    <w:rsid w:val="00387F19"/>
    <w:rsid w:val="0039352C"/>
    <w:rsid w:val="003978C0"/>
    <w:rsid w:val="003A7B98"/>
    <w:rsid w:val="003B023A"/>
    <w:rsid w:val="00442230"/>
    <w:rsid w:val="00465C20"/>
    <w:rsid w:val="004C4C3B"/>
    <w:rsid w:val="00511EF3"/>
    <w:rsid w:val="00513855"/>
    <w:rsid w:val="005E797E"/>
    <w:rsid w:val="006466FA"/>
    <w:rsid w:val="0065060B"/>
    <w:rsid w:val="00691E69"/>
    <w:rsid w:val="006A32F8"/>
    <w:rsid w:val="006A7642"/>
    <w:rsid w:val="006A79A5"/>
    <w:rsid w:val="006B16D2"/>
    <w:rsid w:val="006D13BB"/>
    <w:rsid w:val="006D2CFE"/>
    <w:rsid w:val="006D7070"/>
    <w:rsid w:val="006F5A72"/>
    <w:rsid w:val="007224AA"/>
    <w:rsid w:val="00742202"/>
    <w:rsid w:val="00787327"/>
    <w:rsid w:val="00787A61"/>
    <w:rsid w:val="008429C8"/>
    <w:rsid w:val="00846CD3"/>
    <w:rsid w:val="00885ACF"/>
    <w:rsid w:val="008F0EE7"/>
    <w:rsid w:val="0092181B"/>
    <w:rsid w:val="00921950"/>
    <w:rsid w:val="00946EFB"/>
    <w:rsid w:val="009615F3"/>
    <w:rsid w:val="00985AFC"/>
    <w:rsid w:val="009C0D69"/>
    <w:rsid w:val="009C0FC1"/>
    <w:rsid w:val="00A002DA"/>
    <w:rsid w:val="00A464F8"/>
    <w:rsid w:val="00AB0753"/>
    <w:rsid w:val="00AD7E38"/>
    <w:rsid w:val="00B42079"/>
    <w:rsid w:val="00B7106A"/>
    <w:rsid w:val="00BB76A1"/>
    <w:rsid w:val="00C06CED"/>
    <w:rsid w:val="00C164F5"/>
    <w:rsid w:val="00C31E08"/>
    <w:rsid w:val="00C759D5"/>
    <w:rsid w:val="00C923D7"/>
    <w:rsid w:val="00CA6284"/>
    <w:rsid w:val="00CC11D3"/>
    <w:rsid w:val="00CE0EC9"/>
    <w:rsid w:val="00CF74BC"/>
    <w:rsid w:val="00D01DE3"/>
    <w:rsid w:val="00D44871"/>
    <w:rsid w:val="00D727FE"/>
    <w:rsid w:val="00D946C9"/>
    <w:rsid w:val="00DE7843"/>
    <w:rsid w:val="00E31A6A"/>
    <w:rsid w:val="00E7252A"/>
    <w:rsid w:val="00EB1078"/>
    <w:rsid w:val="00EB71B2"/>
    <w:rsid w:val="00EE2FD1"/>
    <w:rsid w:val="00F123E9"/>
    <w:rsid w:val="00F20F4D"/>
    <w:rsid w:val="00F94E83"/>
    <w:rsid w:val="00FE2B59"/>
    <w:rsid w:val="00FF37C3"/>
    <w:rsid w:val="038D16A3"/>
    <w:rsid w:val="0E9C2003"/>
    <w:rsid w:val="14A75A39"/>
    <w:rsid w:val="17955913"/>
    <w:rsid w:val="1B1D30B7"/>
    <w:rsid w:val="1B55045B"/>
    <w:rsid w:val="2D9F74F1"/>
    <w:rsid w:val="3D006B63"/>
    <w:rsid w:val="4F214BA4"/>
    <w:rsid w:val="505508C7"/>
    <w:rsid w:val="51A23FA9"/>
    <w:rsid w:val="5A867B53"/>
    <w:rsid w:val="5BFF7F57"/>
    <w:rsid w:val="5ED47B1E"/>
    <w:rsid w:val="5FD973D5"/>
    <w:rsid w:val="66784CA8"/>
    <w:rsid w:val="66DE2AC5"/>
    <w:rsid w:val="683364F2"/>
    <w:rsid w:val="706A4457"/>
    <w:rsid w:val="76693116"/>
    <w:rsid w:val="7C07440E"/>
    <w:rsid w:val="B6F7A5C1"/>
    <w:rsid w:val="E7F09986"/>
    <w:rsid w:val="E7FD9DC6"/>
    <w:rsid w:val="F27F9B77"/>
    <w:rsid w:val="FBDF6D44"/>
    <w:rsid w:val="FDCE8AD6"/>
    <w:rsid w:val="FDF63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link w:val="16"/>
    <w:qFormat/>
    <w:uiPriority w:val="0"/>
    <w:pPr>
      <w:numPr>
        <w:ilvl w:val="1"/>
        <w:numId w:val="1"/>
      </w:numPr>
      <w:adjustRightInd w:val="0"/>
      <w:spacing w:line="416" w:lineRule="atLeast"/>
      <w:textAlignment w:val="baseline"/>
      <w:outlineLvl w:val="1"/>
    </w:pPr>
    <w:rPr>
      <w:rFonts w:ascii="Arial" w:hAnsi="Arial" w:eastAsia="黑体"/>
      <w:b w:val="0"/>
      <w:bCs w:val="0"/>
      <w:kern w:val="0"/>
      <w:szCs w:val="2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nhideWhenUsed/>
    <w:qFormat/>
    <w:uiPriority w:val="0"/>
    <w:pPr>
      <w:spacing w:after="120"/>
    </w:pPr>
  </w:style>
  <w:style w:type="paragraph" w:styleId="7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jc w:val="center"/>
      <w:textAlignment w:val="baseline"/>
    </w:pPr>
    <w:rPr>
      <w:rFonts w:ascii="宋体" w:hAnsiTheme="minorHAnsi" w:eastAsiaTheme="minorEastAsia" w:cstheme="minorBidi"/>
      <w:sz w:val="18"/>
      <w:szCs w:val="22"/>
    </w:rPr>
  </w:style>
  <w:style w:type="paragraph" w:styleId="11">
    <w:name w:val="annotation subject"/>
    <w:basedOn w:val="7"/>
    <w:next w:val="7"/>
    <w:link w:val="25"/>
    <w:semiHidden/>
    <w:unhideWhenUsed/>
    <w:qFormat/>
    <w:uiPriority w:val="99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2 Char"/>
    <w:basedOn w:val="13"/>
    <w:link w:val="4"/>
    <w:qFormat/>
    <w:uiPriority w:val="0"/>
    <w:rPr>
      <w:rFonts w:ascii="Arial" w:hAnsi="Arial" w:eastAsia="黑体" w:cs="Times New Roman"/>
      <w:kern w:val="0"/>
      <w:sz w:val="32"/>
      <w:szCs w:val="20"/>
    </w:rPr>
  </w:style>
  <w:style w:type="character" w:customStyle="1" w:styleId="17">
    <w:name w:val="正文文本 Char"/>
    <w:basedOn w:val="13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眉 Char"/>
    <w:link w:val="10"/>
    <w:qFormat/>
    <w:uiPriority w:val="99"/>
    <w:rPr>
      <w:rFonts w:ascii="宋体"/>
      <w:sz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3 Char"/>
    <w:basedOn w:val="13"/>
    <w:link w:val="5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3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页脚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3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1300</Characters>
  <Lines>10</Lines>
  <Paragraphs>3</Paragraphs>
  <TotalTime>0</TotalTime>
  <ScaleCrop>false</ScaleCrop>
  <LinksUpToDate>false</LinksUpToDate>
  <CharactersWithSpaces>1525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2022-06-01T03:50:00Z</dcterms:created>
  <dc:creator>于 海宁</dc:creator>
  <cp:lastModifiedBy>yt</cp:lastModifiedBy>
  <cp:lastPrinted>2024-04-28T23:38:00Z</cp:lastPrinted>
  <dcterms:modified xsi:type="dcterms:W3CDTF">2024-04-29T09:33:06Z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07D03E622F40423083BA0F5B35F0C533_13</vt:lpwstr>
  </property>
</Properties>
</file>