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EF" w:rsidRPr="00B0609A" w:rsidRDefault="00F676EF" w:rsidP="00F676EF">
      <w:pPr>
        <w:spacing w:afterLines="50" w:line="580" w:lineRule="exact"/>
        <w:rPr>
          <w:rFonts w:ascii="黑体" w:eastAsia="黑体" w:hAnsi="黑体" w:cs="仿宋" w:hint="eastAsia"/>
          <w:sz w:val="32"/>
          <w:szCs w:val="32"/>
        </w:rPr>
      </w:pPr>
      <w:r w:rsidRPr="00B0609A"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附件2：</w:t>
      </w:r>
    </w:p>
    <w:p w:rsidR="00F676EF" w:rsidRPr="00B0609A" w:rsidRDefault="00F676EF" w:rsidP="00F676EF">
      <w:pPr>
        <w:spacing w:line="579" w:lineRule="exact"/>
        <w:jc w:val="center"/>
        <w:rPr>
          <w:rFonts w:ascii="方正小标宋简体" w:eastAsia="方正小标宋简体" w:hAnsi="宋体" w:cs="宋体"/>
          <w:color w:val="000000"/>
          <w:spacing w:val="-10"/>
          <w:kern w:val="0"/>
          <w:sz w:val="44"/>
          <w:szCs w:val="44"/>
        </w:rPr>
      </w:pPr>
      <w:r w:rsidRPr="00B0609A">
        <w:rPr>
          <w:rFonts w:ascii="方正小标宋简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盐田区社区综合性文化服务中心建设</w:t>
      </w:r>
    </w:p>
    <w:p w:rsidR="00F676EF" w:rsidRPr="00B0609A" w:rsidRDefault="00F676EF" w:rsidP="00F676EF">
      <w:pPr>
        <w:spacing w:afterLines="50" w:line="580" w:lineRule="exact"/>
        <w:jc w:val="center"/>
        <w:rPr>
          <w:rFonts w:ascii="仿宋_GB2312" w:eastAsia="仿宋_GB2312" w:hAnsi="仿宋" w:cs="仿宋" w:hint="eastAsia"/>
          <w:sz w:val="32"/>
          <w:szCs w:val="22"/>
        </w:rPr>
      </w:pPr>
      <w:r w:rsidRPr="00B0609A">
        <w:rPr>
          <w:rFonts w:ascii="方正小标宋简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和服务标准</w:t>
      </w:r>
      <w:r w:rsidRPr="00B0609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（2017—2020年）</w:t>
      </w:r>
    </w:p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156"/>
      </w:tblGrid>
      <w:tr w:rsidR="00F676EF" w:rsidRPr="00AB697C" w:rsidTr="00A53DBC">
        <w:trPr>
          <w:tblHeader/>
        </w:trPr>
        <w:tc>
          <w:tcPr>
            <w:tcW w:w="900" w:type="dxa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AB697C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8156" w:type="dxa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AB697C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标   准</w:t>
            </w:r>
          </w:p>
        </w:tc>
      </w:tr>
      <w:tr w:rsidR="00F676EF" w:rsidRPr="00AB697C" w:rsidTr="00A53DBC"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场地选址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4"/>
              </w:rPr>
              <w:t>应建于人口集中、交通便利、符合安全卫生及环保标准、方便群众参与、易于疏散的区域。应设在方便居民出入的楼房低层和方位，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符合国家、省、市的无障碍公共环境标准。</w:t>
            </w:r>
          </w:p>
        </w:tc>
      </w:tr>
      <w:tr w:rsidR="00F676EF" w:rsidRPr="00AB697C" w:rsidTr="00A53DBC"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服务功能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集宣传文化、党员教育、科学普及、法制教育、文化娱乐、体育健身于一体，因地制宜地开展就业社保、职工关爱、养老助残、妇儿关爱、人口管理、技能推广等其他公共服务和社会管理工作，为群众提供一站式、窗口式、网络式综合便民服务。</w:t>
            </w:r>
          </w:p>
        </w:tc>
      </w:tr>
      <w:tr w:rsidR="00F676EF" w:rsidRPr="00AB697C" w:rsidTr="00A53DBC">
        <w:trPr>
          <w:trHeight w:val="327"/>
        </w:trPr>
        <w:tc>
          <w:tcPr>
            <w:tcW w:w="900" w:type="dxa"/>
            <w:vMerge w:val="restart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设施和器材配置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社区综合性文化服务中心可用于文化服务的群众用房面积（如图书阅览、书画、歌舞、棋牌、健身等文化活动室）不少于200平方米。</w:t>
            </w:r>
          </w:p>
        </w:tc>
      </w:tr>
      <w:tr w:rsidR="00F676EF" w:rsidRPr="00AB697C" w:rsidTr="00A53DBC">
        <w:trPr>
          <w:trHeight w:val="691"/>
        </w:trPr>
        <w:tc>
          <w:tcPr>
            <w:tcW w:w="900" w:type="dxa"/>
            <w:vMerge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文体广场不少于600平方米，含乒乓球台、健身路径等体育器材设施。有条件的社区配置篮球场等。</w:t>
            </w:r>
          </w:p>
        </w:tc>
      </w:tr>
      <w:tr w:rsidR="00F676EF" w:rsidRPr="00AB697C" w:rsidTr="00A53DBC">
        <w:trPr>
          <w:trHeight w:val="85"/>
        </w:trPr>
        <w:tc>
          <w:tcPr>
            <w:tcW w:w="900" w:type="dxa"/>
            <w:vMerge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设有图书室，配备图书、报刊，免费提供借阅服务。</w:t>
            </w:r>
          </w:p>
        </w:tc>
      </w:tr>
      <w:tr w:rsidR="00F676EF" w:rsidRPr="00AB697C" w:rsidTr="00A53DBC">
        <w:trPr>
          <w:trHeight w:val="296"/>
        </w:trPr>
        <w:tc>
          <w:tcPr>
            <w:tcW w:w="900" w:type="dxa"/>
            <w:vMerge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建有简易舞台，长10米、宽5米、高0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.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8米。</w:t>
            </w:r>
          </w:p>
        </w:tc>
      </w:tr>
      <w:tr w:rsidR="00F676EF" w:rsidRPr="00AB697C" w:rsidTr="00A53DBC">
        <w:tc>
          <w:tcPr>
            <w:tcW w:w="900" w:type="dxa"/>
            <w:vMerge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设有文化信息共享工程服务网点或电子阅览室，可上网电脑不少于2台。</w:t>
            </w:r>
          </w:p>
        </w:tc>
      </w:tr>
      <w:tr w:rsidR="00F676EF" w:rsidRPr="00AB697C" w:rsidTr="00A53DB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1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宋体" w:cs="仿宋_GB2312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设置宣传橱窗或阅报栏（电子阅报屏），以及专门的户外公益宣传设施，提供时政、科普、文化、体育、生活等方面的信息服务和公益宣传，每天更新报刊不少于2份。</w:t>
            </w:r>
          </w:p>
        </w:tc>
      </w:tr>
      <w:tr w:rsidR="00F676EF" w:rsidRPr="00AB697C" w:rsidTr="00A53DBC">
        <w:trPr>
          <w:trHeight w:val="306"/>
        </w:trPr>
        <w:tc>
          <w:tcPr>
            <w:tcW w:w="900" w:type="dxa"/>
            <w:vMerge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配备一套文化器材：含1套音响和部分乐器。</w:t>
            </w:r>
          </w:p>
        </w:tc>
      </w:tr>
      <w:tr w:rsidR="00F676EF" w:rsidRPr="00AB697C" w:rsidTr="00A53DBC">
        <w:trPr>
          <w:trHeight w:val="721"/>
        </w:trPr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场馆开放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实施免费开放，每周免费开放时间不少于36小时并实行错时开放，错时开放时间不少于总开放时间的三分之一。</w:t>
            </w:r>
          </w:p>
        </w:tc>
      </w:tr>
      <w:tr w:rsidR="00F676EF" w:rsidRPr="00AB697C" w:rsidTr="00A53DBC">
        <w:trPr>
          <w:trHeight w:val="603"/>
        </w:trPr>
        <w:tc>
          <w:tcPr>
            <w:tcW w:w="900" w:type="dxa"/>
            <w:vMerge w:val="restart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书刊阅读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图书室藏书量不少于1200种、1800册，报刊不少于20种，年新增藏书不少于70种、120册。</w:t>
            </w:r>
          </w:p>
        </w:tc>
      </w:tr>
      <w:tr w:rsidR="00F676EF" w:rsidRPr="00AB697C" w:rsidTr="00A53DBC">
        <w:trPr>
          <w:trHeight w:val="85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每年举办的阅读活动不少于6次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。为视障人士提供阅读服务。</w:t>
            </w:r>
          </w:p>
        </w:tc>
      </w:tr>
      <w:tr w:rsidR="00F676EF" w:rsidRPr="00AB697C" w:rsidTr="00A53DBC"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电影放映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配合上级部门开展电影进社区活动。</w:t>
            </w:r>
          </w:p>
        </w:tc>
      </w:tr>
      <w:tr w:rsidR="00F676EF" w:rsidRPr="00AB697C" w:rsidTr="00A53DBC">
        <w:tc>
          <w:tcPr>
            <w:tcW w:w="900" w:type="dxa"/>
            <w:vMerge w:val="restart"/>
            <w:vAlign w:val="center"/>
          </w:tcPr>
          <w:p w:rsidR="00F676EF" w:rsidRPr="00AB697C" w:rsidRDefault="00F676EF" w:rsidP="00A53DBC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文体活动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 xml:space="preserve">在重要节庆组织文艺演出、戏曲表演、体育比赛、民俗展演、广场歌舞等活动，居民就近方便参加各类文体活动。 </w:t>
            </w:r>
          </w:p>
        </w:tc>
      </w:tr>
      <w:tr w:rsidR="00F676EF" w:rsidRPr="00AB697C" w:rsidTr="00A53DBC">
        <w:trPr>
          <w:trHeight w:val="93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40" w:lineRule="exact"/>
              <w:rPr>
                <w:rFonts w:ascii="仿宋_GB2312" w:eastAsia="仿宋_GB2312" w:hAnsi="仿宋_GB2312" w:cs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每年举办文体活动不少于12次。</w:t>
            </w:r>
          </w:p>
        </w:tc>
      </w:tr>
      <w:tr w:rsidR="00F676EF" w:rsidRPr="00AB697C" w:rsidTr="00A53DBC">
        <w:trPr>
          <w:trHeight w:val="768"/>
        </w:trPr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培训讲座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提供基础性的文化体育艺术知识普及和培训服务，每年提供2个以上类别的文体培训。</w:t>
            </w:r>
          </w:p>
        </w:tc>
      </w:tr>
      <w:tr w:rsidR="00F676EF" w:rsidRPr="00AB697C" w:rsidTr="00A53DBC">
        <w:trPr>
          <w:trHeight w:val="297"/>
        </w:trPr>
        <w:tc>
          <w:tcPr>
            <w:tcW w:w="900" w:type="dxa"/>
            <w:vMerge w:val="restart"/>
            <w:vAlign w:val="center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全民健身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17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引导社区群众积极参加体育健身活动。</w:t>
            </w:r>
          </w:p>
        </w:tc>
      </w:tr>
      <w:tr w:rsidR="00F676EF" w:rsidRPr="00AB697C" w:rsidTr="00A53DBC">
        <w:trPr>
          <w:trHeight w:val="231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18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鼓励社区群众参与国民体质监测。</w:t>
            </w:r>
          </w:p>
        </w:tc>
      </w:tr>
      <w:tr w:rsidR="00F676EF" w:rsidRPr="00AB697C" w:rsidTr="00A53DBC">
        <w:trPr>
          <w:trHeight w:val="660"/>
        </w:trPr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lastRenderedPageBreak/>
              <w:t>免费上网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配置一定数量的数字文化资源，免费提供上网服务。</w:t>
            </w:r>
          </w:p>
        </w:tc>
      </w:tr>
      <w:tr w:rsidR="00F676EF" w:rsidRPr="00AB697C" w:rsidTr="00A53DBC">
        <w:trPr>
          <w:trHeight w:val="400"/>
        </w:trPr>
        <w:tc>
          <w:tcPr>
            <w:tcW w:w="900" w:type="dxa"/>
            <w:vMerge w:val="restart"/>
            <w:vAlign w:val="center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队伍建设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配备政府购买的公益文化服务岗位人员（文体协管员）不少于1名。</w:t>
            </w:r>
          </w:p>
        </w:tc>
      </w:tr>
      <w:tr w:rsidR="00F676EF" w:rsidRPr="00AB697C" w:rsidTr="00A53DBC">
        <w:trPr>
          <w:trHeight w:val="447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21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配备兼职文化辅导员不少于2名。</w:t>
            </w:r>
          </w:p>
        </w:tc>
      </w:tr>
      <w:tr w:rsidR="00F676EF" w:rsidRPr="00AB697C" w:rsidTr="00A53DBC">
        <w:trPr>
          <w:trHeight w:val="453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宋体"/>
                <w:bCs/>
                <w:color w:val="000000"/>
                <w:kern w:val="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22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招募文体志愿者不少于5名。</w:t>
            </w:r>
          </w:p>
        </w:tc>
      </w:tr>
      <w:tr w:rsidR="00F676EF" w:rsidRPr="00AB697C" w:rsidTr="00A53DBC">
        <w:trPr>
          <w:trHeight w:val="445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23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社区文化专兼职人员每年参加集中培训时间不少于5天。</w:t>
            </w:r>
          </w:p>
        </w:tc>
      </w:tr>
      <w:tr w:rsidR="00F676EF" w:rsidRPr="00AB697C" w:rsidTr="00A53DBC">
        <w:trPr>
          <w:trHeight w:val="466"/>
        </w:trPr>
        <w:tc>
          <w:tcPr>
            <w:tcW w:w="900" w:type="dxa"/>
            <w:vMerge w:val="restart"/>
            <w:vAlign w:val="center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标识设置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在服务场所内设置社区综合性文化服务中心名称标识牌。</w:t>
            </w:r>
          </w:p>
        </w:tc>
      </w:tr>
      <w:tr w:rsidR="00F676EF" w:rsidRPr="00AB697C" w:rsidTr="00A53DBC">
        <w:trPr>
          <w:trHeight w:val="783"/>
        </w:trPr>
        <w:tc>
          <w:tcPr>
            <w:tcW w:w="900" w:type="dxa"/>
            <w:vMerge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color w:val="000000"/>
                <w:sz w:val="24"/>
              </w:rPr>
            </w:pP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25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设立活动项目服务公示牌，含活动项目内容、活动时间、各功能场室分布图及项目联系人姓名、电话、监督方式等。</w:t>
            </w:r>
          </w:p>
        </w:tc>
      </w:tr>
      <w:tr w:rsidR="00F676EF" w:rsidRPr="00AB697C" w:rsidTr="00A53DBC">
        <w:trPr>
          <w:trHeight w:val="751"/>
        </w:trPr>
        <w:tc>
          <w:tcPr>
            <w:tcW w:w="900" w:type="dxa"/>
            <w:vAlign w:val="center"/>
          </w:tcPr>
          <w:p w:rsidR="00F676EF" w:rsidRPr="00AB697C" w:rsidRDefault="00F676EF" w:rsidP="00A53DBC">
            <w:pPr>
              <w:spacing w:line="360" w:lineRule="exact"/>
              <w:jc w:val="center"/>
              <w:rPr>
                <w:rFonts w:ascii="仿宋_GB2312" w:eastAsia="仿宋_GB2312" w:hAnsi="仿宋_GB2312"/>
                <w:bCs/>
                <w:color w:val="000000"/>
                <w:sz w:val="24"/>
              </w:rPr>
            </w:pPr>
            <w:r w:rsidRPr="00AB697C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活动宣传</w:t>
            </w:r>
          </w:p>
        </w:tc>
        <w:tc>
          <w:tcPr>
            <w:tcW w:w="8156" w:type="dxa"/>
            <w:vAlign w:val="center"/>
          </w:tcPr>
          <w:p w:rsidR="00F676EF" w:rsidRPr="00AB697C" w:rsidRDefault="00F676EF" w:rsidP="00A53DBC">
            <w:pPr>
              <w:spacing w:line="360" w:lineRule="exact"/>
              <w:rPr>
                <w:rFonts w:ascii="仿宋_GB2312" w:eastAsia="仿宋_GB2312" w:hAnsi="仿宋_GB2312"/>
                <w:bCs/>
                <w:snapToGrid w:val="0"/>
                <w:color w:val="000000"/>
                <w:sz w:val="24"/>
              </w:rPr>
            </w:pPr>
            <w:r w:rsidRPr="00AB697C"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26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AB697C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灵活运用微信、短信、网站等现代传播方式，加强活动及服务项目的宣传、沟通及反馈。</w:t>
            </w:r>
          </w:p>
        </w:tc>
      </w:tr>
    </w:tbl>
    <w:p w:rsidR="00F676EF" w:rsidRPr="00AB697C" w:rsidRDefault="00F676EF" w:rsidP="00F676EF">
      <w:pPr>
        <w:spacing w:line="400" w:lineRule="exact"/>
        <w:ind w:firstLineChars="200" w:firstLine="456"/>
        <w:rPr>
          <w:rFonts w:ascii="仿宋_GB2312" w:eastAsia="仿宋_GB2312" w:hAnsi="仿宋_GB2312"/>
          <w:bCs/>
          <w:snapToGrid w:val="0"/>
          <w:color w:val="000000"/>
          <w:spacing w:val="-6"/>
          <w:sz w:val="24"/>
        </w:rPr>
      </w:pP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pacing w:val="-6"/>
          <w:sz w:val="24"/>
        </w:rPr>
        <w:t>说明：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一、本标准结合《广东省行政村（社区）综合性文化服务中心建设标准（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2016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—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2020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年）》、《深圳市基本公共文化服务实施标准（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2016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—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2020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年）》和《中共深圳市委办公厅印发〈关于推进社区党建标准化建设的意见〉的通知》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(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深办发〔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2015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〕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16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号</w:t>
      </w:r>
      <w:r w:rsidRPr="00AB697C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)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等相关文件要求，结合我</w:t>
      </w:r>
      <w:r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区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实际制定；本标准可根据我</w:t>
      </w:r>
      <w:r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区</w:t>
      </w:r>
      <w:r w:rsidRPr="00AB697C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经济社会发展和市民文化需求进行调整，建立动态监测机制和绩效评价机制。二、本标准中涉及的服务及活动项目，均为社区综合性文化服务中心举办的、面向辖区群众的服务和活动项目。标准中的文体广场面积可累计计算</w:t>
      </w:r>
    </w:p>
    <w:p w:rsidR="009E7A1F" w:rsidRPr="0088082A" w:rsidRDefault="009E7A1F"/>
    <w:sectPr w:rsidR="009E7A1F" w:rsidRPr="0088082A" w:rsidSect="00FF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82A"/>
    <w:rsid w:val="0088082A"/>
    <w:rsid w:val="009E7A1F"/>
    <w:rsid w:val="00E67FDB"/>
    <w:rsid w:val="00F676EF"/>
    <w:rsid w:val="00F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1243</Characters>
  <Application>Microsoft Office Word</Application>
  <DocSecurity>0</DocSecurity>
  <Lines>10</Lines>
  <Paragraphs>2</Paragraphs>
  <ScaleCrop>false</ScaleCrop>
  <Company>盐田区政府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法制办收发文</dc:creator>
  <cp:lastModifiedBy>法制办收发文</cp:lastModifiedBy>
  <cp:revision>2</cp:revision>
  <dcterms:created xsi:type="dcterms:W3CDTF">2018-01-04T03:33:00Z</dcterms:created>
  <dcterms:modified xsi:type="dcterms:W3CDTF">2018-01-04T03:36:00Z</dcterms:modified>
</cp:coreProperties>
</file>