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8847" w:type="dxa"/>
        <w:tblInd w:w="8" w:type="dxa"/>
        <w:tblLayout w:type="fixed"/>
        <w:tblCellMar>
          <w:top w:w="0" w:type="dxa"/>
          <w:left w:w="0" w:type="dxa"/>
          <w:bottom w:w="0" w:type="dxa"/>
          <w:right w:w="0" w:type="dxa"/>
        </w:tblCellMar>
      </w:tblPr>
      <w:tblGrid>
        <w:gridCol w:w="85"/>
        <w:gridCol w:w="4297"/>
        <w:gridCol w:w="4345"/>
        <w:gridCol w:w="120"/>
      </w:tblGrid>
      <w:tr>
        <w:tblPrEx>
          <w:tblLayout w:type="fixed"/>
          <w:tblCellMar>
            <w:top w:w="0" w:type="dxa"/>
            <w:left w:w="0" w:type="dxa"/>
            <w:bottom w:w="0" w:type="dxa"/>
            <w:right w:w="0" w:type="dxa"/>
          </w:tblCellMar>
        </w:tblPrEx>
        <w:trPr>
          <w:cantSplit/>
          <w:trHeight w:val="1869" w:hRule="atLeast"/>
        </w:trPr>
        <w:tc>
          <w:tcPr>
            <w:tcW w:w="4382" w:type="dxa"/>
            <w:gridSpan w:val="2"/>
          </w:tcPr>
          <w:p>
            <w:pPr>
              <w:snapToGrid w:val="0"/>
              <w:spacing w:line="480" w:lineRule="exact"/>
              <w:rPr>
                <w:rFonts w:ascii="黑体" w:hAnsi="华文中宋" w:eastAsia="黑体" w:cs="仿宋_GB2312"/>
                <w:color w:val="FFFFFF"/>
                <w:sz w:val="32"/>
                <w:szCs w:val="32"/>
              </w:rPr>
            </w:pPr>
            <w:r>
              <w:rPr>
                <w:rFonts w:hint="eastAsia" w:ascii="黑体" w:hAnsi="华文中宋" w:eastAsia="黑体" w:cs="仿宋_GB2312"/>
                <w:color w:val="FFFFFF"/>
                <w:sz w:val="32"/>
                <w:szCs w:val="32"/>
              </w:rPr>
              <w:t>年</w:t>
            </w:r>
          </w:p>
          <w:p>
            <w:pPr>
              <w:snapToGrid w:val="0"/>
              <w:spacing w:afterLines="100" w:line="480" w:lineRule="exact"/>
              <w:rPr>
                <w:rFonts w:ascii="黑体" w:eastAsia="黑体"/>
                <w:color w:val="FFFFFF"/>
                <w:sz w:val="32"/>
                <w:szCs w:val="32"/>
              </w:rPr>
            </w:pPr>
            <w:r>
              <w:rPr>
                <w:rFonts w:hint="eastAsia" w:ascii="黑体" w:hAnsi="华文中宋" w:eastAsia="黑体" w:cs="仿宋_GB2312"/>
                <w:color w:val="FFFFFF"/>
                <w:sz w:val="32"/>
                <w:szCs w:val="32"/>
              </w:rPr>
              <w:t>加急</w:t>
            </w:r>
          </w:p>
          <w:p>
            <w:pPr>
              <w:pStyle w:val="7"/>
              <w:spacing w:line="480" w:lineRule="exact"/>
              <w:ind w:left="5250"/>
              <w:rPr>
                <w:color w:val="FFFFFF"/>
              </w:rPr>
            </w:pPr>
          </w:p>
        </w:tc>
        <w:tc>
          <w:tcPr>
            <w:tcW w:w="4465" w:type="dxa"/>
            <w:gridSpan w:val="2"/>
          </w:tcPr>
          <w:p>
            <w:pPr>
              <w:pStyle w:val="18"/>
              <w:tabs>
                <w:tab w:val="left" w:pos="2735"/>
              </w:tabs>
              <w:spacing w:line="480" w:lineRule="exact"/>
              <w:jc w:val="both"/>
              <w:rPr>
                <w:color w:val="FFFFFF"/>
              </w:rPr>
            </w:pPr>
            <w:bookmarkStart w:id="0" w:name="PrivateLevel"/>
            <w:bookmarkEnd w:id="0"/>
            <w:bookmarkStart w:id="1" w:name="PrivateTime"/>
            <w:bookmarkEnd w:id="1"/>
            <w:r>
              <w:rPr>
                <w:color w:val="FFFFFF"/>
              </w:rPr>
              <w:tab/>
            </w:r>
            <w:r>
              <w:rPr>
                <w:rFonts w:hint="eastAsia" w:hAnsi="仿宋_GB2312" w:cs="仿宋_GB2312"/>
                <w:color w:val="FFFFFF"/>
                <w:szCs w:val="32"/>
              </w:rPr>
              <w:t>样式</w:t>
            </w:r>
          </w:p>
        </w:tc>
      </w:tr>
      <w:tr>
        <w:tblPrEx>
          <w:tblLayout w:type="fixed"/>
          <w:tblCellMar>
            <w:top w:w="0" w:type="dxa"/>
            <w:left w:w="0" w:type="dxa"/>
            <w:bottom w:w="0" w:type="dxa"/>
            <w:right w:w="0" w:type="dxa"/>
          </w:tblCellMar>
        </w:tblPrEx>
        <w:trPr>
          <w:gridBefore w:val="1"/>
          <w:gridAfter w:val="1"/>
          <w:wBefore w:w="85" w:type="dxa"/>
          <w:wAfter w:w="120" w:type="dxa"/>
          <w:cantSplit/>
          <w:trHeight w:val="922" w:hRule="atLeast"/>
        </w:trPr>
        <w:tc>
          <w:tcPr>
            <w:tcW w:w="8642" w:type="dxa"/>
            <w:gridSpan w:val="2"/>
            <w:vAlign w:val="center"/>
          </w:tcPr>
          <w:p>
            <w:pPr>
              <w:pStyle w:val="2"/>
              <w:spacing w:afterLines="50"/>
              <w:jc w:val="center"/>
              <w:rPr>
                <w:rFonts w:ascii="方正大标宋简体" w:hAnsi="华文细黑" w:eastAsia="方正大标宋简体"/>
                <w:spacing w:val="-14"/>
                <w:w w:val="80"/>
                <w:sz w:val="86"/>
                <w:szCs w:val="86"/>
              </w:rPr>
            </w:pPr>
            <w:bookmarkStart w:id="2" w:name="Urgent"/>
            <w:bookmarkEnd w:id="2"/>
          </w:p>
        </w:tc>
      </w:tr>
      <w:tr>
        <w:tblPrEx>
          <w:tblLayout w:type="fixed"/>
          <w:tblCellMar>
            <w:top w:w="0" w:type="dxa"/>
            <w:left w:w="0" w:type="dxa"/>
            <w:bottom w:w="0" w:type="dxa"/>
            <w:right w:w="0" w:type="dxa"/>
          </w:tblCellMar>
        </w:tblPrEx>
        <w:trPr>
          <w:cantSplit/>
          <w:trHeight w:val="1091" w:hRule="atLeast"/>
        </w:trPr>
        <w:tc>
          <w:tcPr>
            <w:tcW w:w="8847" w:type="dxa"/>
            <w:gridSpan w:val="4"/>
            <w:vAlign w:val="bottom"/>
          </w:tcPr>
          <w:p>
            <w:pPr>
              <w:tabs>
                <w:tab w:val="left" w:pos="8460"/>
              </w:tabs>
              <w:spacing w:beforeLines="50" w:line="560" w:lineRule="exact"/>
              <w:ind w:left="0" w:leftChars="0"/>
              <w:jc w:val="center"/>
              <w:rPr>
                <w:rFonts w:ascii="仿宋_GB2312" w:hAnsi="华文中宋" w:eastAsia="仿宋_GB2312" w:cs="仿宋_GB2312"/>
                <w:color w:val="000000"/>
                <w:sz w:val="32"/>
                <w:szCs w:val="32"/>
              </w:rPr>
            </w:pPr>
            <w:r>
              <w:rPr>
                <w:rFonts w:hint="eastAsia" w:ascii="仿宋_GB2312" w:eastAsia="仿宋_GB2312"/>
                <w:color w:val="000000"/>
                <w:sz w:val="32"/>
                <w:szCs w:val="32"/>
              </w:rPr>
              <w:t>深盐府规〔2019〕</w:t>
            </w:r>
            <w:r>
              <w:rPr>
                <w:rFonts w:hint="eastAsia" w:ascii="仿宋_GB2312" w:eastAsia="仿宋_GB2312"/>
                <w:color w:val="000000"/>
                <w:sz w:val="32"/>
                <w:szCs w:val="32"/>
                <w:lang w:val="en-US" w:eastAsia="zh-CN"/>
              </w:rPr>
              <w:t>9</w:t>
            </w:r>
            <w:r>
              <w:rPr>
                <w:rFonts w:hint="eastAsia" w:ascii="仿宋_GB2312" w:hAnsi="华文中宋" w:eastAsia="仿宋_GB2312" w:cs="仿宋_GB2312"/>
                <w:color w:val="000000"/>
                <w:sz w:val="32"/>
                <w:szCs w:val="32"/>
              </w:rPr>
              <w:t>号</w:t>
            </w:r>
          </w:p>
        </w:tc>
      </w:tr>
      <w:tr>
        <w:tblPrEx>
          <w:tblLayout w:type="fixed"/>
          <w:tblCellMar>
            <w:top w:w="0" w:type="dxa"/>
            <w:left w:w="0" w:type="dxa"/>
            <w:bottom w:w="0" w:type="dxa"/>
            <w:right w:w="0" w:type="dxa"/>
          </w:tblCellMar>
        </w:tblPrEx>
        <w:trPr>
          <w:cantSplit/>
          <w:trHeight w:val="166" w:hRule="exact"/>
        </w:trPr>
        <w:tc>
          <w:tcPr>
            <w:tcW w:w="8847" w:type="dxa"/>
            <w:gridSpan w:val="4"/>
            <w:tcBorders>
              <w:bottom w:val="single" w:color="FFFFFF" w:sz="18" w:space="0"/>
            </w:tcBorders>
          </w:tcPr>
          <w:p>
            <w:pPr>
              <w:jc w:val="center"/>
            </w:pPr>
          </w:p>
        </w:tc>
      </w:tr>
    </w:tbl>
    <w:p>
      <w:pPr>
        <w:spacing w:line="590" w:lineRule="exact"/>
        <w:rPr>
          <w:rFonts w:ascii="仿宋_GB2312" w:eastAsia="仿宋_GB2312"/>
          <w:color w:val="000000"/>
          <w:sz w:val="32"/>
          <w:szCs w:val="32"/>
        </w:rPr>
      </w:pPr>
    </w:p>
    <w:p>
      <w:pPr>
        <w:spacing w:line="590" w:lineRule="exact"/>
        <w:rPr>
          <w:rFonts w:ascii="仿宋_GB2312" w:hAnsi="华文中宋" w:eastAsia="仿宋_GB2312" w:cs="仿宋_GB2312"/>
          <w:color w:val="000000"/>
          <w:sz w:val="32"/>
          <w:szCs w:val="32"/>
        </w:rPr>
      </w:pPr>
      <w:bookmarkStart w:id="3" w:name="_GoBack"/>
      <w:bookmarkEnd w:id="3"/>
    </w:p>
    <w:p>
      <w:pPr>
        <w:spacing w:line="580" w:lineRule="exact"/>
        <w:jc w:val="center"/>
        <w:rPr>
          <w:rFonts w:ascii="方正小标宋简体" w:hAnsi="华文中宋" w:eastAsia="方正小标宋简体" w:cs="仿宋_GB2312"/>
          <w:color w:val="000000"/>
          <w:spacing w:val="-20"/>
          <w:sz w:val="44"/>
          <w:szCs w:val="44"/>
        </w:rPr>
      </w:pPr>
      <w:r>
        <w:rPr>
          <w:rFonts w:hint="eastAsia" w:ascii="方正小标宋简体" w:hAnsi="华文中宋" w:eastAsia="方正小标宋简体" w:cs="仿宋_GB2312"/>
          <w:color w:val="000000"/>
          <w:spacing w:val="-20"/>
          <w:sz w:val="44"/>
          <w:szCs w:val="44"/>
        </w:rPr>
        <w:t>深圳市盐田区人民政府关于印发盐田区政府</w:t>
      </w:r>
    </w:p>
    <w:p>
      <w:pPr>
        <w:spacing w:line="580" w:lineRule="exact"/>
        <w:jc w:val="center"/>
        <w:rPr>
          <w:rFonts w:ascii="方正小标宋简体" w:hAnsi="华文中宋" w:eastAsia="方正小标宋简体" w:cs="仿宋_GB2312"/>
          <w:color w:val="000000"/>
          <w:spacing w:val="-20"/>
          <w:sz w:val="44"/>
          <w:szCs w:val="44"/>
        </w:rPr>
      </w:pPr>
      <w:r>
        <w:rPr>
          <w:rFonts w:hint="eastAsia" w:ascii="方正小标宋简体" w:hAnsi="华文中宋" w:eastAsia="方正小标宋简体" w:cs="仿宋_GB2312"/>
          <w:color w:val="000000"/>
          <w:spacing w:val="-20"/>
          <w:sz w:val="44"/>
          <w:szCs w:val="44"/>
        </w:rPr>
        <w:t>投资项目管理办法（试行）的通知</w:t>
      </w:r>
    </w:p>
    <w:p>
      <w:pPr>
        <w:spacing w:line="590" w:lineRule="exact"/>
        <w:rPr>
          <w:rFonts w:ascii="仿宋_GB2312" w:hAnsi="华文中宋" w:eastAsia="仿宋_GB2312" w:cs="仿宋_GB2312"/>
          <w:color w:val="000000"/>
          <w:sz w:val="32"/>
          <w:szCs w:val="32"/>
        </w:rPr>
      </w:pPr>
    </w:p>
    <w:p>
      <w:pPr>
        <w:spacing w:line="590" w:lineRule="exact"/>
        <w:rPr>
          <w:rFonts w:ascii="华文中宋" w:hAnsi="华文中宋" w:eastAsia="华文中宋" w:cs="仿宋_GB2312"/>
          <w:color w:val="000000"/>
          <w:sz w:val="32"/>
          <w:szCs w:val="32"/>
        </w:rPr>
      </w:pPr>
      <w:r>
        <w:rPr>
          <w:rFonts w:hint="eastAsia" w:ascii="仿宋_GB2312" w:hAnsi="华文中宋" w:eastAsia="仿宋_GB2312" w:cs="仿宋_GB2312"/>
          <w:color w:val="000000"/>
          <w:sz w:val="32"/>
          <w:szCs w:val="32"/>
        </w:rPr>
        <w:t>各街道办事处，区政府直属、驻盐各单位</w:t>
      </w:r>
      <w:r>
        <w:rPr>
          <w:rFonts w:hint="eastAsia" w:ascii="华文中宋" w:hAnsi="华文中宋" w:eastAsia="华文中宋" w:cs="仿宋_GB2312"/>
          <w:color w:val="000000"/>
          <w:sz w:val="32"/>
          <w:szCs w:val="32"/>
        </w:rPr>
        <w:t>：</w:t>
      </w:r>
    </w:p>
    <w:p>
      <w:pPr>
        <w:spacing w:line="590" w:lineRule="exact"/>
        <w:ind w:firstLine="640" w:firstLineChars="200"/>
        <w:rPr>
          <w:rFonts w:ascii="仿宋_GB2312" w:hAnsi="华文中宋" w:eastAsia="仿宋_GB2312" w:cs="仿宋_GB2312"/>
          <w:color w:val="000000"/>
          <w:spacing w:val="-6"/>
          <w:sz w:val="32"/>
          <w:szCs w:val="32"/>
        </w:rPr>
      </w:pPr>
      <w:r>
        <w:rPr>
          <w:rFonts w:hint="eastAsia" w:ascii="仿宋_GB2312" w:hAnsi="华文中宋" w:eastAsia="仿宋_GB2312" w:cs="仿宋_GB2312"/>
          <w:color w:val="000000"/>
          <w:sz w:val="32"/>
          <w:szCs w:val="32"/>
        </w:rPr>
        <w:t>现将《盐田区政府投资项目管理办法（试行）》</w:t>
      </w:r>
      <w:r>
        <w:rPr>
          <w:rFonts w:hint="eastAsia" w:ascii="仿宋_GB2312" w:hAnsi="华文中宋" w:eastAsia="仿宋_GB2312" w:cs="仿宋_GB2312"/>
          <w:color w:val="000000"/>
          <w:spacing w:val="-6"/>
          <w:sz w:val="32"/>
          <w:szCs w:val="32"/>
        </w:rPr>
        <w:t>印发给你们，请认真贯彻执行。</w:t>
      </w:r>
    </w:p>
    <w:p>
      <w:pPr>
        <w:spacing w:line="590" w:lineRule="exact"/>
        <w:rPr>
          <w:rFonts w:ascii="仿宋_GB2312" w:hAnsi="华文中宋" w:eastAsia="仿宋_GB2312" w:cs="仿宋_GB2312"/>
          <w:color w:val="000000"/>
          <w:spacing w:val="-6"/>
          <w:sz w:val="32"/>
          <w:szCs w:val="32"/>
        </w:rPr>
      </w:pPr>
    </w:p>
    <w:p>
      <w:pPr>
        <w:spacing w:line="590" w:lineRule="exact"/>
        <w:rPr>
          <w:rFonts w:ascii="仿宋_GB2312" w:hAnsi="华文中宋" w:eastAsia="仿宋_GB2312" w:cs="仿宋_GB2312"/>
          <w:color w:val="000000"/>
          <w:spacing w:val="-6"/>
          <w:sz w:val="32"/>
          <w:szCs w:val="32"/>
        </w:rPr>
      </w:pPr>
    </w:p>
    <w:p>
      <w:pPr>
        <w:spacing w:line="590" w:lineRule="exact"/>
        <w:ind w:right="640" w:firstLine="4480" w:firstLineChars="1400"/>
        <w:rPr>
          <w:rFonts w:ascii="仿宋_GB2312" w:hAnsi="华文中宋" w:eastAsia="仿宋_GB2312"/>
          <w:color w:val="000000"/>
          <w:sz w:val="32"/>
          <w:szCs w:val="32"/>
        </w:rPr>
      </w:pPr>
      <w:r>
        <w:rPr>
          <w:rFonts w:hint="eastAsia" w:ascii="仿宋_GB2312" w:hAnsi="华文中宋" w:eastAsia="仿宋_GB2312"/>
          <w:color w:val="000000"/>
          <w:sz w:val="32"/>
          <w:szCs w:val="32"/>
        </w:rPr>
        <w:t>深圳市盐田区人民政府</w:t>
      </w:r>
    </w:p>
    <w:p>
      <w:pPr>
        <w:tabs>
          <w:tab w:val="left" w:pos="4680"/>
          <w:tab w:val="left" w:pos="4860"/>
          <w:tab w:val="left" w:pos="5040"/>
        </w:tabs>
        <w:wordWrap w:val="0"/>
        <w:spacing w:line="590" w:lineRule="exact"/>
        <w:ind w:right="640"/>
        <w:rPr>
          <w:rFonts w:ascii="仿宋_GB2312" w:hAnsi="华文中宋" w:eastAsia="仿宋_GB2312"/>
          <w:color w:val="000000"/>
          <w:sz w:val="32"/>
          <w:szCs w:val="32"/>
        </w:rPr>
      </w:pPr>
      <w:r>
        <w:rPr>
          <w:rFonts w:hint="eastAsia" w:ascii="仿宋_GB2312" w:hAnsi="华文中宋" w:eastAsia="仿宋_GB2312"/>
          <w:color w:val="000000"/>
          <w:sz w:val="32"/>
          <w:szCs w:val="32"/>
        </w:rPr>
        <w:t xml:space="preserve">                              2019年</w:t>
      </w:r>
      <w:r>
        <w:rPr>
          <w:rFonts w:hint="eastAsia" w:ascii="仿宋_GB2312" w:hAnsi="宋体" w:eastAsia="仿宋_GB2312" w:cs="仿宋_GB2312"/>
          <w:color w:val="000000"/>
          <w:sz w:val="32"/>
          <w:szCs w:val="32"/>
        </w:rPr>
        <w:t>10</w:t>
      </w:r>
      <w:r>
        <w:rPr>
          <w:rFonts w:hint="eastAsia" w:ascii="仿宋_GB2312" w:hAnsi="华文中宋" w:eastAsia="仿宋_GB2312"/>
          <w:color w:val="000000"/>
          <w:sz w:val="32"/>
          <w:szCs w:val="32"/>
        </w:rPr>
        <w:t>月</w:t>
      </w:r>
      <w:r>
        <w:rPr>
          <w:rFonts w:hint="eastAsia" w:ascii="仿宋_GB2312" w:hAnsi="宋体" w:eastAsia="仿宋_GB2312" w:cs="仿宋_GB2312"/>
          <w:color w:val="000000"/>
          <w:sz w:val="32"/>
          <w:szCs w:val="32"/>
          <w:lang w:val="en-US" w:eastAsia="zh-CN"/>
        </w:rPr>
        <w:t>21</w:t>
      </w:r>
      <w:r>
        <w:rPr>
          <w:rFonts w:hint="eastAsia" w:ascii="仿宋_GB2312" w:hAnsi="华文中宋" w:eastAsia="仿宋_GB2312"/>
          <w:color w:val="000000"/>
          <w:sz w:val="32"/>
          <w:szCs w:val="32"/>
        </w:rPr>
        <w:t>日</w:t>
      </w:r>
    </w:p>
    <w:p>
      <w:pPr>
        <w:tabs>
          <w:tab w:val="left" w:pos="4680"/>
          <w:tab w:val="left" w:pos="4860"/>
          <w:tab w:val="left" w:pos="5040"/>
        </w:tabs>
        <w:wordWrap w:val="0"/>
        <w:spacing w:line="590" w:lineRule="exact"/>
        <w:ind w:right="640"/>
        <w:rPr>
          <w:rFonts w:ascii="仿宋_GB2312" w:hAnsi="华文中宋" w:eastAsia="仿宋_GB2312"/>
          <w:color w:val="000000"/>
          <w:sz w:val="32"/>
          <w:szCs w:val="32"/>
        </w:rPr>
      </w:pPr>
    </w:p>
    <w:p>
      <w:pPr>
        <w:autoSpaceDE w:val="0"/>
        <w:autoSpaceDN w:val="0"/>
        <w:adjustRightInd w:val="0"/>
        <w:spacing w:line="560" w:lineRule="exact"/>
        <w:jc w:val="center"/>
        <w:rPr>
          <w:rFonts w:ascii="方正小标宋简体" w:hAnsi="宋体" w:eastAsia="方正小标宋简体"/>
          <w:color w:val="000000"/>
          <w:sz w:val="44"/>
          <w:szCs w:val="44"/>
        </w:rPr>
      </w:pPr>
    </w:p>
    <w:p>
      <w:pPr>
        <w:autoSpaceDE w:val="0"/>
        <w:autoSpaceDN w:val="0"/>
        <w:adjustRightInd w:val="0"/>
        <w:spacing w:line="560" w:lineRule="exact"/>
        <w:rPr>
          <w:rFonts w:ascii="方正小标宋简体" w:hAnsi="宋体" w:eastAsia="方正小标宋简体"/>
          <w:color w:val="000000"/>
          <w:sz w:val="44"/>
          <w:szCs w:val="44"/>
        </w:rPr>
      </w:pPr>
    </w:p>
    <w:p>
      <w:pPr>
        <w:autoSpaceDE w:val="0"/>
        <w:autoSpaceDN w:val="0"/>
        <w:adjustRightInd w:val="0"/>
        <w:spacing w:line="580" w:lineRule="exact"/>
        <w:ind w:left="200"/>
        <w:jc w:val="center"/>
        <w:rPr>
          <w:rFonts w:ascii="方正小标宋简体" w:eastAsia="方正小标宋简体"/>
          <w:color w:val="000000"/>
          <w:sz w:val="44"/>
          <w:szCs w:val="44"/>
        </w:rPr>
      </w:pPr>
      <w:r>
        <w:rPr>
          <w:rFonts w:hint="eastAsia" w:ascii="方正小标宋简体" w:hAnsi="微软雅黑" w:eastAsia="方正小标宋简体"/>
          <w:spacing w:val="-20"/>
          <w:sz w:val="44"/>
          <w:szCs w:val="44"/>
        </w:rPr>
        <w:t>盐田区政府投资项目管理办法（试行）</w:t>
      </w:r>
    </w:p>
    <w:p>
      <w:pPr>
        <w:pStyle w:val="22"/>
        <w:spacing w:line="580" w:lineRule="exact"/>
        <w:ind w:firstLine="0" w:firstLineChars="0"/>
        <w:jc w:val="center"/>
        <w:rPr>
          <w:rFonts w:ascii="Times New Roman" w:hAnsi="Times New Roman" w:eastAsia="黑体"/>
          <w:color w:val="000000"/>
          <w:sz w:val="32"/>
          <w:szCs w:val="32"/>
        </w:rPr>
      </w:pPr>
    </w:p>
    <w:p>
      <w:pPr>
        <w:spacing w:line="560" w:lineRule="exact"/>
        <w:jc w:val="center"/>
        <w:rPr>
          <w:rFonts w:eastAsia="黑体"/>
          <w:bCs/>
          <w:sz w:val="32"/>
          <w:szCs w:val="20"/>
        </w:rPr>
      </w:pPr>
      <w:r>
        <w:rPr>
          <w:rFonts w:hint="eastAsia" w:ascii="黑体" w:hAnsi="黑体" w:eastAsia="黑体"/>
          <w:sz w:val="32"/>
          <w:szCs w:val="32"/>
        </w:rPr>
        <w:t xml:space="preserve">第一章  </w:t>
      </w:r>
      <w:r>
        <w:rPr>
          <w:rFonts w:hint="eastAsia" w:eastAsia="黑体"/>
          <w:bCs/>
          <w:sz w:val="32"/>
          <w:szCs w:val="20"/>
        </w:rPr>
        <w:t>总则</w:t>
      </w:r>
    </w:p>
    <w:p>
      <w:pPr>
        <w:spacing w:line="560" w:lineRule="exact"/>
        <w:ind w:left="1440"/>
        <w:rPr>
          <w:rFonts w:eastAsia="黑体"/>
          <w:bCs/>
          <w:sz w:val="32"/>
          <w:szCs w:val="20"/>
        </w:rPr>
      </w:pPr>
    </w:p>
    <w:p>
      <w:pPr>
        <w:spacing w:line="560" w:lineRule="exact"/>
        <w:ind w:firstLine="640" w:firstLineChars="200"/>
        <w:rPr>
          <w:rFonts w:eastAsia="仿宋_GB2312"/>
          <w:sz w:val="32"/>
          <w:szCs w:val="20"/>
        </w:rPr>
      </w:pPr>
      <w:r>
        <w:rPr>
          <w:rFonts w:hint="eastAsia" w:ascii="黑体" w:eastAsia="黑体"/>
          <w:bCs/>
          <w:sz w:val="32"/>
          <w:szCs w:val="20"/>
        </w:rPr>
        <w:t xml:space="preserve">第一条  </w:t>
      </w:r>
      <w:r>
        <w:rPr>
          <w:rFonts w:hint="eastAsia" w:ascii="仿宋_GB2312" w:eastAsia="仿宋_GB2312"/>
          <w:sz w:val="32"/>
          <w:szCs w:val="20"/>
        </w:rPr>
        <w:t>为规范和加强政府投资项目管理，建立健全科学的项目决策和组织实施程序，推动项目建设进一步提速提质提效，根据</w:t>
      </w:r>
      <w:r>
        <w:rPr>
          <w:rFonts w:hint="eastAsia" w:ascii="仿宋_GB2312" w:eastAsia="仿宋_GB2312"/>
          <w:sz w:val="32"/>
          <w:szCs w:val="32"/>
        </w:rPr>
        <w:t>《政府投资条例》</w:t>
      </w:r>
      <w:r>
        <w:rPr>
          <w:rFonts w:hint="eastAsia" w:ascii="仿宋_GB2312" w:hAnsi="黑体" w:eastAsia="仿宋_GB2312"/>
          <w:sz w:val="32"/>
          <w:szCs w:val="32"/>
        </w:rPr>
        <w:t>（国务院令第</w:t>
      </w:r>
      <w:r>
        <w:rPr>
          <w:rFonts w:ascii="仿宋_GB2312" w:hAnsi="黑体" w:eastAsia="仿宋_GB2312"/>
          <w:sz w:val="32"/>
          <w:szCs w:val="32"/>
        </w:rPr>
        <w:t>712号）</w:t>
      </w:r>
      <w:r>
        <w:rPr>
          <w:rFonts w:hint="eastAsia" w:ascii="仿宋_GB2312" w:eastAsia="仿宋_GB2312"/>
          <w:sz w:val="32"/>
          <w:szCs w:val="32"/>
        </w:rPr>
        <w:t>等</w:t>
      </w:r>
      <w:r>
        <w:rPr>
          <w:rFonts w:hint="eastAsia" w:ascii="仿宋_GB2312" w:eastAsia="仿宋_GB2312"/>
          <w:sz w:val="32"/>
          <w:szCs w:val="20"/>
        </w:rPr>
        <w:t>有关法规文件，结合盐田区实际，制定本办法。</w:t>
      </w:r>
    </w:p>
    <w:p>
      <w:pPr>
        <w:spacing w:line="560" w:lineRule="exact"/>
        <w:ind w:firstLine="640" w:firstLineChars="200"/>
        <w:rPr>
          <w:rFonts w:ascii="仿宋_GB2312" w:eastAsia="仿宋_GB2312"/>
          <w:sz w:val="32"/>
          <w:szCs w:val="20"/>
        </w:rPr>
      </w:pPr>
      <w:r>
        <w:rPr>
          <w:rFonts w:hint="eastAsia" w:ascii="黑体" w:eastAsia="黑体"/>
          <w:bCs/>
          <w:sz w:val="32"/>
          <w:szCs w:val="20"/>
        </w:rPr>
        <w:t>第二条</w:t>
      </w:r>
      <w:r>
        <w:rPr>
          <w:rFonts w:ascii="仿宋_GB2312" w:eastAsia="仿宋_GB2312"/>
          <w:bCs/>
          <w:sz w:val="32"/>
          <w:szCs w:val="20"/>
        </w:rPr>
        <w:t xml:space="preserve">  </w:t>
      </w:r>
      <w:r>
        <w:rPr>
          <w:rFonts w:hint="eastAsia" w:ascii="仿宋_GB2312" w:eastAsia="仿宋_GB2312"/>
          <w:sz w:val="32"/>
          <w:szCs w:val="20"/>
        </w:rPr>
        <w:t>盐田区本级政府投资项目管理适用本办法。</w:t>
      </w:r>
    </w:p>
    <w:p>
      <w:pPr>
        <w:spacing w:line="560" w:lineRule="exact"/>
        <w:ind w:firstLine="640" w:firstLineChars="200"/>
        <w:rPr>
          <w:rFonts w:ascii="仿宋_GB2312" w:eastAsia="仿宋_GB2312"/>
          <w:sz w:val="32"/>
          <w:szCs w:val="20"/>
        </w:rPr>
      </w:pPr>
      <w:r>
        <w:rPr>
          <w:rFonts w:hint="eastAsia" w:ascii="仿宋_GB2312" w:eastAsia="仿宋_GB2312"/>
          <w:sz w:val="32"/>
          <w:szCs w:val="20"/>
        </w:rPr>
        <w:t>本办法所称政府投资，是指利用区本级财政预算内资金、国土基金及其他财政性资金所进行的100万元以上的固定资产投资建设活动。</w:t>
      </w:r>
    </w:p>
    <w:p>
      <w:pPr>
        <w:spacing w:line="560" w:lineRule="exact"/>
        <w:ind w:firstLine="640" w:firstLineChars="200"/>
        <w:rPr>
          <w:rFonts w:ascii="仿宋_GB2312" w:eastAsia="仿宋_GB2312"/>
          <w:sz w:val="32"/>
          <w:szCs w:val="20"/>
        </w:rPr>
      </w:pPr>
      <w:r>
        <w:rPr>
          <w:rFonts w:hint="eastAsia" w:ascii="仿宋_GB2312" w:eastAsia="仿宋_GB2312"/>
          <w:sz w:val="32"/>
          <w:szCs w:val="20"/>
        </w:rPr>
        <w:t>财政性资金</w:t>
      </w:r>
      <w:r>
        <w:rPr>
          <w:rFonts w:ascii="仿宋_GB2312" w:eastAsia="仿宋_GB2312"/>
          <w:sz w:val="32"/>
          <w:szCs w:val="20"/>
        </w:rPr>
        <w:t>占项目总投资比例</w:t>
      </w:r>
      <w:r>
        <w:rPr>
          <w:rFonts w:hint="eastAsia" w:ascii="仿宋_GB2312" w:eastAsia="仿宋_GB2312"/>
          <w:sz w:val="32"/>
          <w:szCs w:val="20"/>
        </w:rPr>
        <w:t>超过</w:t>
      </w:r>
      <w:r>
        <w:rPr>
          <w:rFonts w:ascii="仿宋_GB2312" w:eastAsia="仿宋_GB2312"/>
          <w:sz w:val="32"/>
          <w:szCs w:val="20"/>
        </w:rPr>
        <w:t>50%</w:t>
      </w:r>
      <w:r>
        <w:rPr>
          <w:rFonts w:hint="eastAsia" w:ascii="仿宋_GB2312" w:eastAsia="仿宋_GB2312"/>
          <w:sz w:val="32"/>
          <w:szCs w:val="20"/>
        </w:rPr>
        <w:t>或者</w:t>
      </w:r>
      <w:r>
        <w:rPr>
          <w:rFonts w:ascii="仿宋_GB2312" w:eastAsia="仿宋_GB2312"/>
          <w:sz w:val="32"/>
          <w:szCs w:val="20"/>
        </w:rPr>
        <w:t>政府拥有建设、运营实际控制权的</w:t>
      </w:r>
      <w:r>
        <w:rPr>
          <w:rFonts w:hint="eastAsia" w:ascii="仿宋_GB2312" w:eastAsia="仿宋_GB2312"/>
          <w:sz w:val="32"/>
          <w:szCs w:val="20"/>
        </w:rPr>
        <w:t>项目纳入本办法管理。</w:t>
      </w:r>
    </w:p>
    <w:p>
      <w:pPr>
        <w:snapToGrid w:val="0"/>
        <w:spacing w:line="560" w:lineRule="exact"/>
        <w:ind w:firstLine="658"/>
        <w:rPr>
          <w:rFonts w:ascii="仿宋_GB2312" w:eastAsia="仿宋_GB2312"/>
          <w:sz w:val="32"/>
          <w:szCs w:val="32"/>
        </w:rPr>
      </w:pPr>
      <w:r>
        <w:rPr>
          <w:rFonts w:hint="eastAsia" w:ascii="仿宋_GB2312" w:eastAsia="仿宋_GB2312"/>
          <w:sz w:val="32"/>
          <w:szCs w:val="32"/>
        </w:rPr>
        <w:t>总投资不满10</w:t>
      </w:r>
      <w:r>
        <w:rPr>
          <w:rFonts w:ascii="仿宋_GB2312" w:eastAsia="仿宋_GB2312"/>
          <w:sz w:val="32"/>
          <w:szCs w:val="32"/>
        </w:rPr>
        <w:t>0</w:t>
      </w:r>
      <w:r>
        <w:rPr>
          <w:rFonts w:hint="eastAsia" w:ascii="仿宋_GB2312" w:eastAsia="仿宋_GB2312"/>
          <w:sz w:val="32"/>
          <w:szCs w:val="32"/>
        </w:rPr>
        <w:t>万元的项目直接纳入区财政局预算管理。应急工程、抢险救灾工程、保密工程按照市、区相关规定进行管理。</w:t>
      </w:r>
    </w:p>
    <w:p>
      <w:pPr>
        <w:spacing w:line="560" w:lineRule="exact"/>
        <w:ind w:firstLine="640" w:firstLineChars="200"/>
        <w:rPr>
          <w:rFonts w:ascii="仿宋_GB2312" w:eastAsia="仿宋_GB2312"/>
          <w:sz w:val="32"/>
          <w:szCs w:val="20"/>
        </w:rPr>
      </w:pPr>
      <w:r>
        <w:rPr>
          <w:rFonts w:hint="eastAsia" w:ascii="黑体" w:eastAsia="黑体"/>
          <w:bCs/>
          <w:sz w:val="32"/>
          <w:szCs w:val="20"/>
        </w:rPr>
        <w:t>第三条</w:t>
      </w:r>
      <w:r>
        <w:rPr>
          <w:rFonts w:ascii="仿宋_GB2312" w:eastAsia="仿宋_GB2312"/>
          <w:sz w:val="32"/>
          <w:szCs w:val="20"/>
        </w:rPr>
        <w:t xml:space="preserve">  政府投资应遵循科学</w:t>
      </w:r>
      <w:r>
        <w:rPr>
          <w:rFonts w:hint="eastAsia" w:ascii="仿宋_GB2312" w:eastAsia="仿宋_GB2312"/>
          <w:sz w:val="32"/>
          <w:szCs w:val="20"/>
        </w:rPr>
        <w:t>决策</w:t>
      </w:r>
      <w:r>
        <w:rPr>
          <w:rFonts w:ascii="仿宋_GB2312" w:eastAsia="仿宋_GB2312"/>
          <w:sz w:val="32"/>
          <w:szCs w:val="20"/>
        </w:rPr>
        <w:t>、规范</w:t>
      </w:r>
      <w:r>
        <w:rPr>
          <w:rFonts w:hint="eastAsia" w:ascii="仿宋_GB2312" w:eastAsia="仿宋_GB2312"/>
          <w:sz w:val="32"/>
          <w:szCs w:val="20"/>
        </w:rPr>
        <w:t>管理</w:t>
      </w:r>
      <w:r>
        <w:rPr>
          <w:rFonts w:ascii="仿宋_GB2312" w:eastAsia="仿宋_GB2312"/>
          <w:sz w:val="32"/>
          <w:szCs w:val="20"/>
        </w:rPr>
        <w:t>、</w:t>
      </w:r>
      <w:r>
        <w:rPr>
          <w:rFonts w:hint="eastAsia" w:ascii="仿宋_GB2312" w:eastAsia="仿宋_GB2312"/>
          <w:sz w:val="32"/>
          <w:szCs w:val="20"/>
        </w:rPr>
        <w:t>注重绩效</w:t>
      </w:r>
      <w:r>
        <w:rPr>
          <w:rFonts w:ascii="仿宋_GB2312" w:eastAsia="仿宋_GB2312"/>
          <w:sz w:val="32"/>
          <w:szCs w:val="20"/>
        </w:rPr>
        <w:t>、公开</w:t>
      </w:r>
      <w:r>
        <w:rPr>
          <w:rFonts w:hint="eastAsia" w:ascii="仿宋_GB2312" w:eastAsia="仿宋_GB2312"/>
          <w:sz w:val="32"/>
          <w:szCs w:val="20"/>
        </w:rPr>
        <w:t>透明</w:t>
      </w:r>
      <w:r>
        <w:rPr>
          <w:rFonts w:ascii="仿宋_GB2312" w:eastAsia="仿宋_GB2312"/>
          <w:sz w:val="32"/>
          <w:szCs w:val="20"/>
        </w:rPr>
        <w:t>的原则，量入为出、综合平衡</w:t>
      </w:r>
      <w:r>
        <w:rPr>
          <w:rFonts w:hint="eastAsia" w:ascii="仿宋_GB2312" w:eastAsia="仿宋_GB2312"/>
          <w:sz w:val="32"/>
          <w:szCs w:val="20"/>
        </w:rPr>
        <w:t>。</w:t>
      </w:r>
    </w:p>
    <w:p>
      <w:pPr>
        <w:spacing w:line="560" w:lineRule="exact"/>
        <w:ind w:firstLine="640" w:firstLineChars="200"/>
        <w:rPr>
          <w:rFonts w:ascii="仿宋_GB2312" w:eastAsia="仿宋_GB2312"/>
          <w:sz w:val="32"/>
          <w:szCs w:val="20"/>
        </w:rPr>
      </w:pPr>
      <w:r>
        <w:rPr>
          <w:rFonts w:hint="eastAsia" w:ascii="黑体" w:eastAsia="黑体"/>
          <w:bCs/>
          <w:sz w:val="32"/>
          <w:szCs w:val="20"/>
        </w:rPr>
        <w:t>第四条</w:t>
      </w:r>
      <w:r>
        <w:rPr>
          <w:rFonts w:hint="eastAsia" w:ascii="仿宋_GB2312" w:eastAsia="仿宋_GB2312"/>
          <w:sz w:val="32"/>
          <w:szCs w:val="20"/>
        </w:rPr>
        <w:t xml:space="preserve">  </w:t>
      </w:r>
      <w:r>
        <w:rPr>
          <w:rFonts w:ascii="仿宋_GB2312" w:eastAsia="仿宋_GB2312"/>
          <w:sz w:val="32"/>
          <w:szCs w:val="20"/>
        </w:rPr>
        <w:t>政府投资应重点</w:t>
      </w:r>
      <w:r>
        <w:rPr>
          <w:rFonts w:hint="eastAsia" w:ascii="仿宋_GB2312" w:eastAsia="仿宋_GB2312"/>
          <w:sz w:val="32"/>
          <w:szCs w:val="20"/>
        </w:rPr>
        <w:t>投向社会</w:t>
      </w:r>
      <w:r>
        <w:rPr>
          <w:rFonts w:ascii="仿宋_GB2312" w:eastAsia="仿宋_GB2312"/>
          <w:sz w:val="32"/>
          <w:szCs w:val="20"/>
        </w:rPr>
        <w:t>公益</w:t>
      </w:r>
      <w:r>
        <w:rPr>
          <w:rFonts w:hint="eastAsia" w:ascii="仿宋_GB2312" w:eastAsia="仿宋_GB2312"/>
          <w:sz w:val="32"/>
          <w:szCs w:val="20"/>
        </w:rPr>
        <w:t>服务</w:t>
      </w:r>
      <w:r>
        <w:rPr>
          <w:rFonts w:ascii="仿宋_GB2312" w:eastAsia="仿宋_GB2312"/>
          <w:sz w:val="32"/>
          <w:szCs w:val="20"/>
        </w:rPr>
        <w:t>和公共基础设施，推动绿色建筑、</w:t>
      </w:r>
      <w:r>
        <w:rPr>
          <w:rFonts w:hint="eastAsia" w:ascii="仿宋_GB2312" w:eastAsia="仿宋_GB2312"/>
          <w:sz w:val="32"/>
          <w:szCs w:val="20"/>
        </w:rPr>
        <w:t>装配式建筑、</w:t>
      </w:r>
      <w:r>
        <w:rPr>
          <w:rFonts w:ascii="仿宋_GB2312" w:eastAsia="仿宋_GB2312"/>
          <w:sz w:val="32"/>
          <w:szCs w:val="20"/>
        </w:rPr>
        <w:t>海绵城市</w:t>
      </w:r>
      <w:r>
        <w:rPr>
          <w:rFonts w:hint="eastAsia" w:ascii="仿宋_GB2312" w:eastAsia="仿宋_GB2312"/>
          <w:sz w:val="32"/>
          <w:szCs w:val="20"/>
        </w:rPr>
        <w:t>和健康城区</w:t>
      </w:r>
      <w:r>
        <w:rPr>
          <w:rFonts w:ascii="仿宋_GB2312" w:eastAsia="仿宋_GB2312"/>
          <w:sz w:val="32"/>
          <w:szCs w:val="20"/>
        </w:rPr>
        <w:t>建设，</w:t>
      </w:r>
      <w:r>
        <w:rPr>
          <w:rFonts w:hint="eastAsia" w:ascii="仿宋_GB2312" w:eastAsia="仿宋_GB2312"/>
          <w:sz w:val="32"/>
          <w:szCs w:val="20"/>
        </w:rPr>
        <w:t>开展项目GEP影响评价，</w:t>
      </w:r>
      <w:r>
        <w:rPr>
          <w:rFonts w:ascii="仿宋_GB2312" w:eastAsia="仿宋_GB2312"/>
          <w:sz w:val="32"/>
          <w:szCs w:val="20"/>
        </w:rPr>
        <w:t>保护和改善生态环境，促进区域协调</w:t>
      </w:r>
      <w:r>
        <w:rPr>
          <w:rFonts w:hint="eastAsia" w:ascii="仿宋_GB2312" w:eastAsia="仿宋_GB2312"/>
          <w:sz w:val="32"/>
          <w:szCs w:val="20"/>
        </w:rPr>
        <w:t>可持续</w:t>
      </w:r>
      <w:r>
        <w:rPr>
          <w:rFonts w:ascii="仿宋_GB2312" w:eastAsia="仿宋_GB2312"/>
          <w:sz w:val="32"/>
          <w:szCs w:val="20"/>
        </w:rPr>
        <w:t>发展</w:t>
      </w:r>
      <w:r>
        <w:rPr>
          <w:rFonts w:hint="eastAsia" w:ascii="仿宋_GB2312" w:eastAsia="仿宋_GB2312"/>
          <w:sz w:val="32"/>
          <w:szCs w:val="20"/>
        </w:rPr>
        <w:t>。</w:t>
      </w:r>
      <w:r>
        <w:rPr>
          <w:rFonts w:ascii="仿宋_GB2312" w:eastAsia="仿宋_GB2312"/>
          <w:sz w:val="32"/>
          <w:szCs w:val="20"/>
        </w:rPr>
        <w:br w:type="textWrapping"/>
      </w:r>
      <w:r>
        <w:rPr>
          <w:rFonts w:hint="eastAsia" w:ascii="仿宋_GB2312" w:eastAsia="仿宋_GB2312"/>
          <w:sz w:val="32"/>
          <w:szCs w:val="20"/>
        </w:rPr>
        <w:t xml:space="preserve">    </w:t>
      </w:r>
      <w:r>
        <w:rPr>
          <w:rFonts w:hint="eastAsia" w:ascii="黑体" w:eastAsia="黑体"/>
          <w:bCs/>
          <w:sz w:val="32"/>
          <w:szCs w:val="20"/>
        </w:rPr>
        <w:t>第五条</w:t>
      </w:r>
      <w:r>
        <w:rPr>
          <w:rFonts w:hint="eastAsia" w:ascii="仿宋_GB2312" w:eastAsia="仿宋_GB2312"/>
          <w:sz w:val="32"/>
          <w:szCs w:val="20"/>
        </w:rPr>
        <w:t xml:space="preserve">  </w:t>
      </w:r>
      <w:r>
        <w:rPr>
          <w:rFonts w:ascii="仿宋_GB2312" w:eastAsia="仿宋_GB2312"/>
          <w:sz w:val="32"/>
          <w:szCs w:val="20"/>
        </w:rPr>
        <w:t>政府投资项目应</w:t>
      </w:r>
      <w:r>
        <w:rPr>
          <w:rFonts w:hint="eastAsia" w:ascii="仿宋_GB2312" w:eastAsia="仿宋_GB2312"/>
          <w:sz w:val="32"/>
          <w:szCs w:val="20"/>
        </w:rPr>
        <w:t>合理</w:t>
      </w:r>
      <w:r>
        <w:rPr>
          <w:rFonts w:ascii="仿宋_GB2312" w:eastAsia="仿宋_GB2312"/>
          <w:sz w:val="32"/>
          <w:szCs w:val="20"/>
        </w:rPr>
        <w:t>控制</w:t>
      </w:r>
      <w:r>
        <w:rPr>
          <w:rFonts w:hint="eastAsia" w:ascii="仿宋_GB2312" w:eastAsia="仿宋_GB2312"/>
          <w:sz w:val="32"/>
          <w:szCs w:val="20"/>
        </w:rPr>
        <w:t>投资规模、科学</w:t>
      </w:r>
      <w:r>
        <w:rPr>
          <w:rFonts w:ascii="仿宋_GB2312" w:eastAsia="仿宋_GB2312"/>
          <w:sz w:val="32"/>
          <w:szCs w:val="20"/>
        </w:rPr>
        <w:t>确定建设周期</w:t>
      </w:r>
      <w:r>
        <w:rPr>
          <w:rFonts w:hint="eastAsia" w:ascii="仿宋_GB2312" w:eastAsia="仿宋_GB2312"/>
          <w:sz w:val="32"/>
          <w:szCs w:val="20"/>
        </w:rPr>
        <w:t>、有效提升项目</w:t>
      </w:r>
      <w:r>
        <w:rPr>
          <w:rFonts w:ascii="仿宋_GB2312" w:eastAsia="仿宋_GB2312"/>
          <w:sz w:val="32"/>
          <w:szCs w:val="20"/>
        </w:rPr>
        <w:t>品质</w:t>
      </w:r>
      <w:r>
        <w:rPr>
          <w:rFonts w:hint="eastAsia" w:ascii="仿宋_GB2312" w:eastAsia="仿宋_GB2312"/>
          <w:sz w:val="32"/>
          <w:szCs w:val="20"/>
        </w:rPr>
        <w:t>、</w:t>
      </w:r>
      <w:r>
        <w:rPr>
          <w:rFonts w:ascii="仿宋_GB2312" w:eastAsia="仿宋_GB2312"/>
          <w:sz w:val="32"/>
          <w:szCs w:val="20"/>
        </w:rPr>
        <w:t>确保</w:t>
      </w:r>
      <w:r>
        <w:rPr>
          <w:rFonts w:hint="eastAsia" w:ascii="仿宋_GB2312" w:eastAsia="仿宋_GB2312"/>
          <w:sz w:val="32"/>
          <w:szCs w:val="20"/>
        </w:rPr>
        <w:t>工程</w:t>
      </w:r>
      <w:r>
        <w:rPr>
          <w:rFonts w:ascii="仿宋_GB2312" w:eastAsia="仿宋_GB2312"/>
          <w:sz w:val="32"/>
          <w:szCs w:val="20"/>
        </w:rPr>
        <w:t>施工安全</w:t>
      </w:r>
      <w:r>
        <w:rPr>
          <w:rFonts w:hint="eastAsia" w:ascii="仿宋_GB2312" w:eastAsia="仿宋_GB2312"/>
          <w:sz w:val="32"/>
          <w:szCs w:val="20"/>
        </w:rPr>
        <w:t>。</w:t>
      </w:r>
      <w:r>
        <w:rPr>
          <w:rFonts w:ascii="仿宋_GB2312" w:eastAsia="仿宋_GB2312"/>
          <w:sz w:val="32"/>
          <w:szCs w:val="20"/>
        </w:rPr>
        <w:t xml:space="preserve"> </w:t>
      </w:r>
    </w:p>
    <w:p>
      <w:pPr>
        <w:tabs>
          <w:tab w:val="left" w:pos="1590"/>
        </w:tabs>
        <w:spacing w:line="560" w:lineRule="exact"/>
        <w:ind w:firstLine="640"/>
        <w:rPr>
          <w:rFonts w:ascii="仿宋_GB2312" w:eastAsia="仿宋_GB2312"/>
          <w:bCs/>
          <w:sz w:val="32"/>
          <w:szCs w:val="20"/>
        </w:rPr>
      </w:pPr>
      <w:r>
        <w:rPr>
          <w:rFonts w:hint="eastAsia" w:ascii="黑体" w:eastAsia="黑体"/>
          <w:bCs/>
          <w:sz w:val="32"/>
          <w:szCs w:val="20"/>
        </w:rPr>
        <w:t>第六条</w:t>
      </w:r>
      <w:r>
        <w:rPr>
          <w:rFonts w:ascii="仿宋_GB2312" w:eastAsia="仿宋_GB2312"/>
          <w:bCs/>
          <w:sz w:val="32"/>
          <w:szCs w:val="20"/>
        </w:rPr>
        <w:t xml:space="preserve">  </w:t>
      </w:r>
      <w:r>
        <w:rPr>
          <w:rFonts w:hint="eastAsia" w:ascii="仿宋_GB2312" w:eastAsia="仿宋_GB2312"/>
          <w:bCs/>
          <w:sz w:val="32"/>
          <w:szCs w:val="20"/>
        </w:rPr>
        <w:t>政府投资项目相关职能部门主要管理职责：</w:t>
      </w:r>
    </w:p>
    <w:p>
      <w:pPr>
        <w:tabs>
          <w:tab w:val="left" w:pos="1590"/>
        </w:tabs>
        <w:spacing w:line="560" w:lineRule="exact"/>
        <w:ind w:firstLine="640"/>
        <w:rPr>
          <w:rFonts w:ascii="仿宋_GB2312" w:eastAsia="仿宋_GB2312"/>
          <w:bCs/>
          <w:sz w:val="32"/>
          <w:szCs w:val="20"/>
        </w:rPr>
      </w:pPr>
      <w:r>
        <w:rPr>
          <w:rFonts w:hint="eastAsia" w:ascii="仿宋_GB2312" w:eastAsia="仿宋_GB2312"/>
          <w:bCs/>
          <w:sz w:val="32"/>
          <w:szCs w:val="20"/>
        </w:rPr>
        <w:t>（一）区发展改革局负责根据全区经济社会发展情况编制年度政府投资项目计划，动态管理项目储备库，对项目立项、可行性研究报告、概算总投资进行审核，下达项目投资计划，统筹协调和开展项目后评价；</w:t>
      </w:r>
    </w:p>
    <w:p>
      <w:pPr>
        <w:tabs>
          <w:tab w:val="left" w:pos="1590"/>
        </w:tabs>
        <w:spacing w:line="560" w:lineRule="exact"/>
        <w:ind w:firstLine="640"/>
        <w:rPr>
          <w:rFonts w:ascii="仿宋_GB2312" w:eastAsia="仿宋_GB2312"/>
          <w:bCs/>
          <w:sz w:val="32"/>
          <w:szCs w:val="20"/>
        </w:rPr>
      </w:pPr>
      <w:r>
        <w:rPr>
          <w:rFonts w:hint="eastAsia" w:ascii="仿宋_GB2312" w:eastAsia="仿宋_GB2312"/>
          <w:bCs/>
          <w:sz w:val="32"/>
          <w:szCs w:val="20"/>
        </w:rPr>
        <w:t>（二）区财政局负责保障项目资金，对项目资金和政府采购实施管理和监督；</w:t>
      </w:r>
    </w:p>
    <w:p>
      <w:pPr>
        <w:tabs>
          <w:tab w:val="left" w:pos="1590"/>
        </w:tabs>
        <w:spacing w:line="560" w:lineRule="exact"/>
        <w:ind w:firstLine="640"/>
        <w:rPr>
          <w:rFonts w:ascii="仿宋_GB2312" w:eastAsia="仿宋_GB2312"/>
          <w:bCs/>
          <w:sz w:val="32"/>
          <w:szCs w:val="20"/>
        </w:rPr>
      </w:pPr>
      <w:r>
        <w:rPr>
          <w:rFonts w:hint="eastAsia" w:ascii="仿宋_GB2312" w:eastAsia="仿宋_GB2312"/>
          <w:bCs/>
          <w:sz w:val="32"/>
          <w:szCs w:val="20"/>
        </w:rPr>
        <w:t>（三）区住房建设局负责项目人防、消防、施工许可审批，对工程招投标、质量安全、工程验收进行监督管理；</w:t>
      </w:r>
      <w:r>
        <w:rPr>
          <w:rFonts w:ascii="仿宋_GB2312" w:eastAsia="仿宋_GB2312"/>
          <w:bCs/>
          <w:sz w:val="32"/>
          <w:szCs w:val="20"/>
        </w:rPr>
        <w:t xml:space="preserve"> </w:t>
      </w:r>
    </w:p>
    <w:p>
      <w:pPr>
        <w:tabs>
          <w:tab w:val="left" w:pos="1590"/>
        </w:tabs>
        <w:spacing w:line="560" w:lineRule="exact"/>
        <w:ind w:firstLine="640"/>
        <w:rPr>
          <w:rFonts w:ascii="仿宋_GB2312" w:eastAsia="仿宋_GB2312"/>
          <w:bCs/>
          <w:sz w:val="32"/>
          <w:szCs w:val="20"/>
        </w:rPr>
      </w:pPr>
      <w:r>
        <w:rPr>
          <w:rFonts w:hint="eastAsia" w:ascii="仿宋_GB2312" w:eastAsia="仿宋_GB2312"/>
          <w:bCs/>
          <w:sz w:val="32"/>
          <w:szCs w:val="20"/>
        </w:rPr>
        <w:t>（四）区审计局负责对项目进行审计监督和稽察；</w:t>
      </w:r>
    </w:p>
    <w:p>
      <w:pPr>
        <w:tabs>
          <w:tab w:val="left" w:pos="1590"/>
        </w:tabs>
        <w:spacing w:line="560" w:lineRule="exact"/>
        <w:ind w:firstLine="640"/>
        <w:rPr>
          <w:rFonts w:ascii="仿宋_GB2312" w:eastAsia="仿宋_GB2312"/>
          <w:bCs/>
          <w:sz w:val="32"/>
          <w:szCs w:val="20"/>
        </w:rPr>
      </w:pPr>
      <w:r>
        <w:rPr>
          <w:rFonts w:hint="eastAsia" w:ascii="仿宋_GB2312" w:eastAsia="仿宋_GB2312"/>
          <w:bCs/>
          <w:sz w:val="32"/>
          <w:szCs w:val="20"/>
        </w:rPr>
        <w:t>（五）区采购中心负责提供政府采购服务；</w:t>
      </w:r>
    </w:p>
    <w:p>
      <w:pPr>
        <w:tabs>
          <w:tab w:val="left" w:pos="1590"/>
        </w:tabs>
        <w:spacing w:line="560" w:lineRule="exact"/>
        <w:ind w:firstLine="640"/>
        <w:rPr>
          <w:rFonts w:ascii="仿宋_GB2312" w:eastAsia="仿宋_GB2312"/>
          <w:bCs/>
          <w:sz w:val="32"/>
          <w:szCs w:val="20"/>
        </w:rPr>
      </w:pPr>
      <w:r>
        <w:rPr>
          <w:rFonts w:hint="eastAsia" w:ascii="仿宋_GB2312" w:eastAsia="仿宋_GB2312"/>
          <w:bCs/>
          <w:sz w:val="32"/>
          <w:szCs w:val="20"/>
        </w:rPr>
        <w:t>（六）区水务局、区城管和综合执法局、区政务服务数据管理局、市规划和自然资源局盐田管理局、市交通运输局盐田管理局、市生态环境局盐田管理局及其他相关部门按相应职责依法履行项目审批和监管职能。</w:t>
      </w:r>
    </w:p>
    <w:p>
      <w:pPr>
        <w:tabs>
          <w:tab w:val="left" w:pos="1590"/>
        </w:tabs>
        <w:spacing w:line="560" w:lineRule="exact"/>
        <w:ind w:firstLine="640"/>
        <w:rPr>
          <w:rFonts w:ascii="仿宋_GB2312" w:eastAsia="仿宋_GB2312"/>
          <w:bCs/>
          <w:sz w:val="32"/>
          <w:szCs w:val="20"/>
        </w:rPr>
      </w:pPr>
      <w:r>
        <w:rPr>
          <w:rFonts w:hint="eastAsia" w:ascii="黑体" w:eastAsia="黑体"/>
          <w:bCs/>
          <w:sz w:val="32"/>
          <w:szCs w:val="20"/>
        </w:rPr>
        <w:t>第七条</w:t>
      </w:r>
      <w:r>
        <w:rPr>
          <w:rFonts w:ascii="仿宋_GB2312" w:eastAsia="仿宋_GB2312"/>
          <w:bCs/>
          <w:sz w:val="32"/>
          <w:szCs w:val="20"/>
        </w:rPr>
        <w:t xml:space="preserve">  </w:t>
      </w:r>
      <w:r>
        <w:rPr>
          <w:rFonts w:hint="eastAsia" w:ascii="仿宋_GB2312" w:eastAsia="仿宋_GB2312"/>
          <w:bCs/>
          <w:sz w:val="32"/>
          <w:szCs w:val="20"/>
        </w:rPr>
        <w:t>政府投资项目建设单位分工：</w:t>
      </w:r>
    </w:p>
    <w:p>
      <w:pPr>
        <w:tabs>
          <w:tab w:val="left" w:pos="1590"/>
        </w:tabs>
        <w:spacing w:line="560" w:lineRule="exact"/>
        <w:ind w:firstLine="640"/>
        <w:rPr>
          <w:rFonts w:ascii="仿宋_GB2312" w:hAnsi="仿宋" w:eastAsia="仿宋_GB2312" w:cs="仿宋"/>
          <w:bCs/>
          <w:sz w:val="32"/>
          <w:szCs w:val="32"/>
        </w:rPr>
      </w:pPr>
      <w:r>
        <w:rPr>
          <w:rFonts w:ascii="仿宋_GB2312" w:hAnsi="仿宋" w:eastAsia="仿宋_GB2312" w:cs="仿宋"/>
          <w:bCs/>
          <w:sz w:val="32"/>
          <w:szCs w:val="32"/>
        </w:rPr>
        <w:t>（一）</w:t>
      </w:r>
      <w:r>
        <w:rPr>
          <w:rFonts w:hint="eastAsia" w:ascii="仿宋_GB2312" w:hAnsi="仿宋" w:eastAsia="仿宋_GB2312" w:cs="仿宋"/>
          <w:bCs/>
          <w:sz w:val="32"/>
          <w:szCs w:val="32"/>
        </w:rPr>
        <w:t>单纯</w:t>
      </w:r>
      <w:r>
        <w:rPr>
          <w:rFonts w:ascii="仿宋_GB2312" w:hAnsi="仿宋" w:eastAsia="仿宋_GB2312" w:cs="仿宋"/>
          <w:bCs/>
          <w:sz w:val="32"/>
          <w:szCs w:val="32"/>
        </w:rPr>
        <w:t>城市</w:t>
      </w:r>
      <w:r>
        <w:rPr>
          <w:rFonts w:hint="eastAsia" w:ascii="仿宋_GB2312" w:hAnsi="仿宋" w:eastAsia="仿宋_GB2312" w:cs="仿宋"/>
          <w:bCs/>
          <w:sz w:val="32"/>
          <w:szCs w:val="32"/>
        </w:rPr>
        <w:t>供</w:t>
      </w:r>
      <w:r>
        <w:rPr>
          <w:rFonts w:ascii="仿宋_GB2312" w:hAnsi="仿宋" w:eastAsia="仿宋_GB2312" w:cs="仿宋"/>
          <w:bCs/>
          <w:sz w:val="32"/>
          <w:szCs w:val="32"/>
        </w:rPr>
        <w:t>排水</w:t>
      </w:r>
      <w:r>
        <w:rPr>
          <w:rFonts w:hint="eastAsia" w:ascii="仿宋_GB2312" w:hAnsi="仿宋" w:eastAsia="仿宋_GB2312" w:cs="仿宋"/>
          <w:bCs/>
          <w:sz w:val="32"/>
          <w:szCs w:val="32"/>
        </w:rPr>
        <w:t>、治水提质、</w:t>
      </w:r>
      <w:r>
        <w:rPr>
          <w:rFonts w:ascii="仿宋_GB2312" w:hAnsi="仿宋" w:eastAsia="仿宋_GB2312" w:cs="仿宋"/>
          <w:bCs/>
          <w:sz w:val="32"/>
          <w:szCs w:val="32"/>
        </w:rPr>
        <w:t>水利</w:t>
      </w:r>
      <w:r>
        <w:rPr>
          <w:rFonts w:hint="eastAsia" w:ascii="仿宋_GB2312" w:hAnsi="仿宋" w:eastAsia="仿宋_GB2312" w:cs="仿宋"/>
          <w:bCs/>
          <w:sz w:val="32"/>
          <w:szCs w:val="32"/>
        </w:rPr>
        <w:t xml:space="preserve">项目，由区水务局负责组织实施； </w:t>
      </w:r>
    </w:p>
    <w:p>
      <w:pPr>
        <w:tabs>
          <w:tab w:val="left" w:pos="1590"/>
        </w:tabs>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（二）单纯城市</w:t>
      </w:r>
      <w:r>
        <w:rPr>
          <w:rFonts w:ascii="仿宋_GB2312" w:hAnsi="仿宋" w:eastAsia="仿宋_GB2312" w:cs="仿宋"/>
          <w:bCs/>
          <w:sz w:val="32"/>
          <w:szCs w:val="32"/>
        </w:rPr>
        <w:t>环卫</w:t>
      </w:r>
      <w:r>
        <w:rPr>
          <w:rFonts w:hint="eastAsia" w:ascii="仿宋_GB2312" w:hAnsi="仿宋" w:eastAsia="仿宋_GB2312" w:cs="仿宋"/>
          <w:bCs/>
          <w:sz w:val="32"/>
          <w:szCs w:val="32"/>
        </w:rPr>
        <w:t>、市容环境、</w:t>
      </w:r>
      <w:r>
        <w:rPr>
          <w:rFonts w:ascii="仿宋_GB2312" w:hAnsi="仿宋" w:eastAsia="仿宋_GB2312" w:cs="仿宋"/>
          <w:bCs/>
          <w:sz w:val="32"/>
          <w:szCs w:val="32"/>
        </w:rPr>
        <w:t>园林绿化</w:t>
      </w:r>
      <w:r>
        <w:rPr>
          <w:rFonts w:hint="eastAsia" w:ascii="仿宋_GB2312" w:hAnsi="仿宋" w:eastAsia="仿宋_GB2312" w:cs="仿宋"/>
          <w:bCs/>
          <w:sz w:val="32"/>
          <w:szCs w:val="32"/>
        </w:rPr>
        <w:t xml:space="preserve">项目，由区城管和综合执法局负责组织实施； </w:t>
      </w:r>
    </w:p>
    <w:p>
      <w:pPr>
        <w:tabs>
          <w:tab w:val="left" w:pos="1590"/>
        </w:tabs>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（三）单纯交通</w:t>
      </w:r>
      <w:r>
        <w:rPr>
          <w:rFonts w:ascii="仿宋_GB2312" w:hAnsi="仿宋" w:eastAsia="仿宋_GB2312" w:cs="仿宋"/>
          <w:bCs/>
          <w:sz w:val="32"/>
          <w:szCs w:val="32"/>
        </w:rPr>
        <w:t>设施</w:t>
      </w:r>
      <w:r>
        <w:rPr>
          <w:rFonts w:hint="eastAsia" w:ascii="仿宋_GB2312" w:hAnsi="仿宋" w:eastAsia="仿宋_GB2312" w:cs="仿宋"/>
          <w:bCs/>
          <w:sz w:val="32"/>
          <w:szCs w:val="32"/>
        </w:rPr>
        <w:t>、市政道路项目，由</w:t>
      </w:r>
      <w:r>
        <w:rPr>
          <w:rFonts w:hint="eastAsia" w:ascii="仿宋_GB2312" w:eastAsia="仿宋_GB2312"/>
          <w:bCs/>
          <w:sz w:val="32"/>
          <w:szCs w:val="20"/>
        </w:rPr>
        <w:t>市交通运输局盐田管理局</w:t>
      </w:r>
      <w:r>
        <w:rPr>
          <w:rFonts w:hint="eastAsia" w:ascii="仿宋_GB2312" w:hAnsi="仿宋" w:eastAsia="仿宋_GB2312" w:cs="仿宋"/>
          <w:bCs/>
          <w:sz w:val="32"/>
          <w:szCs w:val="32"/>
        </w:rPr>
        <w:t>负责项目立项至施工图设计阶段的前期工作，区工务署负责施工招标至项目建成移交的组织实施；</w:t>
      </w:r>
    </w:p>
    <w:p>
      <w:pPr>
        <w:tabs>
          <w:tab w:val="left" w:pos="1590"/>
        </w:tabs>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（四）综合性重大项目，以及</w:t>
      </w:r>
      <w:r>
        <w:rPr>
          <w:rFonts w:ascii="仿宋_GB2312" w:hAnsi="仿宋" w:eastAsia="仿宋_GB2312" w:cs="仿宋"/>
          <w:bCs/>
          <w:sz w:val="32"/>
          <w:szCs w:val="32"/>
        </w:rPr>
        <w:t>建筑</w:t>
      </w:r>
      <w:r>
        <w:rPr>
          <w:rFonts w:hint="eastAsia" w:ascii="仿宋_GB2312" w:hAnsi="仿宋" w:eastAsia="仿宋_GB2312" w:cs="仿宋"/>
          <w:bCs/>
          <w:sz w:val="32"/>
          <w:szCs w:val="32"/>
        </w:rPr>
        <w:t>、城市公用设施、边坡治理项目，由区前期办负责项目立项至施工图设计阶段的前期工作，区工务署负责施工招标至项目建成移交的组织实施；</w:t>
      </w:r>
    </w:p>
    <w:p>
      <w:pPr>
        <w:tabs>
          <w:tab w:val="left" w:pos="1590"/>
        </w:tabs>
        <w:spacing w:line="56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（五）小额建设工程、装修装饰、设备购置项目，由项目的产权单位、使用单位或所在街道办负责组织实施；</w:t>
      </w:r>
    </w:p>
    <w:p>
      <w:pPr>
        <w:tabs>
          <w:tab w:val="left" w:pos="1590"/>
        </w:tabs>
        <w:spacing w:line="560" w:lineRule="exact"/>
        <w:ind w:firstLine="640"/>
        <w:rPr>
          <w:rFonts w:ascii="仿宋_GB2312" w:eastAsia="仿宋_GB2312"/>
          <w:bCs/>
          <w:sz w:val="32"/>
          <w:szCs w:val="20"/>
        </w:rPr>
      </w:pPr>
      <w:r>
        <w:rPr>
          <w:rFonts w:hint="eastAsia" w:ascii="仿宋_GB2312" w:hAnsi="仿宋" w:eastAsia="仿宋_GB2312" w:cs="仿宋"/>
          <w:bCs/>
          <w:sz w:val="32"/>
          <w:szCs w:val="32"/>
        </w:rPr>
        <w:t>（六）区级平台、跨部门多业务应用系统的信息化项目，由区政务服务数据管理局牵头组织实施；单业务应用系统的信息化项目，由业务主管部门负责组织实施。具体办法由区政务服务数据管理局另行制定。</w:t>
      </w:r>
    </w:p>
    <w:p>
      <w:pPr>
        <w:tabs>
          <w:tab w:val="left" w:pos="1590"/>
        </w:tabs>
        <w:spacing w:line="560" w:lineRule="exact"/>
        <w:ind w:firstLine="640"/>
        <w:rPr>
          <w:rFonts w:ascii="仿宋_GB2312" w:eastAsia="仿宋_GB2312"/>
          <w:bCs/>
          <w:sz w:val="32"/>
          <w:szCs w:val="20"/>
        </w:rPr>
      </w:pPr>
      <w:r>
        <w:rPr>
          <w:rFonts w:hint="eastAsia" w:ascii="黑体" w:eastAsia="黑体"/>
          <w:bCs/>
          <w:sz w:val="32"/>
          <w:szCs w:val="20"/>
        </w:rPr>
        <w:t>第八条</w:t>
      </w:r>
      <w:r>
        <w:rPr>
          <w:rFonts w:ascii="仿宋_GB2312" w:eastAsia="仿宋_GB2312"/>
          <w:bCs/>
          <w:sz w:val="32"/>
          <w:szCs w:val="20"/>
        </w:rPr>
        <w:t xml:space="preserve">  </w:t>
      </w:r>
      <w:r>
        <w:rPr>
          <w:rFonts w:hint="eastAsia" w:ascii="仿宋_GB2312" w:eastAsia="仿宋_GB2312"/>
          <w:bCs/>
          <w:sz w:val="32"/>
          <w:szCs w:val="20"/>
        </w:rPr>
        <w:t>除涉及保密工程外，政府投资项目相关建设单位及职能部门应全面应用投资项目在线审批监管平台，依托在线平台开展项目申报、材料受理、审核批复等各项工作，实现项目建设的全流程覆盖、全业务流转、全方位监管。</w:t>
      </w:r>
    </w:p>
    <w:p>
      <w:pPr>
        <w:spacing w:line="560" w:lineRule="exact"/>
        <w:ind w:firstLine="640"/>
        <w:rPr>
          <w:rFonts w:ascii="仿宋_GB2312" w:eastAsia="仿宋_GB2312" w:cs="仿宋_GB2312"/>
          <w:b/>
          <w:bCs/>
          <w:color w:val="000000"/>
          <w:kern w:val="0"/>
          <w:sz w:val="32"/>
          <w:szCs w:val="20"/>
          <w:u w:val="single"/>
        </w:rPr>
      </w:pPr>
    </w:p>
    <w:p>
      <w:pPr>
        <w:spacing w:line="560" w:lineRule="exact"/>
        <w:jc w:val="center"/>
        <w:rPr>
          <w:rFonts w:ascii="黑体" w:eastAsia="黑体"/>
          <w:sz w:val="32"/>
          <w:szCs w:val="32"/>
        </w:rPr>
      </w:pPr>
      <w:r>
        <w:rPr>
          <w:rFonts w:hint="eastAsia" w:ascii="黑体" w:eastAsia="黑体"/>
          <w:sz w:val="32"/>
          <w:szCs w:val="32"/>
        </w:rPr>
        <w:t>第二章  政府投资决策</w:t>
      </w:r>
    </w:p>
    <w:p>
      <w:pPr>
        <w:spacing w:line="560" w:lineRule="exact"/>
        <w:ind w:left="1440"/>
        <w:rPr>
          <w:rFonts w:ascii="黑体" w:eastAsia="黑体"/>
          <w:sz w:val="32"/>
          <w:szCs w:val="32"/>
        </w:rPr>
      </w:pPr>
    </w:p>
    <w:p>
      <w:pPr>
        <w:snapToGrid w:val="0"/>
        <w:spacing w:line="560" w:lineRule="exact"/>
        <w:ind w:firstLine="658"/>
        <w:rPr>
          <w:rFonts w:ascii="仿宋_GB2312" w:eastAsia="仿宋_GB2312"/>
          <w:sz w:val="32"/>
          <w:szCs w:val="32"/>
        </w:rPr>
      </w:pPr>
      <w:r>
        <w:rPr>
          <w:rFonts w:hint="eastAsia" w:ascii="黑体" w:eastAsia="黑体"/>
          <w:bCs/>
          <w:sz w:val="32"/>
          <w:szCs w:val="20"/>
        </w:rPr>
        <w:t xml:space="preserve">第九条  </w:t>
      </w:r>
      <w:r>
        <w:rPr>
          <w:rFonts w:hint="eastAsia" w:ascii="仿宋_GB2312" w:eastAsia="仿宋_GB2312"/>
          <w:sz w:val="32"/>
          <w:szCs w:val="32"/>
        </w:rPr>
        <w:t>政府投资项目立项前，项目建设单位应开展咨询论证，编制项目立项申请报告。项目咨询论证费用纳入区财政局预算管理。</w:t>
      </w:r>
    </w:p>
    <w:p>
      <w:pPr>
        <w:snapToGrid w:val="0"/>
        <w:spacing w:line="560" w:lineRule="exact"/>
        <w:ind w:firstLine="658"/>
        <w:rPr>
          <w:rFonts w:ascii="仿宋_GB2312" w:eastAsia="仿宋_GB2312"/>
          <w:sz w:val="32"/>
          <w:szCs w:val="32"/>
        </w:rPr>
      </w:pPr>
      <w:r>
        <w:rPr>
          <w:rFonts w:hint="eastAsia" w:ascii="仿宋_GB2312" w:eastAsia="仿宋_GB2312"/>
          <w:sz w:val="32"/>
          <w:szCs w:val="32"/>
        </w:rPr>
        <w:t>项目立项申请报告编制内容应包括项目建设的必要性、拟建地点、土地权属、</w:t>
      </w:r>
      <w:r>
        <w:rPr>
          <w:rFonts w:hint="eastAsia" w:ascii="仿宋_GB2312" w:eastAsia="仿宋_GB2312"/>
          <w:bCs/>
          <w:sz w:val="32"/>
          <w:szCs w:val="20"/>
        </w:rPr>
        <w:t>规模及主要建设内容</w:t>
      </w:r>
      <w:r>
        <w:rPr>
          <w:rFonts w:hint="eastAsia" w:ascii="仿宋_GB2312" w:eastAsia="仿宋_GB2312"/>
          <w:sz w:val="32"/>
          <w:szCs w:val="32"/>
        </w:rPr>
        <w:t>、匡算总投资、建设起止时间、运营管养模式等，并明确项目建设单位、产权单位或产权管理单位。</w:t>
      </w:r>
    </w:p>
    <w:p>
      <w:pPr>
        <w:snapToGrid w:val="0"/>
        <w:spacing w:line="560" w:lineRule="exact"/>
        <w:ind w:firstLine="658"/>
        <w:rPr>
          <w:rFonts w:ascii="仿宋_GB2312" w:eastAsia="仿宋_GB2312"/>
          <w:sz w:val="32"/>
          <w:szCs w:val="32"/>
        </w:rPr>
      </w:pPr>
      <w:r>
        <w:rPr>
          <w:rFonts w:hint="eastAsia" w:ascii="黑体" w:eastAsia="黑体"/>
          <w:bCs/>
          <w:sz w:val="32"/>
          <w:szCs w:val="20"/>
        </w:rPr>
        <w:t xml:space="preserve">第十条  </w:t>
      </w:r>
      <w:r>
        <w:rPr>
          <w:rFonts w:hint="eastAsia" w:ascii="仿宋_GB2312" w:eastAsia="仿宋_GB2312"/>
          <w:sz w:val="32"/>
          <w:szCs w:val="32"/>
        </w:rPr>
        <w:t>项目立项申请报告应征求区发展改革局、区</w:t>
      </w:r>
      <w:r>
        <w:rPr>
          <w:rFonts w:hint="eastAsia" w:ascii="仿宋_GB2312" w:eastAsia="仿宋_GB2312"/>
          <w:bCs/>
          <w:sz w:val="32"/>
          <w:szCs w:val="20"/>
        </w:rPr>
        <w:t>水务局、区卫生健康局、市规划和自然资源局盐田管理局、市生态环境局盐田管理局</w:t>
      </w:r>
      <w:r>
        <w:rPr>
          <w:rFonts w:hint="eastAsia" w:ascii="仿宋_GB2312" w:eastAsia="仿宋_GB2312"/>
          <w:sz w:val="32"/>
          <w:szCs w:val="32"/>
        </w:rPr>
        <w:t>等相关部门意见，经分管区领导研究后，由建设单位报分管区发展改革局的副区长及区长审定。</w:t>
      </w:r>
    </w:p>
    <w:p>
      <w:pPr>
        <w:snapToGrid w:val="0"/>
        <w:spacing w:line="560" w:lineRule="exact"/>
        <w:ind w:firstLine="658"/>
        <w:rPr>
          <w:rFonts w:ascii="仿宋_GB2312" w:eastAsia="仿宋_GB2312"/>
          <w:sz w:val="32"/>
          <w:szCs w:val="32"/>
        </w:rPr>
      </w:pPr>
      <w:r>
        <w:rPr>
          <w:rFonts w:hint="eastAsia" w:ascii="黑体" w:eastAsia="黑体"/>
          <w:bCs/>
          <w:sz w:val="32"/>
          <w:szCs w:val="20"/>
        </w:rPr>
        <w:t xml:space="preserve">第十一条  </w:t>
      </w:r>
      <w:r>
        <w:rPr>
          <w:rFonts w:hint="eastAsia" w:ascii="仿宋_GB2312" w:eastAsia="仿宋_GB2312"/>
          <w:sz w:val="32"/>
          <w:szCs w:val="32"/>
        </w:rPr>
        <w:t>区发展改革局将项目列入政府投资项目储备库，并下达项目前期计划。</w:t>
      </w:r>
    </w:p>
    <w:p>
      <w:pPr>
        <w:snapToGrid w:val="0"/>
        <w:spacing w:line="560" w:lineRule="exact"/>
        <w:ind w:firstLine="658"/>
        <w:rPr>
          <w:rFonts w:ascii="仿宋_GB2312" w:eastAsia="仿宋_GB2312"/>
          <w:sz w:val="32"/>
          <w:szCs w:val="32"/>
        </w:rPr>
      </w:pPr>
      <w:r>
        <w:rPr>
          <w:rFonts w:hint="eastAsia" w:ascii="仿宋_GB2312" w:eastAsia="仿宋_GB2312"/>
          <w:sz w:val="32"/>
          <w:szCs w:val="32"/>
        </w:rPr>
        <w:t>项目建设地点、建设内容及规模确定后，原则上不予调整，确有必要调整的，建设单位应征求区发展改革局、</w:t>
      </w:r>
      <w:r>
        <w:rPr>
          <w:rFonts w:hint="eastAsia" w:ascii="仿宋_GB2312" w:eastAsia="仿宋_GB2312"/>
          <w:bCs/>
          <w:sz w:val="32"/>
          <w:szCs w:val="20"/>
        </w:rPr>
        <w:t>市规划和自然资源局盐田管理局</w:t>
      </w:r>
      <w:r>
        <w:rPr>
          <w:rFonts w:hint="eastAsia" w:ascii="仿宋_GB2312" w:eastAsia="仿宋_GB2312"/>
          <w:sz w:val="32"/>
          <w:szCs w:val="32"/>
        </w:rPr>
        <w:t>等相关部门意见后，报区政府办公会议审定。</w:t>
      </w:r>
      <w:r>
        <w:rPr>
          <w:rFonts w:ascii="仿宋_GB2312" w:eastAsia="仿宋_GB2312"/>
          <w:sz w:val="32"/>
          <w:szCs w:val="32"/>
        </w:rPr>
        <w:t xml:space="preserve"> </w:t>
      </w:r>
    </w:p>
    <w:p>
      <w:pPr>
        <w:spacing w:line="560" w:lineRule="exact"/>
        <w:ind w:firstLine="640" w:firstLineChars="200"/>
        <w:rPr>
          <w:rFonts w:ascii="仿宋_GB2312" w:hAnsi="仿宋" w:eastAsia="仿宋_GB2312" w:cs="仿宋"/>
          <w:bCs/>
          <w:sz w:val="32"/>
          <w:szCs w:val="32"/>
        </w:rPr>
      </w:pPr>
      <w:r>
        <w:rPr>
          <w:rFonts w:hint="eastAsia" w:ascii="黑体" w:hAnsi="黑体" w:eastAsia="黑体"/>
          <w:sz w:val="32"/>
          <w:szCs w:val="32"/>
        </w:rPr>
        <w:t>第十二条</w:t>
      </w:r>
      <w:r>
        <w:rPr>
          <w:rFonts w:hint="eastAsia" w:ascii="仿宋_GB2312" w:eastAsia="仿宋_GB2312"/>
          <w:b/>
          <w:sz w:val="32"/>
          <w:szCs w:val="32"/>
        </w:rPr>
        <w:t xml:space="preserve">  </w:t>
      </w:r>
      <w:r>
        <w:rPr>
          <w:rFonts w:hint="eastAsia" w:ascii="仿宋_GB2312" w:eastAsia="仿宋_GB2312"/>
          <w:sz w:val="32"/>
          <w:szCs w:val="32"/>
        </w:rPr>
        <w:t>建设单位取得项目前期计划文件后开展</w:t>
      </w:r>
      <w:r>
        <w:rPr>
          <w:rFonts w:hint="eastAsia" w:ascii="仿宋_GB2312" w:hAnsi="仿宋" w:eastAsia="仿宋_GB2312" w:cs="仿宋"/>
          <w:bCs/>
          <w:sz w:val="32"/>
          <w:szCs w:val="32"/>
        </w:rPr>
        <w:t>可行性研究报告编制</w:t>
      </w:r>
      <w:r>
        <w:rPr>
          <w:rFonts w:hint="eastAsia" w:ascii="仿宋_GB2312" w:eastAsia="仿宋_GB2312"/>
          <w:sz w:val="32"/>
          <w:szCs w:val="32"/>
        </w:rPr>
        <w:t>。</w:t>
      </w:r>
      <w:r>
        <w:rPr>
          <w:rFonts w:hint="eastAsia" w:ascii="仿宋_GB2312" w:hAnsi="仿宋" w:eastAsia="仿宋_GB2312" w:cs="仿宋"/>
          <w:bCs/>
          <w:sz w:val="32"/>
          <w:szCs w:val="32"/>
        </w:rPr>
        <w:t>对于总投资不满5000万元的项目或单纯装修装饰、设备购置、维修改造、绿化提升、公交停靠站、交通安全设施、城市照明等项目，建设单</w:t>
      </w:r>
      <w:r>
        <w:rPr>
          <w:rFonts w:hint="eastAsia" w:ascii="仿宋_GB2312" w:eastAsia="仿宋_GB2312"/>
          <w:sz w:val="32"/>
          <w:szCs w:val="32"/>
        </w:rPr>
        <w:t>位</w:t>
      </w:r>
      <w:r>
        <w:rPr>
          <w:rFonts w:hint="eastAsia" w:ascii="仿宋_GB2312" w:hAnsi="仿宋" w:eastAsia="仿宋_GB2312" w:cs="仿宋"/>
          <w:bCs/>
          <w:sz w:val="32"/>
          <w:szCs w:val="32"/>
        </w:rPr>
        <w:t>免于可行性研究报告编制，但须在初步设计方案中增加项目可行性论证。</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可行性研究报告应包括项目背景、可行性分析、技术工艺方案、主要材料及设备标准、选址与建设工程方案、节能节水措施、海绵城市建设、环境影响分析、招标与实施进度、估算总投资、社会效益评价、综合结论等内容。</w:t>
      </w:r>
    </w:p>
    <w:p>
      <w:pPr>
        <w:spacing w:line="560" w:lineRule="exact"/>
        <w:ind w:firstLine="640" w:firstLineChars="200"/>
        <w:rPr>
          <w:rFonts w:ascii="仿宋_GB2312" w:hAnsi="仿宋" w:eastAsia="仿宋_GB2312" w:cs="仿宋"/>
          <w:bCs/>
          <w:sz w:val="32"/>
          <w:szCs w:val="32"/>
        </w:rPr>
      </w:pPr>
      <w:r>
        <w:rPr>
          <w:rFonts w:ascii="仿宋_GB2312" w:hAnsi="楷体" w:eastAsia="仿宋_GB2312" w:cs="楷体"/>
          <w:sz w:val="32"/>
          <w:szCs w:val="32"/>
        </w:rPr>
        <w:t>教育</w:t>
      </w:r>
      <w:r>
        <w:rPr>
          <w:rFonts w:hint="eastAsia" w:ascii="仿宋_GB2312" w:hAnsi="楷体" w:eastAsia="仿宋_GB2312" w:cs="楷体"/>
          <w:sz w:val="32"/>
          <w:szCs w:val="32"/>
        </w:rPr>
        <w:t>、卫生健康</w:t>
      </w:r>
      <w:r>
        <w:rPr>
          <w:rFonts w:ascii="仿宋_GB2312" w:hAnsi="楷体" w:eastAsia="仿宋_GB2312" w:cs="楷体"/>
          <w:sz w:val="32"/>
          <w:szCs w:val="32"/>
        </w:rPr>
        <w:t>、</w:t>
      </w:r>
      <w:r>
        <w:rPr>
          <w:rFonts w:hint="eastAsia" w:ascii="仿宋_GB2312" w:hAnsi="楷体" w:eastAsia="仿宋_GB2312" w:cs="楷体"/>
          <w:sz w:val="32"/>
          <w:szCs w:val="32"/>
        </w:rPr>
        <w:t>文化、体育</w:t>
      </w:r>
      <w:r>
        <w:rPr>
          <w:rFonts w:ascii="仿宋_GB2312" w:hAnsi="楷体" w:eastAsia="仿宋_GB2312" w:cs="楷体"/>
          <w:sz w:val="32"/>
          <w:szCs w:val="32"/>
        </w:rPr>
        <w:t>、市政道路</w:t>
      </w:r>
      <w:r>
        <w:rPr>
          <w:rFonts w:hint="eastAsia" w:ascii="仿宋_GB2312" w:hAnsi="楷体" w:eastAsia="仿宋_GB2312" w:cs="楷体"/>
          <w:sz w:val="32"/>
          <w:szCs w:val="32"/>
        </w:rPr>
        <w:t>、市政园林</w:t>
      </w:r>
      <w:r>
        <w:rPr>
          <w:rFonts w:ascii="仿宋_GB2312" w:hAnsi="楷体" w:eastAsia="仿宋_GB2312" w:cs="楷体"/>
          <w:sz w:val="32"/>
          <w:szCs w:val="32"/>
        </w:rPr>
        <w:t>等项目</w:t>
      </w:r>
      <w:r>
        <w:rPr>
          <w:rFonts w:hint="eastAsia" w:ascii="仿宋_GB2312" w:hAnsi="楷体" w:eastAsia="仿宋_GB2312" w:cs="楷体"/>
          <w:sz w:val="32"/>
          <w:szCs w:val="32"/>
        </w:rPr>
        <w:t>可</w:t>
      </w:r>
      <w:r>
        <w:rPr>
          <w:rFonts w:ascii="仿宋_GB2312" w:hAnsi="楷体" w:eastAsia="仿宋_GB2312" w:cs="楷体"/>
          <w:sz w:val="32"/>
          <w:szCs w:val="32"/>
        </w:rPr>
        <w:t>采用可研、设计一体化</w:t>
      </w:r>
      <w:r>
        <w:rPr>
          <w:rFonts w:hint="eastAsia" w:ascii="仿宋_GB2312" w:hAnsi="楷体" w:eastAsia="仿宋_GB2312" w:cs="楷体"/>
          <w:sz w:val="32"/>
          <w:szCs w:val="32"/>
        </w:rPr>
        <w:t>编制</w:t>
      </w:r>
      <w:r>
        <w:rPr>
          <w:rFonts w:ascii="仿宋_GB2312" w:hAnsi="楷体" w:eastAsia="仿宋_GB2312" w:cs="楷体"/>
          <w:sz w:val="32"/>
          <w:szCs w:val="32"/>
        </w:rPr>
        <w:t>模式</w:t>
      </w:r>
      <w:r>
        <w:rPr>
          <w:rFonts w:hint="eastAsia" w:ascii="仿宋_GB2312" w:hAnsi="仿宋" w:eastAsia="仿宋_GB2312" w:cs="仿宋"/>
          <w:bCs/>
          <w:sz w:val="32"/>
          <w:szCs w:val="32"/>
        </w:rPr>
        <w:t>。</w:t>
      </w:r>
    </w:p>
    <w:p>
      <w:pPr>
        <w:spacing w:line="560" w:lineRule="exact"/>
        <w:ind w:firstLine="640" w:firstLineChars="200"/>
        <w:rPr>
          <w:rFonts w:ascii="仿宋_GB2312" w:hAnsi="楷体" w:eastAsia="仿宋_GB2312" w:cs="楷体"/>
          <w:sz w:val="32"/>
          <w:szCs w:val="32"/>
        </w:rPr>
      </w:pPr>
      <w:r>
        <w:rPr>
          <w:rFonts w:hint="eastAsia" w:ascii="黑体" w:eastAsia="黑体"/>
          <w:bCs/>
          <w:sz w:val="32"/>
          <w:szCs w:val="20"/>
        </w:rPr>
        <w:t>第十三条</w:t>
      </w:r>
      <w:r>
        <w:rPr>
          <w:rFonts w:hint="eastAsia" w:ascii="仿宋_GB2312" w:hAnsi="楷体" w:eastAsia="仿宋_GB2312" w:cs="楷体"/>
          <w:sz w:val="32"/>
          <w:szCs w:val="32"/>
        </w:rPr>
        <w:t xml:space="preserve">  年综合能源消费量不满1000吨标准煤，且年电力消费量不满500万千瓦时的项目，建设单位可在项目可行性研究报告或初步设计中加入对项目能源利用情况、节能措施和能效水平分析等内容，</w:t>
      </w:r>
      <w:r>
        <w:rPr>
          <w:rFonts w:hint="eastAsia" w:ascii="仿宋_GB2312" w:eastAsia="仿宋_GB2312"/>
          <w:sz w:val="32"/>
          <w:szCs w:val="32"/>
        </w:rPr>
        <w:t>不需单独编制项目节能评估文件</w:t>
      </w:r>
      <w:r>
        <w:rPr>
          <w:rFonts w:hint="eastAsia" w:ascii="仿宋_GB2312" w:hAnsi="楷体" w:eastAsia="仿宋_GB2312" w:cs="楷体"/>
          <w:sz w:val="32"/>
          <w:szCs w:val="32"/>
        </w:rPr>
        <w:t>。</w:t>
      </w:r>
    </w:p>
    <w:p>
      <w:pPr>
        <w:spacing w:line="560" w:lineRule="exact"/>
        <w:ind w:firstLine="640" w:firstLineChars="200"/>
        <w:rPr>
          <w:rFonts w:ascii="仿宋_GB2312" w:eastAsia="仿宋_GB2312"/>
          <w:sz w:val="32"/>
          <w:szCs w:val="32"/>
        </w:rPr>
      </w:pPr>
      <w:r>
        <w:rPr>
          <w:rFonts w:hint="eastAsia" w:ascii="黑体" w:eastAsia="黑体"/>
          <w:bCs/>
          <w:sz w:val="32"/>
          <w:szCs w:val="20"/>
        </w:rPr>
        <w:t xml:space="preserve">第十四条  </w:t>
      </w:r>
      <w:r>
        <w:rPr>
          <w:rFonts w:hint="eastAsia" w:ascii="仿宋_GB2312" w:eastAsia="仿宋_GB2312"/>
          <w:sz w:val="32"/>
          <w:szCs w:val="32"/>
        </w:rPr>
        <w:t>项目可行性研究报告报区发展改革局审核批复。</w:t>
      </w:r>
    </w:p>
    <w:p>
      <w:pPr>
        <w:spacing w:line="560" w:lineRule="exact"/>
        <w:ind w:firstLine="640" w:firstLineChars="200"/>
        <w:rPr>
          <w:rFonts w:ascii="仿宋_GB2312" w:hAnsi="仿宋" w:eastAsia="仿宋_GB2312" w:cs="仿宋"/>
          <w:b/>
          <w:bCs/>
          <w:sz w:val="32"/>
          <w:szCs w:val="32"/>
        </w:rPr>
      </w:pPr>
      <w:r>
        <w:rPr>
          <w:rFonts w:hint="eastAsia" w:ascii="黑体" w:eastAsia="黑体"/>
          <w:bCs/>
          <w:sz w:val="32"/>
          <w:szCs w:val="20"/>
        </w:rPr>
        <w:t>第十五条</w:t>
      </w:r>
      <w:r>
        <w:rPr>
          <w:rFonts w:hint="eastAsia" w:ascii="仿宋_GB2312" w:hAnsi="仿宋" w:eastAsia="仿宋_GB2312" w:cs="仿宋"/>
          <w:b/>
          <w:bCs/>
          <w:sz w:val="32"/>
          <w:szCs w:val="32"/>
        </w:rPr>
        <w:t xml:space="preserve">  </w:t>
      </w:r>
      <w:r>
        <w:rPr>
          <w:rFonts w:hint="eastAsia" w:ascii="仿宋_GB2312" w:eastAsia="仿宋_GB2312"/>
          <w:sz w:val="32"/>
          <w:szCs w:val="32"/>
        </w:rPr>
        <w:t>建设单位应按照可行性研究报告批复的内容及估算总投资开展项目初步设计。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项目初步设计应包括主要建设内容、建设规模、建设标准、主要材料、设备规格和技术参数等。</w:t>
      </w:r>
    </w:p>
    <w:p>
      <w:pPr>
        <w:tabs>
          <w:tab w:val="left" w:pos="1590"/>
        </w:tabs>
        <w:spacing w:line="560" w:lineRule="exact"/>
        <w:ind w:firstLine="640"/>
        <w:rPr>
          <w:rFonts w:ascii="仿宋_GB2312" w:eastAsia="仿宋_GB2312"/>
          <w:sz w:val="32"/>
          <w:szCs w:val="32"/>
        </w:rPr>
      </w:pPr>
      <w:r>
        <w:rPr>
          <w:rFonts w:hint="eastAsia" w:ascii="黑体" w:eastAsia="黑体"/>
          <w:bCs/>
          <w:sz w:val="32"/>
          <w:szCs w:val="20"/>
        </w:rPr>
        <w:t xml:space="preserve">第十六条  </w:t>
      </w:r>
      <w:r>
        <w:rPr>
          <w:rFonts w:hint="eastAsia" w:ascii="仿宋_GB2312" w:eastAsia="仿宋_GB2312"/>
          <w:sz w:val="32"/>
          <w:szCs w:val="32"/>
        </w:rPr>
        <w:t>估算总投资不满400万元的项</w:t>
      </w:r>
      <w:r>
        <w:rPr>
          <w:rFonts w:hint="eastAsia" w:ascii="仿宋_GB2312" w:hAnsi="仿宋" w:eastAsia="仿宋_GB2312" w:cs="仿宋"/>
          <w:bCs/>
          <w:sz w:val="32"/>
          <w:szCs w:val="32"/>
        </w:rPr>
        <w:t>目，</w:t>
      </w:r>
      <w:r>
        <w:rPr>
          <w:rFonts w:hint="eastAsia" w:ascii="仿宋_GB2312" w:eastAsia="仿宋_GB2312"/>
          <w:sz w:val="32"/>
          <w:szCs w:val="32"/>
        </w:rPr>
        <w:t>初步设计方案由建设单位会同区发展改革局及相关职能部门进行评审</w:t>
      </w:r>
      <w:r>
        <w:rPr>
          <w:rFonts w:hint="eastAsia" w:ascii="仿宋_GB2312" w:hAnsi="仿宋" w:eastAsia="仿宋_GB2312" w:cs="仿宋"/>
          <w:bCs/>
          <w:sz w:val="32"/>
          <w:szCs w:val="32"/>
        </w:rPr>
        <w:t>后确定；</w:t>
      </w:r>
      <w:r>
        <w:rPr>
          <w:rFonts w:hint="eastAsia" w:ascii="仿宋_GB2312" w:eastAsia="仿宋_GB2312"/>
          <w:sz w:val="32"/>
          <w:szCs w:val="32"/>
        </w:rPr>
        <w:t>估算总投资400万元以上的项目，初步设计方案经评审后，</w:t>
      </w:r>
      <w:r>
        <w:rPr>
          <w:rFonts w:hint="eastAsia" w:ascii="仿宋_GB2312" w:hAnsi="仿宋" w:eastAsia="仿宋_GB2312" w:cs="仿宋"/>
          <w:bCs/>
          <w:sz w:val="32"/>
          <w:szCs w:val="32"/>
        </w:rPr>
        <w:t>建设单位</w:t>
      </w:r>
      <w:r>
        <w:rPr>
          <w:rFonts w:hint="eastAsia" w:ascii="仿宋_GB2312" w:eastAsia="仿宋_GB2312"/>
          <w:sz w:val="32"/>
          <w:szCs w:val="32"/>
        </w:rPr>
        <w:t>报区政府办公会议审定。</w:t>
      </w:r>
    </w:p>
    <w:p>
      <w:pPr>
        <w:tabs>
          <w:tab w:val="left" w:pos="1590"/>
        </w:tabs>
        <w:spacing w:line="560" w:lineRule="exact"/>
        <w:ind w:firstLine="640"/>
        <w:rPr>
          <w:rFonts w:ascii="仿宋_GB2312" w:eastAsia="仿宋_GB2312"/>
          <w:sz w:val="32"/>
          <w:szCs w:val="32"/>
        </w:rPr>
      </w:pPr>
      <w:r>
        <w:rPr>
          <w:rFonts w:hint="eastAsia" w:ascii="仿宋_GB2312" w:eastAsia="仿宋_GB2312"/>
          <w:sz w:val="32"/>
          <w:szCs w:val="32"/>
        </w:rPr>
        <w:t>初步设计方案</w:t>
      </w:r>
      <w:r>
        <w:rPr>
          <w:rFonts w:hint="eastAsia" w:ascii="仿宋_GB2312" w:hAnsi="仿宋" w:eastAsia="仿宋_GB2312" w:cs="仿宋"/>
          <w:bCs/>
          <w:sz w:val="32"/>
          <w:szCs w:val="32"/>
        </w:rPr>
        <w:t>估算</w:t>
      </w:r>
      <w:r>
        <w:rPr>
          <w:rFonts w:hint="eastAsia" w:ascii="仿宋_GB2312" w:eastAsia="仿宋_GB2312"/>
          <w:sz w:val="32"/>
          <w:szCs w:val="32"/>
        </w:rPr>
        <w:t>总投资</w:t>
      </w:r>
      <w:r>
        <w:rPr>
          <w:rFonts w:hint="eastAsia" w:ascii="仿宋_GB2312" w:hAnsi="仿宋" w:eastAsia="仿宋_GB2312" w:cs="仿宋"/>
          <w:bCs/>
          <w:sz w:val="32"/>
          <w:szCs w:val="32"/>
        </w:rPr>
        <w:t>超过批复</w:t>
      </w:r>
      <w:r>
        <w:rPr>
          <w:rFonts w:hint="eastAsia" w:ascii="仿宋_GB2312" w:hAnsi="黑体" w:eastAsia="仿宋_GB2312" w:cs="黑体"/>
          <w:bCs/>
          <w:sz w:val="32"/>
          <w:szCs w:val="32"/>
        </w:rPr>
        <w:t>可行性研究报告</w:t>
      </w:r>
      <w:r>
        <w:rPr>
          <w:rFonts w:hint="eastAsia" w:ascii="仿宋_GB2312" w:hAnsi="仿宋" w:eastAsia="仿宋_GB2312" w:cs="仿宋"/>
          <w:bCs/>
          <w:sz w:val="32"/>
          <w:szCs w:val="32"/>
        </w:rPr>
        <w:t>10%以上的，建设单位应开展</w:t>
      </w:r>
      <w:r>
        <w:rPr>
          <w:rFonts w:hint="eastAsia" w:ascii="仿宋_GB2312" w:hAnsi="黑体" w:eastAsia="仿宋_GB2312" w:cs="黑体"/>
          <w:bCs/>
          <w:sz w:val="32"/>
          <w:szCs w:val="32"/>
        </w:rPr>
        <w:t>可行性研究报告</w:t>
      </w:r>
      <w:r>
        <w:rPr>
          <w:rFonts w:hint="eastAsia" w:ascii="仿宋_GB2312" w:hAnsi="仿宋" w:eastAsia="仿宋_GB2312" w:cs="仿宋"/>
          <w:bCs/>
          <w:sz w:val="32"/>
          <w:szCs w:val="32"/>
        </w:rPr>
        <w:t>修编，并重新报批。经区政府同意，调整功能定位、建设内容、建设规模、建设标准的项目，可免于</w:t>
      </w:r>
      <w:r>
        <w:rPr>
          <w:rFonts w:hint="eastAsia" w:ascii="仿宋_GB2312" w:hAnsi="黑体" w:eastAsia="仿宋_GB2312" w:cs="黑体"/>
          <w:bCs/>
          <w:sz w:val="32"/>
          <w:szCs w:val="32"/>
        </w:rPr>
        <w:t>可行性研究报告</w:t>
      </w:r>
      <w:r>
        <w:rPr>
          <w:rFonts w:hint="eastAsia" w:ascii="仿宋_GB2312" w:hAnsi="仿宋" w:eastAsia="仿宋_GB2312" w:cs="仿宋"/>
          <w:bCs/>
          <w:sz w:val="32"/>
          <w:szCs w:val="32"/>
        </w:rPr>
        <w:t>修编</w:t>
      </w:r>
      <w:r>
        <w:rPr>
          <w:rFonts w:hint="eastAsia" w:ascii="仿宋_GB2312" w:eastAsia="仿宋_GB2312"/>
          <w:sz w:val="32"/>
          <w:szCs w:val="32"/>
        </w:rPr>
        <w:t>。</w:t>
      </w:r>
    </w:p>
    <w:p>
      <w:pPr>
        <w:spacing w:line="560" w:lineRule="exact"/>
        <w:ind w:firstLine="640"/>
        <w:rPr>
          <w:rFonts w:ascii="仿宋_GB2312" w:eastAsia="仿宋_GB2312"/>
          <w:sz w:val="32"/>
          <w:szCs w:val="32"/>
        </w:rPr>
      </w:pPr>
      <w:r>
        <w:rPr>
          <w:rFonts w:hint="eastAsia" w:ascii="黑体" w:eastAsia="黑体"/>
          <w:bCs/>
          <w:sz w:val="32"/>
          <w:szCs w:val="20"/>
        </w:rPr>
        <w:t xml:space="preserve">第十七条  </w:t>
      </w:r>
      <w:r>
        <w:rPr>
          <w:rFonts w:hint="eastAsia" w:ascii="仿宋_GB2312" w:hAnsi="仿宋" w:eastAsia="仿宋_GB2312" w:cs="仿宋"/>
          <w:bCs/>
          <w:sz w:val="32"/>
          <w:szCs w:val="32"/>
        </w:rPr>
        <w:t>建设单位应根据</w:t>
      </w:r>
      <w:r>
        <w:rPr>
          <w:rFonts w:hint="eastAsia" w:ascii="仿宋_GB2312" w:eastAsia="仿宋_GB2312"/>
          <w:sz w:val="32"/>
          <w:szCs w:val="32"/>
        </w:rPr>
        <w:t>审定的项目初步设计方案开展施工图设计，并编制达到预算深度要求的项目总概算</w:t>
      </w:r>
      <w:r>
        <w:rPr>
          <w:rFonts w:hint="eastAsia" w:ascii="仿宋_GB2312" w:hAnsi="仿宋" w:eastAsia="仿宋_GB2312" w:cs="仿宋"/>
          <w:bCs/>
          <w:sz w:val="32"/>
          <w:szCs w:val="32"/>
        </w:rPr>
        <w:t>，</w:t>
      </w:r>
      <w:r>
        <w:rPr>
          <w:rFonts w:hint="eastAsia" w:ascii="仿宋_GB2312" w:eastAsia="仿宋_GB2312"/>
          <w:sz w:val="32"/>
          <w:szCs w:val="32"/>
        </w:rPr>
        <w:t>报区发展改革局审核。</w:t>
      </w:r>
    </w:p>
    <w:p>
      <w:pPr>
        <w:tabs>
          <w:tab w:val="left" w:pos="1590"/>
        </w:tabs>
        <w:spacing w:line="560" w:lineRule="exact"/>
        <w:ind w:firstLine="640"/>
        <w:rPr>
          <w:rFonts w:ascii="仿宋_GB2312" w:eastAsia="仿宋_GB2312"/>
          <w:sz w:val="32"/>
          <w:szCs w:val="32"/>
        </w:rPr>
      </w:pPr>
      <w:r>
        <w:rPr>
          <w:rFonts w:hint="eastAsia" w:ascii="仿宋_GB2312" w:eastAsia="仿宋_GB2312"/>
          <w:sz w:val="32"/>
          <w:szCs w:val="32"/>
        </w:rPr>
        <w:t>（一）总投资不满400万元的</w:t>
      </w:r>
      <w:r>
        <w:rPr>
          <w:rFonts w:hint="eastAsia" w:ascii="仿宋_GB2312" w:hAnsi="仿宋" w:eastAsia="仿宋_GB2312" w:cs="仿宋"/>
          <w:bCs/>
          <w:sz w:val="32"/>
          <w:szCs w:val="32"/>
        </w:rPr>
        <w:t>项目，区发展改革局批复项目总概算，并抄送区领导；</w:t>
      </w:r>
    </w:p>
    <w:p>
      <w:pPr>
        <w:tabs>
          <w:tab w:val="left" w:pos="1590"/>
        </w:tabs>
        <w:spacing w:line="560" w:lineRule="exact"/>
        <w:ind w:firstLine="640"/>
        <w:rPr>
          <w:rFonts w:ascii="仿宋_GB2312" w:hAnsi="仿宋" w:eastAsia="仿宋_GB2312" w:cs="仿宋"/>
          <w:bCs/>
          <w:sz w:val="32"/>
          <w:szCs w:val="32"/>
        </w:rPr>
      </w:pPr>
      <w:r>
        <w:rPr>
          <w:rFonts w:hint="eastAsia" w:ascii="仿宋_GB2312" w:eastAsia="仿宋_GB2312"/>
          <w:sz w:val="32"/>
          <w:szCs w:val="32"/>
        </w:rPr>
        <w:t>（二）总投资400万元以上的项</w:t>
      </w:r>
      <w:r>
        <w:rPr>
          <w:rFonts w:hint="eastAsia" w:ascii="仿宋_GB2312" w:hAnsi="仿宋" w:eastAsia="仿宋_GB2312" w:cs="仿宋"/>
          <w:bCs/>
          <w:sz w:val="32"/>
          <w:szCs w:val="32"/>
        </w:rPr>
        <w:t>目，区发展改革局报区政府常务会议审定后，批复项目总概算。</w:t>
      </w:r>
    </w:p>
    <w:p>
      <w:pPr>
        <w:snapToGrid w:val="0"/>
        <w:spacing w:line="560" w:lineRule="exact"/>
        <w:ind w:firstLine="658"/>
        <w:rPr>
          <w:rFonts w:ascii="仿宋_GB2312" w:eastAsia="仿宋_GB2312"/>
          <w:sz w:val="32"/>
          <w:szCs w:val="32"/>
        </w:rPr>
      </w:pPr>
      <w:r>
        <w:rPr>
          <w:rFonts w:hint="eastAsia" w:ascii="黑体" w:eastAsia="黑体"/>
          <w:bCs/>
          <w:sz w:val="32"/>
          <w:szCs w:val="20"/>
        </w:rPr>
        <w:t>第十八条</w:t>
      </w:r>
      <w:r>
        <w:rPr>
          <w:rFonts w:ascii="仿宋_GB2312" w:eastAsia="仿宋_GB2312"/>
          <w:bCs/>
          <w:sz w:val="32"/>
          <w:szCs w:val="20"/>
        </w:rPr>
        <w:t xml:space="preserve">  </w:t>
      </w:r>
      <w:r>
        <w:rPr>
          <w:rFonts w:hint="eastAsia" w:ascii="仿宋_GB2312" w:eastAsia="仿宋_GB2312"/>
          <w:sz w:val="32"/>
          <w:szCs w:val="32"/>
        </w:rPr>
        <w:t>项目总概算是投资控制的依据，项目建设投资原则上不得超过项目总概算。因国家政策调整、价格上涨、地质条件发生重大变化等原因确需增加投资概算的，建设单位应提出调整方案，经区发展改革局重新审核项目总投资并出具意见后，报区政府办公会议审定。</w:t>
      </w:r>
    </w:p>
    <w:p>
      <w:pPr>
        <w:tabs>
          <w:tab w:val="left" w:pos="1590"/>
        </w:tabs>
        <w:spacing w:line="560" w:lineRule="exact"/>
        <w:ind w:firstLine="640"/>
        <w:rPr>
          <w:rFonts w:ascii="仿宋_GB2312" w:eastAsia="仿宋_GB2312"/>
          <w:sz w:val="32"/>
          <w:szCs w:val="32"/>
        </w:rPr>
      </w:pPr>
      <w:r>
        <w:rPr>
          <w:rFonts w:hint="eastAsia" w:ascii="仿宋_GB2312" w:eastAsia="仿宋_GB2312"/>
          <w:sz w:val="32"/>
          <w:szCs w:val="32"/>
        </w:rPr>
        <w:t xml:space="preserve">（一）增加金额不满400万元的项目，建设单位报分管区发展改革局的副区长及区长审定；  </w:t>
      </w:r>
    </w:p>
    <w:p>
      <w:pPr>
        <w:tabs>
          <w:tab w:val="left" w:pos="1590"/>
        </w:tabs>
        <w:spacing w:line="560" w:lineRule="exact"/>
        <w:ind w:firstLine="640"/>
        <w:rPr>
          <w:rFonts w:ascii="仿宋_GB2312" w:eastAsia="仿宋_GB2312"/>
          <w:sz w:val="32"/>
          <w:szCs w:val="32"/>
        </w:rPr>
      </w:pPr>
      <w:r>
        <w:rPr>
          <w:rFonts w:hint="eastAsia" w:ascii="仿宋_GB2312" w:eastAsia="仿宋_GB2312"/>
          <w:sz w:val="32"/>
          <w:szCs w:val="32"/>
        </w:rPr>
        <w:t>（二）增加金额400万元以上的项目，建设单位报区政府常务会议审定。</w:t>
      </w:r>
    </w:p>
    <w:p>
      <w:pPr>
        <w:tabs>
          <w:tab w:val="left" w:pos="1590"/>
        </w:tabs>
        <w:spacing w:line="560" w:lineRule="exact"/>
        <w:ind w:firstLine="640"/>
        <w:rPr>
          <w:rFonts w:ascii="仿宋_GB2312" w:eastAsia="仿宋_GB2312"/>
          <w:sz w:val="32"/>
          <w:szCs w:val="32"/>
        </w:rPr>
      </w:pPr>
      <w:r>
        <w:rPr>
          <w:rFonts w:hint="eastAsia" w:ascii="仿宋_GB2312" w:eastAsia="仿宋_GB2312"/>
          <w:sz w:val="32"/>
          <w:szCs w:val="32"/>
        </w:rPr>
        <w:t>区发展改革局根据审定意见调整批复项目总概算，并抄送区审计局。</w:t>
      </w:r>
    </w:p>
    <w:p>
      <w:pPr>
        <w:spacing w:line="560" w:lineRule="exact"/>
        <w:ind w:firstLine="645"/>
        <w:rPr>
          <w:rFonts w:ascii="仿宋_GB2312" w:hAnsi="仿宋" w:eastAsia="仿宋_GB2312" w:cs="仿宋"/>
          <w:b/>
          <w:bCs/>
          <w:sz w:val="32"/>
          <w:szCs w:val="32"/>
        </w:rPr>
      </w:pPr>
    </w:p>
    <w:p>
      <w:pPr>
        <w:spacing w:line="560" w:lineRule="exact"/>
        <w:jc w:val="center"/>
        <w:rPr>
          <w:rFonts w:eastAsia="黑体"/>
          <w:bCs/>
          <w:sz w:val="32"/>
          <w:szCs w:val="20"/>
        </w:rPr>
      </w:pPr>
      <w:r>
        <w:rPr>
          <w:rFonts w:hint="eastAsia" w:eastAsia="黑体"/>
          <w:bCs/>
          <w:sz w:val="32"/>
          <w:szCs w:val="20"/>
        </w:rPr>
        <w:t>第三章  政府投资年度计划</w:t>
      </w:r>
    </w:p>
    <w:p>
      <w:pPr>
        <w:spacing w:line="560" w:lineRule="exact"/>
        <w:rPr>
          <w:rFonts w:eastAsia="黑体"/>
          <w:bCs/>
          <w:sz w:val="32"/>
          <w:szCs w:val="20"/>
        </w:rPr>
      </w:pPr>
    </w:p>
    <w:p>
      <w:pPr>
        <w:tabs>
          <w:tab w:val="left" w:pos="1590"/>
        </w:tabs>
        <w:spacing w:line="560" w:lineRule="exact"/>
        <w:ind w:firstLine="641"/>
        <w:rPr>
          <w:rFonts w:ascii="仿宋_GB2312" w:eastAsia="仿宋_GB2312"/>
          <w:bCs/>
          <w:sz w:val="32"/>
          <w:szCs w:val="20"/>
        </w:rPr>
      </w:pPr>
      <w:r>
        <w:rPr>
          <w:rFonts w:hint="eastAsia" w:ascii="黑体" w:eastAsia="黑体"/>
          <w:bCs/>
          <w:sz w:val="32"/>
          <w:szCs w:val="20"/>
        </w:rPr>
        <w:t>第十九条</w:t>
      </w:r>
      <w:r>
        <w:rPr>
          <w:rFonts w:ascii="仿宋_GB2312" w:eastAsia="仿宋_GB2312"/>
          <w:bCs/>
          <w:sz w:val="32"/>
          <w:szCs w:val="20"/>
        </w:rPr>
        <w:t xml:space="preserve">  </w:t>
      </w:r>
      <w:r>
        <w:rPr>
          <w:rFonts w:hint="eastAsia" w:ascii="仿宋_GB2312" w:eastAsia="仿宋_GB2312"/>
          <w:bCs/>
          <w:sz w:val="32"/>
          <w:szCs w:val="20"/>
        </w:rPr>
        <w:t>政府投资项目实行年度计划管理，区发展改革局应结合财政资金供给情况，会同建设单位梳理</w:t>
      </w:r>
      <w:r>
        <w:rPr>
          <w:rFonts w:hint="eastAsia" w:ascii="仿宋_GB2312" w:eastAsia="仿宋_GB2312"/>
          <w:sz w:val="32"/>
          <w:szCs w:val="32"/>
        </w:rPr>
        <w:t>符合条件的项目</w:t>
      </w:r>
      <w:r>
        <w:rPr>
          <w:rFonts w:hint="eastAsia" w:ascii="仿宋_GB2312" w:eastAsia="仿宋_GB2312"/>
          <w:bCs/>
          <w:sz w:val="32"/>
          <w:szCs w:val="20"/>
        </w:rPr>
        <w:t>，安排年度建设资金</w:t>
      </w:r>
      <w:r>
        <w:rPr>
          <w:rFonts w:hint="eastAsia" w:ascii="仿宋_GB2312" w:eastAsia="仿宋_GB2312"/>
          <w:sz w:val="32"/>
          <w:szCs w:val="32"/>
        </w:rPr>
        <w:t>，</w:t>
      </w:r>
      <w:r>
        <w:rPr>
          <w:rFonts w:hint="eastAsia" w:ascii="仿宋_GB2312" w:eastAsia="仿宋_GB2312"/>
          <w:bCs/>
          <w:sz w:val="32"/>
          <w:szCs w:val="20"/>
        </w:rPr>
        <w:t>编制政府投资项目年度计划草案。</w:t>
      </w:r>
    </w:p>
    <w:p>
      <w:pPr>
        <w:tabs>
          <w:tab w:val="left" w:pos="1590"/>
        </w:tabs>
        <w:spacing w:line="560" w:lineRule="exact"/>
        <w:ind w:firstLine="641"/>
        <w:rPr>
          <w:rFonts w:ascii="仿宋_GB2312" w:eastAsia="仿宋_GB2312"/>
          <w:bCs/>
          <w:sz w:val="32"/>
          <w:szCs w:val="20"/>
        </w:rPr>
      </w:pPr>
      <w:r>
        <w:rPr>
          <w:rFonts w:hint="eastAsia" w:ascii="仿宋_GB2312" w:eastAsia="仿宋_GB2312"/>
          <w:bCs/>
          <w:sz w:val="32"/>
          <w:szCs w:val="20"/>
        </w:rPr>
        <w:t>政府投资项目年度计划草案应包括项目名称、建设内容及规模、建设工期、项目总投资、年度投资额及资金来源等内容。</w:t>
      </w:r>
    </w:p>
    <w:p>
      <w:pPr>
        <w:tabs>
          <w:tab w:val="left" w:pos="1590"/>
        </w:tabs>
        <w:spacing w:line="560" w:lineRule="exact"/>
        <w:ind w:firstLine="640"/>
        <w:rPr>
          <w:rFonts w:ascii="仿宋_GB2312" w:eastAsia="仿宋_GB2312"/>
          <w:sz w:val="32"/>
          <w:szCs w:val="32"/>
        </w:rPr>
      </w:pPr>
      <w:r>
        <w:rPr>
          <w:rFonts w:hint="eastAsia" w:ascii="黑体" w:eastAsia="黑体"/>
          <w:bCs/>
          <w:sz w:val="32"/>
          <w:szCs w:val="20"/>
        </w:rPr>
        <w:t>第二十条</w:t>
      </w:r>
      <w:r>
        <w:rPr>
          <w:rFonts w:ascii="仿宋_GB2312" w:eastAsia="仿宋_GB2312"/>
          <w:bCs/>
          <w:sz w:val="32"/>
          <w:szCs w:val="20"/>
        </w:rPr>
        <w:t xml:space="preserve">  </w:t>
      </w:r>
      <w:r>
        <w:rPr>
          <w:rFonts w:hint="eastAsia" w:ascii="仿宋_GB2312" w:eastAsia="仿宋_GB2312"/>
          <w:bCs/>
          <w:sz w:val="32"/>
          <w:szCs w:val="20"/>
        </w:rPr>
        <w:t>列入年度计划草案的政府投资项目</w:t>
      </w:r>
      <w:r>
        <w:rPr>
          <w:rFonts w:hint="eastAsia" w:ascii="仿宋_GB2312" w:eastAsia="仿宋_GB2312"/>
          <w:sz w:val="32"/>
          <w:szCs w:val="32"/>
        </w:rPr>
        <w:t>应符合下列条件之一：</w:t>
      </w:r>
    </w:p>
    <w:p>
      <w:pPr>
        <w:tabs>
          <w:tab w:val="left" w:pos="1590"/>
        </w:tabs>
        <w:spacing w:line="560" w:lineRule="exact"/>
        <w:ind w:firstLine="640"/>
        <w:rPr>
          <w:rFonts w:ascii="仿宋_GB2312" w:eastAsia="仿宋_GB2312"/>
          <w:sz w:val="32"/>
          <w:szCs w:val="32"/>
        </w:rPr>
      </w:pPr>
      <w:r>
        <w:rPr>
          <w:rFonts w:hint="eastAsia" w:ascii="仿宋_GB2312" w:eastAsia="仿宋_GB2312"/>
          <w:sz w:val="32"/>
          <w:szCs w:val="32"/>
        </w:rPr>
        <w:t>（一）已取得可行性研究报告或项目总概算批复的项目；</w:t>
      </w:r>
    </w:p>
    <w:p>
      <w:pPr>
        <w:tabs>
          <w:tab w:val="left" w:pos="1590"/>
        </w:tabs>
        <w:spacing w:line="560" w:lineRule="exact"/>
        <w:ind w:firstLine="640"/>
        <w:rPr>
          <w:rFonts w:ascii="仿宋_GB2312" w:eastAsia="仿宋_GB2312"/>
          <w:sz w:val="32"/>
          <w:szCs w:val="32"/>
        </w:rPr>
      </w:pPr>
      <w:r>
        <w:rPr>
          <w:rFonts w:hint="eastAsia" w:ascii="仿宋_GB2312" w:eastAsia="仿宋_GB2312"/>
          <w:sz w:val="32"/>
          <w:szCs w:val="32"/>
        </w:rPr>
        <w:t>（二）已取得项目立项文件，且免于可行性研究报告编制的项目；</w:t>
      </w:r>
    </w:p>
    <w:p>
      <w:pPr>
        <w:snapToGrid w:val="0"/>
        <w:spacing w:line="560" w:lineRule="exact"/>
        <w:ind w:firstLine="658"/>
        <w:rPr>
          <w:rFonts w:ascii="仿宋_GB2312" w:eastAsia="仿宋_GB2312"/>
          <w:sz w:val="32"/>
          <w:szCs w:val="32"/>
        </w:rPr>
      </w:pPr>
      <w:r>
        <w:rPr>
          <w:rFonts w:hint="eastAsia" w:ascii="仿宋_GB2312" w:eastAsia="仿宋_GB2312"/>
          <w:sz w:val="32"/>
          <w:szCs w:val="32"/>
        </w:rPr>
        <w:t>（三）纳入专项资金管理，且已经区政府研究同意</w:t>
      </w:r>
      <w:r>
        <w:rPr>
          <w:rFonts w:hint="eastAsia" w:ascii="仿宋_GB2312" w:eastAsia="仿宋_GB2312"/>
          <w:bCs/>
          <w:sz w:val="32"/>
          <w:szCs w:val="20"/>
        </w:rPr>
        <w:t>的项目</w:t>
      </w:r>
      <w:r>
        <w:rPr>
          <w:rFonts w:hint="eastAsia" w:ascii="仿宋_GB2312" w:eastAsia="仿宋_GB2312"/>
          <w:sz w:val="32"/>
          <w:szCs w:val="32"/>
        </w:rPr>
        <w:t>。</w:t>
      </w:r>
    </w:p>
    <w:p>
      <w:pPr>
        <w:snapToGrid w:val="0"/>
        <w:spacing w:line="560" w:lineRule="exact"/>
        <w:ind w:firstLine="658"/>
        <w:rPr>
          <w:rFonts w:ascii="仿宋_GB2312" w:eastAsia="仿宋_GB2312"/>
          <w:sz w:val="32"/>
          <w:szCs w:val="32"/>
        </w:rPr>
      </w:pPr>
      <w:r>
        <w:rPr>
          <w:rFonts w:hint="eastAsia" w:ascii="仿宋_GB2312" w:eastAsia="仿宋_GB2312"/>
          <w:bCs/>
          <w:sz w:val="32"/>
          <w:szCs w:val="20"/>
        </w:rPr>
        <w:t>未列入年度计划草案的临时性项目，建设资金</w:t>
      </w:r>
      <w:r>
        <w:rPr>
          <w:rFonts w:hint="eastAsia" w:ascii="仿宋_GB2312" w:eastAsia="仿宋_GB2312"/>
          <w:sz w:val="32"/>
          <w:szCs w:val="32"/>
        </w:rPr>
        <w:t>在年度计划预留资金中安排。</w:t>
      </w:r>
    </w:p>
    <w:p>
      <w:pPr>
        <w:tabs>
          <w:tab w:val="left" w:pos="1590"/>
        </w:tabs>
        <w:spacing w:line="560" w:lineRule="exact"/>
        <w:ind w:firstLine="641"/>
        <w:rPr>
          <w:rFonts w:ascii="仿宋_GB2312" w:eastAsia="仿宋_GB2312"/>
          <w:sz w:val="32"/>
          <w:szCs w:val="32"/>
        </w:rPr>
      </w:pPr>
      <w:r>
        <w:rPr>
          <w:rFonts w:hint="eastAsia" w:ascii="黑体" w:eastAsia="黑体"/>
          <w:bCs/>
          <w:sz w:val="32"/>
          <w:szCs w:val="20"/>
        </w:rPr>
        <w:t>第二十一条</w:t>
      </w:r>
      <w:r>
        <w:rPr>
          <w:rFonts w:ascii="仿宋_GB2312" w:eastAsia="仿宋_GB2312"/>
          <w:bCs/>
          <w:sz w:val="32"/>
          <w:szCs w:val="20"/>
        </w:rPr>
        <w:t xml:space="preserve">  </w:t>
      </w:r>
      <w:r>
        <w:rPr>
          <w:rFonts w:hint="eastAsia" w:ascii="仿宋_GB2312" w:eastAsia="仿宋_GB2312"/>
          <w:bCs/>
          <w:sz w:val="32"/>
          <w:szCs w:val="20"/>
        </w:rPr>
        <w:t>政府投资项目年度计划草案经区政府常务会议研究后提交区委常委会议审定，再报区人民代表大会审议批准</w:t>
      </w:r>
      <w:r>
        <w:rPr>
          <w:rFonts w:hint="eastAsia" w:ascii="仿宋_GB2312" w:eastAsia="仿宋_GB2312"/>
          <w:sz w:val="32"/>
          <w:szCs w:val="32"/>
        </w:rPr>
        <w:t>。年度</w:t>
      </w:r>
      <w:r>
        <w:rPr>
          <w:rFonts w:hint="eastAsia" w:ascii="仿宋_GB2312" w:eastAsia="仿宋_GB2312"/>
          <w:bCs/>
          <w:sz w:val="32"/>
          <w:szCs w:val="20"/>
        </w:rPr>
        <w:t>计划草案批准后，区发展改革局应按照草案所列项目向建设单位及时下达项目投资计划。</w:t>
      </w:r>
    </w:p>
    <w:p>
      <w:pPr>
        <w:tabs>
          <w:tab w:val="left" w:pos="1590"/>
        </w:tabs>
        <w:spacing w:line="560" w:lineRule="exact"/>
        <w:ind w:firstLine="640"/>
        <w:rPr>
          <w:rFonts w:ascii="仿宋_GB2312" w:eastAsia="仿宋_GB2312"/>
          <w:b/>
          <w:sz w:val="32"/>
          <w:szCs w:val="32"/>
        </w:rPr>
      </w:pPr>
      <w:r>
        <w:rPr>
          <w:rFonts w:hint="eastAsia" w:ascii="黑体" w:eastAsia="黑体"/>
          <w:bCs/>
          <w:sz w:val="32"/>
          <w:szCs w:val="20"/>
        </w:rPr>
        <w:t xml:space="preserve">第二十二条  </w:t>
      </w:r>
      <w:r>
        <w:rPr>
          <w:rFonts w:hint="eastAsia" w:ascii="仿宋_GB2312" w:eastAsia="仿宋_GB2312"/>
          <w:bCs/>
          <w:sz w:val="32"/>
          <w:szCs w:val="20"/>
        </w:rPr>
        <w:t>政府投资项目年度计划</w:t>
      </w:r>
      <w:r>
        <w:rPr>
          <w:rFonts w:ascii="仿宋_GB2312" w:eastAsia="仿宋_GB2312"/>
          <w:sz w:val="32"/>
          <w:szCs w:val="32"/>
        </w:rPr>
        <w:t>执行过程中，在不突破年度</w:t>
      </w:r>
      <w:r>
        <w:rPr>
          <w:rFonts w:hint="eastAsia" w:ascii="仿宋_GB2312" w:eastAsia="仿宋_GB2312"/>
          <w:sz w:val="32"/>
          <w:szCs w:val="32"/>
        </w:rPr>
        <w:t>计划总</w:t>
      </w:r>
      <w:r>
        <w:rPr>
          <w:rFonts w:ascii="仿宋_GB2312" w:eastAsia="仿宋_GB2312"/>
          <w:sz w:val="32"/>
          <w:szCs w:val="32"/>
        </w:rPr>
        <w:t>规模</w:t>
      </w:r>
      <w:r>
        <w:rPr>
          <w:rFonts w:hint="eastAsia" w:ascii="仿宋_GB2312" w:eastAsia="仿宋_GB2312"/>
          <w:sz w:val="32"/>
          <w:szCs w:val="32"/>
        </w:rPr>
        <w:t>的</w:t>
      </w:r>
      <w:r>
        <w:rPr>
          <w:rFonts w:ascii="仿宋_GB2312" w:eastAsia="仿宋_GB2312"/>
          <w:sz w:val="32"/>
          <w:szCs w:val="32"/>
        </w:rPr>
        <w:t>情况下，区发展改革</w:t>
      </w:r>
      <w:r>
        <w:rPr>
          <w:rFonts w:hint="eastAsia" w:ascii="仿宋_GB2312" w:eastAsia="仿宋_GB2312"/>
          <w:sz w:val="32"/>
          <w:szCs w:val="32"/>
        </w:rPr>
        <w:t>局</w:t>
      </w:r>
      <w:r>
        <w:rPr>
          <w:rFonts w:ascii="仿宋_GB2312" w:eastAsia="仿宋_GB2312"/>
          <w:sz w:val="32"/>
          <w:szCs w:val="32"/>
        </w:rPr>
        <w:t>可根据项目的进度调整</w:t>
      </w:r>
      <w:r>
        <w:rPr>
          <w:rFonts w:hint="eastAsia" w:ascii="仿宋_GB2312" w:eastAsia="仿宋_GB2312"/>
          <w:sz w:val="32"/>
          <w:szCs w:val="32"/>
        </w:rPr>
        <w:t>项目年度</w:t>
      </w:r>
      <w:r>
        <w:rPr>
          <w:rFonts w:ascii="仿宋_GB2312" w:eastAsia="仿宋_GB2312"/>
          <w:sz w:val="32"/>
          <w:szCs w:val="32"/>
        </w:rPr>
        <w:t>资金安排。确需调整年度</w:t>
      </w:r>
      <w:r>
        <w:rPr>
          <w:rFonts w:hint="eastAsia" w:ascii="仿宋_GB2312" w:eastAsia="仿宋_GB2312"/>
          <w:sz w:val="32"/>
          <w:szCs w:val="32"/>
        </w:rPr>
        <w:t>计划总</w:t>
      </w:r>
      <w:r>
        <w:rPr>
          <w:rFonts w:ascii="仿宋_GB2312" w:eastAsia="仿宋_GB2312"/>
          <w:sz w:val="32"/>
          <w:szCs w:val="32"/>
        </w:rPr>
        <w:t>规模的，由区发展改革</w:t>
      </w:r>
      <w:r>
        <w:rPr>
          <w:rFonts w:hint="eastAsia" w:ascii="仿宋_GB2312" w:eastAsia="仿宋_GB2312"/>
          <w:sz w:val="32"/>
          <w:szCs w:val="32"/>
        </w:rPr>
        <w:t>局</w:t>
      </w:r>
      <w:r>
        <w:rPr>
          <w:rFonts w:ascii="仿宋_GB2312" w:eastAsia="仿宋_GB2312"/>
          <w:sz w:val="32"/>
          <w:szCs w:val="32"/>
        </w:rPr>
        <w:t>制定调整方案</w:t>
      </w:r>
      <w:r>
        <w:rPr>
          <w:rFonts w:hint="eastAsia" w:ascii="仿宋_GB2312" w:eastAsia="仿宋_GB2312"/>
          <w:sz w:val="32"/>
          <w:szCs w:val="32"/>
        </w:rPr>
        <w:t>经区政府常务会议研究后，报区人大常委会审议批准。</w:t>
      </w:r>
    </w:p>
    <w:p>
      <w:pPr>
        <w:tabs>
          <w:tab w:val="left" w:pos="1590"/>
        </w:tabs>
        <w:spacing w:line="560" w:lineRule="exact"/>
        <w:ind w:firstLine="640"/>
        <w:rPr>
          <w:rFonts w:ascii="仿宋_GB2312" w:eastAsia="仿宋_GB2312"/>
          <w:sz w:val="32"/>
          <w:szCs w:val="32"/>
        </w:rPr>
      </w:pPr>
      <w:r>
        <w:rPr>
          <w:rFonts w:hint="eastAsia" w:ascii="黑体" w:eastAsia="黑体"/>
          <w:bCs/>
          <w:sz w:val="32"/>
          <w:szCs w:val="20"/>
        </w:rPr>
        <w:t xml:space="preserve">第二十三条  </w:t>
      </w:r>
      <w:r>
        <w:rPr>
          <w:rFonts w:hint="eastAsia" w:ascii="仿宋_GB2312" w:eastAsia="仿宋_GB2312"/>
          <w:bCs/>
          <w:sz w:val="32"/>
          <w:szCs w:val="20"/>
        </w:rPr>
        <w:t>政府投资年度计划应与本级预算相衔接，</w:t>
      </w:r>
      <w:r>
        <w:rPr>
          <w:rFonts w:hint="eastAsia" w:ascii="仿宋_GB2312" w:eastAsia="仿宋_GB2312" w:cs="仿宋_GB2312"/>
          <w:bCs/>
          <w:color w:val="000000"/>
          <w:kern w:val="0"/>
          <w:sz w:val="32"/>
          <w:szCs w:val="20"/>
        </w:rPr>
        <w:t>安排的项目资金纳入建设单位的年度部门预算管理。</w:t>
      </w:r>
    </w:p>
    <w:p>
      <w:pPr>
        <w:spacing w:line="560" w:lineRule="exact"/>
        <w:ind w:firstLine="640"/>
        <w:rPr>
          <w:rFonts w:ascii="仿宋_GB2312" w:eastAsia="仿宋_GB2312"/>
          <w:sz w:val="32"/>
          <w:szCs w:val="32"/>
        </w:rPr>
      </w:pPr>
      <w:r>
        <w:rPr>
          <w:rFonts w:ascii="仿宋_GB2312" w:eastAsia="仿宋_GB2312"/>
          <w:sz w:val="32"/>
          <w:szCs w:val="32"/>
        </w:rPr>
        <w:t>项目</w:t>
      </w:r>
      <w:r>
        <w:rPr>
          <w:rFonts w:hint="eastAsia" w:ascii="仿宋_GB2312" w:eastAsia="仿宋_GB2312"/>
          <w:sz w:val="32"/>
          <w:szCs w:val="32"/>
        </w:rPr>
        <w:t>投资</w:t>
      </w:r>
      <w:r>
        <w:rPr>
          <w:rFonts w:ascii="仿宋_GB2312" w:eastAsia="仿宋_GB2312"/>
          <w:sz w:val="32"/>
          <w:szCs w:val="32"/>
        </w:rPr>
        <w:t>计划下达后因不可抗力等因素致项目无法实施的</w:t>
      </w:r>
      <w:r>
        <w:rPr>
          <w:rFonts w:hint="eastAsia" w:ascii="仿宋_GB2312" w:eastAsia="仿宋_GB2312"/>
          <w:sz w:val="32"/>
          <w:szCs w:val="32"/>
        </w:rPr>
        <w:t>，由建设单位报区政府办公会议审定，区发展改革局对所安排的投资计划予以调整收回。</w:t>
      </w:r>
    </w:p>
    <w:p>
      <w:pPr>
        <w:spacing w:line="560" w:lineRule="exact"/>
        <w:ind w:firstLine="640"/>
        <w:rPr>
          <w:rFonts w:ascii="仿宋_GB2312" w:eastAsia="仿宋_GB2312"/>
          <w:sz w:val="32"/>
          <w:szCs w:val="32"/>
        </w:rPr>
      </w:pPr>
    </w:p>
    <w:p>
      <w:pPr>
        <w:spacing w:line="560" w:lineRule="exact"/>
        <w:jc w:val="center"/>
        <w:rPr>
          <w:rFonts w:eastAsia="黑体"/>
          <w:bCs/>
          <w:sz w:val="32"/>
          <w:szCs w:val="20"/>
        </w:rPr>
      </w:pPr>
      <w:r>
        <w:rPr>
          <w:rFonts w:hint="eastAsia" w:eastAsia="黑体"/>
          <w:bCs/>
          <w:sz w:val="32"/>
          <w:szCs w:val="20"/>
        </w:rPr>
        <w:t>第四章  政府投资项目实施</w:t>
      </w:r>
    </w:p>
    <w:p>
      <w:pPr>
        <w:spacing w:line="560" w:lineRule="exact"/>
        <w:ind w:firstLine="640" w:firstLineChars="200"/>
        <w:rPr>
          <w:rFonts w:ascii="黑体" w:eastAsia="黑体"/>
          <w:bCs/>
          <w:sz w:val="32"/>
          <w:szCs w:val="20"/>
        </w:rPr>
      </w:pPr>
    </w:p>
    <w:p>
      <w:pPr>
        <w:spacing w:line="560" w:lineRule="exact"/>
        <w:ind w:firstLine="640" w:firstLineChars="200"/>
        <w:rPr>
          <w:rFonts w:ascii="仿宋_GB2312" w:eastAsia="仿宋_GB2312"/>
          <w:bCs/>
          <w:sz w:val="32"/>
        </w:rPr>
      </w:pPr>
      <w:r>
        <w:rPr>
          <w:rFonts w:hint="eastAsia" w:ascii="黑体" w:eastAsia="黑体"/>
          <w:bCs/>
          <w:sz w:val="32"/>
        </w:rPr>
        <w:t xml:space="preserve">第二十四条  </w:t>
      </w:r>
      <w:r>
        <w:rPr>
          <w:rFonts w:hint="eastAsia" w:ascii="仿宋_GB2312" w:eastAsia="仿宋_GB2312"/>
          <w:bCs/>
          <w:sz w:val="32"/>
        </w:rPr>
        <w:t>政府投资项目的采购、招标应严格按照相关法律法规执行，不得拆分工程、规避招标。工程安全设施和污染防治设施应当与主体工程同时设计、同时施工、同时投入使用。</w:t>
      </w:r>
    </w:p>
    <w:p>
      <w:pPr>
        <w:spacing w:line="560" w:lineRule="exact"/>
        <w:ind w:firstLine="640" w:firstLineChars="200"/>
        <w:rPr>
          <w:rFonts w:ascii="仿宋_GB2312" w:eastAsia="仿宋_GB2312"/>
          <w:bCs/>
          <w:sz w:val="32"/>
        </w:rPr>
      </w:pPr>
      <w:r>
        <w:rPr>
          <w:rFonts w:hint="eastAsia" w:ascii="黑体" w:eastAsia="黑体"/>
          <w:bCs/>
          <w:sz w:val="32"/>
        </w:rPr>
        <w:t>第二十五条</w:t>
      </w:r>
      <w:r>
        <w:rPr>
          <w:rFonts w:hint="eastAsia" w:ascii="仿宋_GB2312" w:eastAsia="仿宋_GB2312"/>
          <w:b/>
          <w:bCs/>
          <w:sz w:val="32"/>
        </w:rPr>
        <w:t xml:space="preserve">  </w:t>
      </w:r>
      <w:r>
        <w:rPr>
          <w:rFonts w:hint="eastAsia" w:ascii="仿宋_GB2312" w:hAnsi="仿宋" w:eastAsia="仿宋_GB2312" w:cs="仿宋"/>
          <w:bCs/>
          <w:sz w:val="32"/>
          <w:szCs w:val="32"/>
        </w:rPr>
        <w:t>建设单位根据项目总概算批复要求调整施工图设计及造价文件，即可组织开展施工招标。</w:t>
      </w:r>
    </w:p>
    <w:p>
      <w:pPr>
        <w:spacing w:line="560" w:lineRule="exact"/>
        <w:ind w:firstLine="640" w:firstLineChars="200"/>
        <w:rPr>
          <w:rFonts w:ascii="仿宋_GB2312" w:eastAsia="仿宋_GB2312"/>
          <w:b/>
          <w:bCs/>
          <w:sz w:val="32"/>
        </w:rPr>
      </w:pPr>
      <w:r>
        <w:rPr>
          <w:rFonts w:hint="eastAsia" w:ascii="黑体" w:eastAsia="黑体"/>
          <w:bCs/>
          <w:sz w:val="32"/>
        </w:rPr>
        <w:t>第二十六条</w:t>
      </w:r>
      <w:r>
        <w:rPr>
          <w:rFonts w:hint="eastAsia" w:ascii="仿宋_GB2312" w:eastAsia="仿宋_GB2312"/>
          <w:b/>
          <w:bCs/>
          <w:sz w:val="32"/>
        </w:rPr>
        <w:t xml:space="preserve">  </w:t>
      </w:r>
      <w:r>
        <w:rPr>
          <w:rFonts w:hint="eastAsia" w:ascii="仿宋_GB2312" w:eastAsia="仿宋_GB2312"/>
          <w:bCs/>
          <w:sz w:val="32"/>
        </w:rPr>
        <w:t>建设单位应与中标单位依法订立合同，</w:t>
      </w:r>
      <w:r>
        <w:rPr>
          <w:rFonts w:hint="eastAsia" w:ascii="仿宋_GB2312" w:eastAsia="仿宋_GB2312"/>
          <w:sz w:val="32"/>
          <w:szCs w:val="32"/>
        </w:rPr>
        <w:t>办理施工许可。</w:t>
      </w:r>
    </w:p>
    <w:p>
      <w:pPr>
        <w:spacing w:line="560" w:lineRule="exact"/>
        <w:ind w:firstLine="640" w:firstLineChars="200"/>
        <w:rPr>
          <w:rFonts w:ascii="仿宋_GB2312" w:eastAsia="仿宋_GB2312"/>
          <w:bCs/>
          <w:sz w:val="32"/>
        </w:rPr>
      </w:pPr>
      <w:r>
        <w:rPr>
          <w:rFonts w:hint="eastAsia" w:ascii="黑体" w:eastAsia="黑体"/>
          <w:bCs/>
          <w:sz w:val="32"/>
        </w:rPr>
        <w:t>第二十七条</w:t>
      </w:r>
      <w:r>
        <w:rPr>
          <w:rFonts w:hint="eastAsia" w:ascii="仿宋_GB2312" w:eastAsia="仿宋_GB2312"/>
          <w:b/>
          <w:bCs/>
          <w:sz w:val="32"/>
        </w:rPr>
        <w:t xml:space="preserve">  </w:t>
      </w:r>
      <w:r>
        <w:rPr>
          <w:rFonts w:hint="eastAsia" w:ascii="仿宋_GB2312" w:eastAsia="仿宋_GB2312"/>
          <w:bCs/>
          <w:sz w:val="32"/>
        </w:rPr>
        <w:t>建设单位应</w:t>
      </w:r>
      <w:r>
        <w:rPr>
          <w:rFonts w:ascii="仿宋_GB2312" w:eastAsia="仿宋_GB2312"/>
          <w:bCs/>
          <w:sz w:val="32"/>
        </w:rPr>
        <w:t>严格执行基本建设程序</w:t>
      </w:r>
      <w:r>
        <w:rPr>
          <w:rFonts w:hint="eastAsia" w:ascii="仿宋_GB2312" w:eastAsia="仿宋_GB2312"/>
          <w:bCs/>
          <w:sz w:val="32"/>
        </w:rPr>
        <w:t>，建立健全项目工程质量、安全生产责任制度，做好工程投资控制，确保施工进度。</w:t>
      </w:r>
    </w:p>
    <w:p>
      <w:pPr>
        <w:spacing w:line="560" w:lineRule="exact"/>
        <w:ind w:firstLine="640" w:firstLineChars="200"/>
        <w:rPr>
          <w:rFonts w:ascii="仿宋_GB2312" w:eastAsia="仿宋_GB2312"/>
          <w:bCs/>
          <w:sz w:val="32"/>
        </w:rPr>
      </w:pPr>
      <w:r>
        <w:rPr>
          <w:rFonts w:hint="eastAsia" w:ascii="黑体" w:eastAsia="黑体"/>
          <w:bCs/>
          <w:sz w:val="32"/>
        </w:rPr>
        <w:t>第二十八条</w:t>
      </w:r>
      <w:r>
        <w:rPr>
          <w:rFonts w:ascii="黑体" w:eastAsia="黑体"/>
          <w:bCs/>
          <w:sz w:val="32"/>
        </w:rPr>
        <w:t xml:space="preserve">  </w:t>
      </w:r>
      <w:r>
        <w:rPr>
          <w:rFonts w:hint="eastAsia" w:ascii="仿宋_GB2312" w:eastAsia="仿宋_GB2312"/>
          <w:bCs/>
          <w:sz w:val="32"/>
        </w:rPr>
        <w:t>政府投资项目资金应专款专用</w:t>
      </w:r>
      <w:r>
        <w:rPr>
          <w:rFonts w:hint="eastAsia" w:ascii="仿宋_GB2312" w:eastAsia="仿宋_GB2312"/>
          <w:bCs/>
          <w:sz w:val="32"/>
          <w:szCs w:val="20"/>
        </w:rPr>
        <w:t>，</w:t>
      </w:r>
      <w:r>
        <w:rPr>
          <w:rFonts w:hint="eastAsia" w:ascii="仿宋_GB2312" w:eastAsia="仿宋_GB2312"/>
          <w:bCs/>
          <w:sz w:val="32"/>
        </w:rPr>
        <w:t>不得由施工单位垫资建设。</w:t>
      </w:r>
    </w:p>
    <w:p>
      <w:pPr>
        <w:autoSpaceDE w:val="0"/>
        <w:autoSpaceDN w:val="0"/>
        <w:adjustRightInd w:val="0"/>
        <w:spacing w:line="560" w:lineRule="exact"/>
        <w:ind w:firstLine="640" w:firstLineChars="200"/>
        <w:rPr>
          <w:rFonts w:ascii="黑体" w:eastAsia="黑体"/>
          <w:bCs/>
          <w:sz w:val="32"/>
        </w:rPr>
      </w:pPr>
      <w:r>
        <w:rPr>
          <w:rFonts w:hint="eastAsia" w:ascii="黑体" w:eastAsia="黑体"/>
          <w:bCs/>
          <w:sz w:val="32"/>
        </w:rPr>
        <w:t>第二十九条</w:t>
      </w:r>
      <w:r>
        <w:rPr>
          <w:rFonts w:ascii="黑体" w:eastAsia="黑体"/>
          <w:bCs/>
          <w:sz w:val="32"/>
        </w:rPr>
        <w:t xml:space="preserve">  </w:t>
      </w:r>
      <w:r>
        <w:rPr>
          <w:rFonts w:hint="eastAsia" w:ascii="仿宋_GB2312" w:eastAsia="仿宋_GB2312"/>
          <w:bCs/>
          <w:sz w:val="32"/>
        </w:rPr>
        <w:t>建设单位应建立政府投资项目</w:t>
      </w:r>
      <w:r>
        <w:rPr>
          <w:rFonts w:hint="eastAsia" w:ascii="仿宋_GB2312" w:eastAsia="仿宋_GB2312"/>
          <w:bCs/>
          <w:sz w:val="32"/>
          <w:szCs w:val="20"/>
        </w:rPr>
        <w:t>动态管理台账</w:t>
      </w:r>
      <w:r>
        <w:rPr>
          <w:rFonts w:hint="eastAsia" w:ascii="仿宋_GB2312" w:eastAsia="仿宋_GB2312"/>
          <w:bCs/>
          <w:sz w:val="32"/>
        </w:rPr>
        <w:t>，完善档案管理制度，将档案工作纳入建设管理程序，与项目建设同步进行，并依法及时向</w:t>
      </w:r>
      <w:r>
        <w:rPr>
          <w:rFonts w:hint="eastAsia" w:ascii="仿宋_GB2312"/>
          <w:bCs/>
          <w:sz w:val="32"/>
        </w:rPr>
        <w:t>区档案局</w:t>
      </w:r>
      <w:r>
        <w:rPr>
          <w:rFonts w:hint="eastAsia" w:ascii="仿宋_GB2312" w:eastAsia="仿宋_GB2312"/>
          <w:bCs/>
          <w:sz w:val="32"/>
        </w:rPr>
        <w:t>移交项目档案。</w:t>
      </w:r>
    </w:p>
    <w:p>
      <w:pPr>
        <w:autoSpaceDE w:val="0"/>
        <w:autoSpaceDN w:val="0"/>
        <w:adjustRightInd w:val="0"/>
        <w:spacing w:line="560" w:lineRule="exact"/>
        <w:ind w:firstLine="640" w:firstLineChars="200"/>
        <w:rPr>
          <w:rFonts w:ascii="仿宋_GB2312" w:hAnsi="Arial" w:eastAsia="仿宋_GB2312" w:cs="Arial"/>
          <w:color w:val="333333"/>
          <w:kern w:val="0"/>
          <w:sz w:val="32"/>
          <w:szCs w:val="32"/>
        </w:rPr>
      </w:pPr>
      <w:r>
        <w:rPr>
          <w:rFonts w:hint="eastAsia" w:ascii="黑体" w:eastAsia="黑体"/>
          <w:bCs/>
          <w:sz w:val="32"/>
        </w:rPr>
        <w:t>第三十条</w:t>
      </w:r>
      <w:r>
        <w:rPr>
          <w:rFonts w:ascii="黑体" w:eastAsia="黑体"/>
          <w:bCs/>
          <w:sz w:val="32"/>
        </w:rPr>
        <w:t xml:space="preserve">  </w:t>
      </w:r>
      <w:r>
        <w:rPr>
          <w:rFonts w:hint="eastAsia" w:ascii="仿宋_GB2312" w:eastAsia="仿宋_GB2312"/>
          <w:bCs/>
          <w:sz w:val="32"/>
        </w:rPr>
        <w:t>建设单位应按照区统计</w:t>
      </w:r>
      <w:r>
        <w:rPr>
          <w:rFonts w:hint="eastAsia" w:ascii="仿宋_GB2312"/>
          <w:bCs/>
          <w:sz w:val="32"/>
        </w:rPr>
        <w:t>局</w:t>
      </w:r>
      <w:r>
        <w:rPr>
          <w:rFonts w:hint="eastAsia" w:ascii="仿宋_GB2312" w:eastAsia="仿宋_GB2312"/>
          <w:bCs/>
          <w:sz w:val="32"/>
        </w:rPr>
        <w:t>要求，根据项目进度定期依法报送统计报表及其相关资料。</w:t>
      </w:r>
    </w:p>
    <w:p>
      <w:pPr>
        <w:tabs>
          <w:tab w:val="left" w:pos="720"/>
        </w:tabs>
        <w:spacing w:line="560" w:lineRule="exact"/>
        <w:ind w:firstLine="640"/>
        <w:rPr>
          <w:rFonts w:ascii="仿宋_GB2312" w:eastAsia="仿宋_GB2312"/>
          <w:bCs/>
          <w:sz w:val="32"/>
          <w:szCs w:val="20"/>
        </w:rPr>
      </w:pPr>
      <w:r>
        <w:rPr>
          <w:rFonts w:hint="eastAsia" w:ascii="黑体" w:eastAsia="黑体"/>
          <w:bCs/>
          <w:sz w:val="32"/>
        </w:rPr>
        <w:t>第三十一条</w:t>
      </w:r>
      <w:r>
        <w:rPr>
          <w:rFonts w:ascii="黑体" w:eastAsia="黑体"/>
          <w:bCs/>
          <w:sz w:val="32"/>
        </w:rPr>
        <w:t xml:space="preserve">  </w:t>
      </w:r>
      <w:r>
        <w:rPr>
          <w:rFonts w:ascii="仿宋_GB2312" w:eastAsia="仿宋_GB2312"/>
          <w:bCs/>
          <w:sz w:val="32"/>
          <w:szCs w:val="20"/>
        </w:rPr>
        <w:t>政府投资项目应按照批准的设计方案进行建设，严格</w:t>
      </w:r>
      <w:r>
        <w:rPr>
          <w:rFonts w:hint="eastAsia" w:ascii="仿宋_GB2312" w:eastAsia="仿宋_GB2312"/>
          <w:bCs/>
          <w:sz w:val="32"/>
          <w:szCs w:val="20"/>
        </w:rPr>
        <w:t>控制设计变更</w:t>
      </w:r>
      <w:r>
        <w:rPr>
          <w:rFonts w:ascii="仿宋_GB2312" w:eastAsia="仿宋_GB2312"/>
          <w:bCs/>
          <w:sz w:val="32"/>
          <w:szCs w:val="20"/>
        </w:rPr>
        <w:t>。建设</w:t>
      </w:r>
      <w:r>
        <w:rPr>
          <w:rFonts w:hint="eastAsia" w:ascii="仿宋_GB2312" w:eastAsia="仿宋_GB2312"/>
          <w:bCs/>
          <w:sz w:val="32"/>
          <w:szCs w:val="20"/>
        </w:rPr>
        <w:t>过程中确需</w:t>
      </w:r>
      <w:r>
        <w:rPr>
          <w:rFonts w:ascii="仿宋_GB2312" w:eastAsia="仿宋_GB2312"/>
          <w:bCs/>
          <w:sz w:val="32"/>
          <w:szCs w:val="20"/>
        </w:rPr>
        <w:t>对已批准设计文件进行修改、完善、优化</w:t>
      </w:r>
      <w:r>
        <w:rPr>
          <w:rFonts w:hint="eastAsia" w:ascii="仿宋_GB2312" w:eastAsia="仿宋_GB2312"/>
          <w:bCs/>
          <w:sz w:val="32"/>
          <w:szCs w:val="20"/>
        </w:rPr>
        <w:t>的</w:t>
      </w:r>
      <w:r>
        <w:rPr>
          <w:rFonts w:ascii="仿宋_GB2312" w:eastAsia="仿宋_GB2312"/>
          <w:bCs/>
          <w:sz w:val="32"/>
          <w:szCs w:val="20"/>
        </w:rPr>
        <w:t>，</w:t>
      </w:r>
      <w:r>
        <w:rPr>
          <w:rFonts w:hint="eastAsia" w:ascii="仿宋_GB2312" w:eastAsia="仿宋_GB2312"/>
          <w:bCs/>
          <w:sz w:val="32"/>
          <w:szCs w:val="20"/>
        </w:rPr>
        <w:t>建设单位应按程序办理设计变更。</w:t>
      </w:r>
    </w:p>
    <w:p>
      <w:pPr>
        <w:tabs>
          <w:tab w:val="left" w:pos="720"/>
        </w:tabs>
        <w:spacing w:line="560" w:lineRule="exact"/>
        <w:ind w:firstLine="641"/>
        <w:rPr>
          <w:rFonts w:ascii="仿宋_GB2312" w:eastAsia="仿宋_GB2312"/>
          <w:bCs/>
          <w:sz w:val="32"/>
          <w:szCs w:val="20"/>
        </w:rPr>
      </w:pPr>
      <w:r>
        <w:rPr>
          <w:rFonts w:ascii="仿宋_GB2312" w:eastAsia="仿宋_GB2312"/>
          <w:bCs/>
          <w:sz w:val="32"/>
          <w:szCs w:val="20"/>
        </w:rPr>
        <w:t>政府投资项目</w:t>
      </w:r>
      <w:r>
        <w:rPr>
          <w:rFonts w:hint="eastAsia" w:ascii="仿宋_GB2312" w:eastAsia="仿宋_GB2312"/>
          <w:bCs/>
          <w:sz w:val="32"/>
          <w:szCs w:val="20"/>
        </w:rPr>
        <w:t>实</w:t>
      </w:r>
      <w:r>
        <w:rPr>
          <w:rFonts w:ascii="仿宋_GB2312" w:eastAsia="仿宋_GB2312"/>
          <w:bCs/>
          <w:sz w:val="32"/>
          <w:szCs w:val="20"/>
        </w:rPr>
        <w:t>行无现场签证管理</w:t>
      </w:r>
      <w:r>
        <w:rPr>
          <w:rFonts w:hint="eastAsia" w:ascii="仿宋_GB2312" w:eastAsia="仿宋_GB2312"/>
          <w:bCs/>
          <w:sz w:val="32"/>
          <w:szCs w:val="20"/>
        </w:rPr>
        <w:t>，</w:t>
      </w:r>
      <w:r>
        <w:rPr>
          <w:rFonts w:ascii="仿宋_GB2312" w:eastAsia="仿宋_GB2312"/>
          <w:bCs/>
          <w:sz w:val="32"/>
          <w:szCs w:val="20"/>
        </w:rPr>
        <w:t>严格按照已签订的</w:t>
      </w:r>
      <w:r>
        <w:rPr>
          <w:rFonts w:hint="eastAsia" w:ascii="仿宋_GB2312" w:eastAsia="仿宋_GB2312"/>
          <w:bCs/>
          <w:sz w:val="32"/>
          <w:szCs w:val="20"/>
        </w:rPr>
        <w:t>施工</w:t>
      </w:r>
      <w:r>
        <w:rPr>
          <w:rFonts w:ascii="仿宋_GB2312" w:eastAsia="仿宋_GB2312"/>
          <w:bCs/>
          <w:sz w:val="32"/>
          <w:szCs w:val="20"/>
        </w:rPr>
        <w:t>合同执行。</w:t>
      </w:r>
      <w:r>
        <w:rPr>
          <w:rFonts w:hint="eastAsia" w:ascii="仿宋_GB2312" w:eastAsia="仿宋_GB2312"/>
          <w:bCs/>
          <w:sz w:val="32"/>
          <w:szCs w:val="20"/>
        </w:rPr>
        <w:t>因不可抗力或不可预见等因素</w:t>
      </w:r>
      <w:r>
        <w:rPr>
          <w:rFonts w:ascii="仿宋_GB2312" w:eastAsia="仿宋_GB2312"/>
          <w:bCs/>
          <w:sz w:val="32"/>
          <w:szCs w:val="20"/>
        </w:rPr>
        <w:t>造成工程内容及工程量增加</w:t>
      </w:r>
      <w:r>
        <w:rPr>
          <w:rFonts w:hint="eastAsia" w:ascii="仿宋_GB2312" w:eastAsia="仿宋_GB2312"/>
          <w:bCs/>
          <w:sz w:val="32"/>
          <w:szCs w:val="20"/>
        </w:rPr>
        <w:t>的，建设单位应按程序办理</w:t>
      </w:r>
      <w:r>
        <w:rPr>
          <w:rFonts w:ascii="仿宋_GB2312" w:eastAsia="仿宋_GB2312"/>
          <w:bCs/>
          <w:sz w:val="32"/>
          <w:szCs w:val="20"/>
        </w:rPr>
        <w:t>现场签证。</w:t>
      </w:r>
    </w:p>
    <w:p>
      <w:pPr>
        <w:tabs>
          <w:tab w:val="left" w:pos="720"/>
        </w:tabs>
        <w:spacing w:line="560" w:lineRule="exact"/>
        <w:ind w:firstLine="640"/>
        <w:rPr>
          <w:rFonts w:ascii="仿宋_GB2312" w:eastAsia="仿宋_GB2312"/>
          <w:bCs/>
          <w:sz w:val="32"/>
          <w:szCs w:val="20"/>
        </w:rPr>
      </w:pPr>
      <w:r>
        <w:rPr>
          <w:rFonts w:hint="eastAsia" w:ascii="黑体" w:eastAsia="黑体"/>
          <w:bCs/>
          <w:sz w:val="32"/>
        </w:rPr>
        <w:t>第三十二条</w:t>
      </w:r>
      <w:r>
        <w:rPr>
          <w:rFonts w:ascii="黑体" w:eastAsia="黑体"/>
          <w:bCs/>
          <w:sz w:val="32"/>
        </w:rPr>
        <w:t xml:space="preserve">  </w:t>
      </w:r>
      <w:r>
        <w:rPr>
          <w:rFonts w:hint="eastAsia" w:ascii="仿宋_GB2312" w:eastAsia="仿宋_GB2312"/>
          <w:bCs/>
          <w:sz w:val="32"/>
          <w:szCs w:val="20"/>
        </w:rPr>
        <w:t>建设单位对设计变更、现场签证的真实性、合法性、效益性负责，</w:t>
      </w:r>
      <w:r>
        <w:rPr>
          <w:rFonts w:hint="eastAsia" w:ascii="仿宋_GB2312" w:eastAsia="仿宋_GB2312"/>
          <w:bCs/>
          <w:smallCaps/>
          <w:color w:val="000000"/>
          <w:sz w:val="32"/>
          <w:szCs w:val="32"/>
        </w:rPr>
        <w:t>会同设计、监理、施工、造价等参建单位共同确认，</w:t>
      </w:r>
      <w:r>
        <w:rPr>
          <w:rFonts w:hint="eastAsia" w:ascii="仿宋_GB2312" w:eastAsia="仿宋_GB2312"/>
          <w:bCs/>
          <w:sz w:val="32"/>
          <w:szCs w:val="20"/>
        </w:rPr>
        <w:t>不得将同类设计变更、现场签证事项进行拆分。</w:t>
      </w:r>
      <w:r>
        <w:rPr>
          <w:rFonts w:hint="eastAsia" w:ascii="仿宋_GB2312" w:eastAsia="仿宋_GB2312"/>
          <w:bCs/>
          <w:smallCaps/>
          <w:color w:val="000000"/>
          <w:sz w:val="32"/>
          <w:szCs w:val="32"/>
        </w:rPr>
        <w:t>设计变更、现场签证累计追加造价不超过项目总概算的情况下，建设单位应按以下程序办理：</w:t>
      </w:r>
    </w:p>
    <w:p>
      <w:pPr>
        <w:tabs>
          <w:tab w:val="left" w:pos="720"/>
        </w:tabs>
        <w:spacing w:line="560" w:lineRule="exact"/>
        <w:ind w:firstLine="640"/>
        <w:rPr>
          <w:rFonts w:ascii="仿宋_GB2312" w:eastAsia="仿宋_GB2312"/>
          <w:bCs/>
          <w:smallCaps/>
          <w:color w:val="000000"/>
          <w:sz w:val="32"/>
          <w:szCs w:val="32"/>
        </w:rPr>
      </w:pPr>
      <w:r>
        <w:rPr>
          <w:rFonts w:hint="eastAsia" w:ascii="仿宋_GB2312" w:eastAsia="仿宋_GB2312"/>
          <w:bCs/>
          <w:smallCaps/>
          <w:color w:val="000000"/>
          <w:sz w:val="32"/>
          <w:szCs w:val="32"/>
        </w:rPr>
        <w:t>（一）单项追加造价不满3</w:t>
      </w:r>
      <w:r>
        <w:rPr>
          <w:rFonts w:ascii="仿宋_GB2312" w:eastAsia="仿宋_GB2312"/>
          <w:bCs/>
          <w:smallCaps/>
          <w:color w:val="000000"/>
          <w:sz w:val="32"/>
          <w:szCs w:val="32"/>
        </w:rPr>
        <w:t>0</w:t>
      </w:r>
      <w:r>
        <w:rPr>
          <w:rFonts w:hint="eastAsia" w:ascii="仿宋_GB2312" w:eastAsia="仿宋_GB2312"/>
          <w:bCs/>
          <w:smallCaps/>
          <w:color w:val="000000"/>
          <w:sz w:val="32"/>
          <w:szCs w:val="32"/>
        </w:rPr>
        <w:t>万元的，由建设单位自行备案；</w:t>
      </w:r>
    </w:p>
    <w:p>
      <w:pPr>
        <w:tabs>
          <w:tab w:val="left" w:pos="720"/>
        </w:tabs>
        <w:spacing w:line="560" w:lineRule="exact"/>
        <w:ind w:firstLine="640"/>
        <w:rPr>
          <w:rFonts w:ascii="仿宋_GB2312" w:eastAsia="仿宋_GB2312"/>
          <w:bCs/>
          <w:smallCaps/>
          <w:color w:val="000000"/>
          <w:sz w:val="32"/>
          <w:szCs w:val="32"/>
        </w:rPr>
      </w:pPr>
      <w:r>
        <w:rPr>
          <w:rFonts w:hint="eastAsia" w:ascii="仿宋_GB2312" w:eastAsia="仿宋_GB2312"/>
          <w:bCs/>
          <w:smallCaps/>
          <w:color w:val="000000"/>
          <w:sz w:val="32"/>
          <w:szCs w:val="32"/>
        </w:rPr>
        <w:t>（二）单项追加造价3</w:t>
      </w:r>
      <w:r>
        <w:rPr>
          <w:rFonts w:ascii="仿宋_GB2312" w:eastAsia="仿宋_GB2312"/>
          <w:bCs/>
          <w:smallCaps/>
          <w:color w:val="000000"/>
          <w:sz w:val="32"/>
          <w:szCs w:val="32"/>
        </w:rPr>
        <w:t>0</w:t>
      </w:r>
      <w:r>
        <w:rPr>
          <w:rFonts w:hint="eastAsia" w:ascii="仿宋_GB2312" w:eastAsia="仿宋_GB2312"/>
          <w:bCs/>
          <w:smallCaps/>
          <w:color w:val="000000"/>
          <w:sz w:val="32"/>
          <w:szCs w:val="32"/>
        </w:rPr>
        <w:t>万元以上不满10</w:t>
      </w:r>
      <w:r>
        <w:rPr>
          <w:rFonts w:ascii="仿宋_GB2312" w:eastAsia="仿宋_GB2312"/>
          <w:bCs/>
          <w:smallCaps/>
          <w:color w:val="000000"/>
          <w:sz w:val="32"/>
          <w:szCs w:val="32"/>
        </w:rPr>
        <w:t>0</w:t>
      </w:r>
      <w:r>
        <w:rPr>
          <w:rFonts w:hint="eastAsia" w:ascii="仿宋_GB2312" w:eastAsia="仿宋_GB2312"/>
          <w:bCs/>
          <w:smallCaps/>
          <w:color w:val="000000"/>
          <w:sz w:val="32"/>
          <w:szCs w:val="32"/>
        </w:rPr>
        <w:t>万元的，建设单位报</w:t>
      </w:r>
      <w:r>
        <w:rPr>
          <w:rFonts w:hint="eastAsia" w:ascii="仿宋_GB2312" w:eastAsia="仿宋_GB2312"/>
          <w:sz w:val="32"/>
          <w:szCs w:val="32"/>
        </w:rPr>
        <w:t>区政府办公会议审定</w:t>
      </w:r>
      <w:r>
        <w:rPr>
          <w:rFonts w:hint="eastAsia" w:ascii="仿宋_GB2312" w:eastAsia="仿宋_GB2312"/>
          <w:bCs/>
          <w:smallCaps/>
          <w:color w:val="000000"/>
          <w:sz w:val="32"/>
          <w:szCs w:val="32"/>
        </w:rPr>
        <w:t>；</w:t>
      </w:r>
    </w:p>
    <w:p>
      <w:pPr>
        <w:tabs>
          <w:tab w:val="left" w:pos="720"/>
        </w:tabs>
        <w:spacing w:line="560" w:lineRule="exact"/>
        <w:ind w:firstLine="640"/>
        <w:rPr>
          <w:rFonts w:ascii="仿宋_GB2312" w:eastAsia="仿宋_GB2312"/>
          <w:bCs/>
          <w:smallCaps/>
          <w:color w:val="000000"/>
          <w:sz w:val="32"/>
          <w:szCs w:val="32"/>
        </w:rPr>
      </w:pPr>
      <w:r>
        <w:rPr>
          <w:rFonts w:hint="eastAsia" w:ascii="仿宋_GB2312" w:eastAsia="仿宋_GB2312"/>
          <w:bCs/>
          <w:smallCaps/>
          <w:color w:val="000000"/>
          <w:sz w:val="32"/>
          <w:szCs w:val="32"/>
        </w:rPr>
        <w:t>（三）单项追加造价在10</w:t>
      </w:r>
      <w:r>
        <w:rPr>
          <w:rFonts w:ascii="仿宋_GB2312" w:eastAsia="仿宋_GB2312"/>
          <w:bCs/>
          <w:smallCaps/>
          <w:color w:val="000000"/>
          <w:sz w:val="32"/>
          <w:szCs w:val="32"/>
        </w:rPr>
        <w:t>0</w:t>
      </w:r>
      <w:r>
        <w:rPr>
          <w:rFonts w:hint="eastAsia" w:ascii="仿宋_GB2312" w:eastAsia="仿宋_GB2312"/>
          <w:bCs/>
          <w:smallCaps/>
          <w:color w:val="000000"/>
          <w:sz w:val="32"/>
          <w:szCs w:val="32"/>
        </w:rPr>
        <w:t>万元以上的，建设单位原则上需开展方案比选及组织专家评审，确定推荐方案，经</w:t>
      </w:r>
      <w:r>
        <w:rPr>
          <w:rFonts w:hint="eastAsia" w:ascii="仿宋_GB2312" w:eastAsia="仿宋_GB2312"/>
          <w:sz w:val="32"/>
          <w:szCs w:val="32"/>
        </w:rPr>
        <w:t>区政府办公会议研究</w:t>
      </w:r>
      <w:r>
        <w:rPr>
          <w:rFonts w:hint="eastAsia" w:ascii="仿宋_GB2312" w:eastAsia="仿宋_GB2312"/>
          <w:bCs/>
          <w:smallCaps/>
          <w:color w:val="000000"/>
          <w:sz w:val="32"/>
          <w:szCs w:val="32"/>
        </w:rPr>
        <w:t>后，报区政府常务会议审定。</w:t>
      </w:r>
    </w:p>
    <w:p>
      <w:pPr>
        <w:autoSpaceDE w:val="0"/>
        <w:autoSpaceDN w:val="0"/>
        <w:adjustRightInd w:val="0"/>
        <w:spacing w:line="560" w:lineRule="exact"/>
        <w:ind w:firstLine="640" w:firstLineChars="200"/>
        <w:rPr>
          <w:rFonts w:ascii="仿宋_GB2312" w:hAnsi="Arial" w:eastAsia="仿宋_GB2312" w:cs="Arial"/>
          <w:color w:val="333333"/>
          <w:kern w:val="0"/>
          <w:sz w:val="32"/>
          <w:szCs w:val="32"/>
        </w:rPr>
      </w:pPr>
      <w:r>
        <w:rPr>
          <w:rFonts w:hint="eastAsia" w:ascii="黑体" w:eastAsia="黑体"/>
          <w:bCs/>
          <w:sz w:val="32"/>
        </w:rPr>
        <w:t>第三十三条</w:t>
      </w:r>
      <w:r>
        <w:rPr>
          <w:rFonts w:ascii="黑体" w:eastAsia="黑体"/>
          <w:bCs/>
          <w:sz w:val="32"/>
        </w:rPr>
        <w:t xml:space="preserve">  </w:t>
      </w:r>
      <w:r>
        <w:rPr>
          <w:rFonts w:hint="eastAsia" w:ascii="仿宋_GB2312" w:eastAsia="仿宋_GB2312"/>
          <w:bCs/>
          <w:smallCaps/>
          <w:color w:val="000000"/>
          <w:sz w:val="32"/>
          <w:szCs w:val="32"/>
        </w:rPr>
        <w:t>政府投资项目建成后，建设单位应按照有关规定进行竣工验收。具体办法由区住房建设</w:t>
      </w:r>
      <w:r>
        <w:rPr>
          <w:rFonts w:hint="eastAsia" w:ascii="仿宋_GB2312"/>
          <w:bCs/>
          <w:smallCaps/>
          <w:color w:val="000000"/>
          <w:sz w:val="32"/>
          <w:szCs w:val="32"/>
        </w:rPr>
        <w:t>局</w:t>
      </w:r>
      <w:r>
        <w:rPr>
          <w:rFonts w:hint="eastAsia" w:ascii="仿宋_GB2312" w:eastAsia="仿宋_GB2312"/>
          <w:bCs/>
          <w:smallCaps/>
          <w:color w:val="000000"/>
          <w:sz w:val="32"/>
          <w:szCs w:val="32"/>
        </w:rPr>
        <w:t>牵头，会同区水务</w:t>
      </w:r>
      <w:r>
        <w:rPr>
          <w:rFonts w:hint="eastAsia" w:ascii="仿宋_GB2312"/>
          <w:bCs/>
          <w:smallCaps/>
          <w:color w:val="000000"/>
          <w:sz w:val="32"/>
          <w:szCs w:val="32"/>
        </w:rPr>
        <w:t>局</w:t>
      </w:r>
      <w:r>
        <w:rPr>
          <w:rFonts w:hint="eastAsia" w:ascii="仿宋_GB2312" w:eastAsia="仿宋_GB2312"/>
          <w:bCs/>
          <w:smallCaps/>
          <w:color w:val="000000"/>
          <w:sz w:val="32"/>
          <w:szCs w:val="32"/>
        </w:rPr>
        <w:t>、</w:t>
      </w:r>
      <w:r>
        <w:rPr>
          <w:rFonts w:hint="eastAsia" w:ascii="仿宋_GB2312" w:eastAsia="仿宋_GB2312"/>
          <w:bCs/>
          <w:sz w:val="32"/>
          <w:szCs w:val="20"/>
        </w:rPr>
        <w:t>市交通运输局盐田管理局</w:t>
      </w:r>
      <w:r>
        <w:rPr>
          <w:rFonts w:hint="eastAsia" w:ascii="仿宋_GB2312" w:eastAsia="仿宋_GB2312"/>
          <w:bCs/>
          <w:smallCaps/>
          <w:color w:val="000000"/>
          <w:sz w:val="32"/>
          <w:szCs w:val="32"/>
        </w:rPr>
        <w:t>另行制定。</w:t>
      </w:r>
    </w:p>
    <w:p>
      <w:pPr>
        <w:autoSpaceDE w:val="0"/>
        <w:autoSpaceDN w:val="0"/>
        <w:adjustRightInd w:val="0"/>
        <w:spacing w:line="560" w:lineRule="exact"/>
        <w:ind w:firstLine="640" w:firstLineChars="200"/>
        <w:rPr>
          <w:rFonts w:ascii="仿宋_GB2312" w:hAnsi="Arial" w:eastAsia="仿宋_GB2312" w:cs="Arial"/>
          <w:color w:val="333333"/>
          <w:kern w:val="0"/>
          <w:sz w:val="32"/>
          <w:szCs w:val="32"/>
        </w:rPr>
      </w:pPr>
      <w:r>
        <w:rPr>
          <w:rFonts w:hint="eastAsia" w:ascii="黑体" w:eastAsia="黑体"/>
          <w:bCs/>
          <w:sz w:val="32"/>
        </w:rPr>
        <w:t>第三十四条</w:t>
      </w:r>
      <w:r>
        <w:rPr>
          <w:rFonts w:ascii="黑体" w:eastAsia="黑体"/>
          <w:bCs/>
          <w:sz w:val="32"/>
        </w:rPr>
        <w:t xml:space="preserve">  </w:t>
      </w:r>
      <w:r>
        <w:rPr>
          <w:rFonts w:hint="eastAsia" w:ascii="仿宋_GB2312" w:eastAsia="仿宋_GB2312"/>
          <w:bCs/>
          <w:smallCaps/>
          <w:color w:val="000000"/>
          <w:sz w:val="32"/>
          <w:szCs w:val="32"/>
        </w:rPr>
        <w:t>工程竣工验收后，应在三个月内完成结算报告的编制，并由建设单位委托有资质的社会中介机构进行审核。完成全部工程结算审核的项目，应在三个月内完成竣工决算报告的编制，并由建设单位委托有资质的社会中介机构进行审核。</w:t>
      </w:r>
    </w:p>
    <w:p>
      <w:pPr>
        <w:autoSpaceDE w:val="0"/>
        <w:autoSpaceDN w:val="0"/>
        <w:adjustRightInd w:val="0"/>
        <w:spacing w:line="560" w:lineRule="exact"/>
        <w:ind w:firstLine="640" w:firstLineChars="200"/>
        <w:rPr>
          <w:rFonts w:ascii="仿宋_GB2312" w:hAnsi="Arial" w:eastAsia="仿宋_GB2312" w:cs="Arial"/>
          <w:color w:val="333333"/>
          <w:kern w:val="0"/>
          <w:sz w:val="32"/>
          <w:szCs w:val="32"/>
        </w:rPr>
      </w:pPr>
      <w:r>
        <w:rPr>
          <w:rFonts w:hint="eastAsia" w:ascii="黑体" w:eastAsia="黑体"/>
          <w:bCs/>
          <w:sz w:val="32"/>
        </w:rPr>
        <w:t>第三十五条</w:t>
      </w:r>
      <w:r>
        <w:rPr>
          <w:rFonts w:ascii="黑体" w:eastAsia="黑体"/>
          <w:bCs/>
          <w:sz w:val="32"/>
        </w:rPr>
        <w:t xml:space="preserve">  </w:t>
      </w:r>
      <w:r>
        <w:rPr>
          <w:rFonts w:hint="eastAsia" w:ascii="仿宋_GB2312" w:eastAsia="仿宋_GB2312"/>
          <w:sz w:val="32"/>
          <w:szCs w:val="32"/>
        </w:rPr>
        <w:t>建设单位取得竣工决算审核报告后，应及时办理竣工财务决算。</w:t>
      </w:r>
    </w:p>
    <w:p>
      <w:pPr>
        <w:autoSpaceDE w:val="0"/>
        <w:autoSpaceDN w:val="0"/>
        <w:adjustRightInd w:val="0"/>
        <w:spacing w:line="560" w:lineRule="exact"/>
        <w:ind w:firstLine="640" w:firstLineChars="200"/>
        <w:rPr>
          <w:rFonts w:ascii="仿宋_GB2312" w:hAnsi="Arial" w:eastAsia="仿宋_GB2312" w:cs="Arial"/>
          <w:color w:val="333333"/>
          <w:kern w:val="0"/>
          <w:sz w:val="32"/>
          <w:szCs w:val="32"/>
        </w:rPr>
      </w:pPr>
      <w:r>
        <w:rPr>
          <w:rFonts w:hint="eastAsia" w:ascii="黑体" w:eastAsia="黑体"/>
          <w:bCs/>
          <w:sz w:val="32"/>
        </w:rPr>
        <w:t>第三十六条</w:t>
      </w:r>
      <w:r>
        <w:rPr>
          <w:rFonts w:ascii="黑体" w:eastAsia="黑体"/>
          <w:bCs/>
          <w:sz w:val="32"/>
        </w:rPr>
        <w:t xml:space="preserve">  </w:t>
      </w:r>
      <w:r>
        <w:rPr>
          <w:rFonts w:hint="eastAsia" w:ascii="仿宋_GB2312" w:eastAsia="仿宋_GB2312"/>
          <w:bCs/>
          <w:smallCaps/>
          <w:color w:val="000000"/>
          <w:sz w:val="32"/>
          <w:szCs w:val="32"/>
        </w:rPr>
        <w:t>竣工财务决算批复后，建设单位应及时向产权单位或产权管理单位移交项目。产权单位或产权管理单位应及时办理产权登记或产权管理登记。</w:t>
      </w:r>
    </w:p>
    <w:p>
      <w:pPr>
        <w:tabs>
          <w:tab w:val="left" w:pos="0"/>
        </w:tabs>
        <w:spacing w:line="560" w:lineRule="exact"/>
        <w:ind w:firstLine="640" w:firstLineChars="200"/>
        <w:rPr>
          <w:rFonts w:ascii="仿宋_GB2312" w:eastAsia="仿宋_GB2312"/>
          <w:bCs/>
          <w:sz w:val="32"/>
          <w:szCs w:val="20"/>
        </w:rPr>
      </w:pPr>
      <w:r>
        <w:rPr>
          <w:rFonts w:hint="eastAsia" w:ascii="黑体" w:eastAsia="黑体"/>
          <w:bCs/>
          <w:sz w:val="32"/>
          <w:szCs w:val="20"/>
        </w:rPr>
        <w:t>第三十七条</w:t>
      </w:r>
      <w:r>
        <w:rPr>
          <w:rFonts w:ascii="仿宋_GB2312" w:eastAsia="仿宋_GB2312"/>
          <w:bCs/>
          <w:sz w:val="32"/>
          <w:szCs w:val="20"/>
        </w:rPr>
        <w:t xml:space="preserve">  </w:t>
      </w:r>
      <w:r>
        <w:rPr>
          <w:rFonts w:hint="eastAsia" w:ascii="仿宋_GB2312" w:eastAsia="仿宋_GB2312"/>
          <w:bCs/>
          <w:sz w:val="32"/>
          <w:szCs w:val="20"/>
        </w:rPr>
        <w:t>区发展改革</w:t>
      </w:r>
      <w:r>
        <w:rPr>
          <w:rFonts w:hint="eastAsia" w:ascii="仿宋_GB2312"/>
          <w:bCs/>
          <w:sz w:val="32"/>
          <w:szCs w:val="20"/>
        </w:rPr>
        <w:t>局</w:t>
      </w:r>
      <w:r>
        <w:rPr>
          <w:rFonts w:hint="eastAsia" w:ascii="仿宋_GB2312" w:eastAsia="仿宋_GB2312"/>
          <w:bCs/>
          <w:sz w:val="32"/>
          <w:szCs w:val="20"/>
        </w:rPr>
        <w:t>选择有代表性的项目报区政府批准后，组织开展项目后评价，后评价结果报送区政府和</w:t>
      </w:r>
      <w:r>
        <w:rPr>
          <w:rFonts w:hint="eastAsia" w:ascii="仿宋_GB2312" w:eastAsia="仿宋_GB2312"/>
          <w:sz w:val="32"/>
          <w:szCs w:val="32"/>
        </w:rPr>
        <w:t>区人大常委会</w:t>
      </w:r>
      <w:r>
        <w:rPr>
          <w:rFonts w:hint="eastAsia" w:ascii="仿宋_GB2312" w:eastAsia="仿宋_GB2312"/>
          <w:bCs/>
          <w:sz w:val="32"/>
          <w:szCs w:val="20"/>
        </w:rPr>
        <w:t>。</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项目后评价主要对投资决策、建设管理、项目效益、公众健康影响等方面进行全面评价，并提出相应的对策建议。</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建设</w:t>
      </w:r>
      <w:r>
        <w:rPr>
          <w:rFonts w:ascii="仿宋_GB2312" w:eastAsia="仿宋_GB2312"/>
          <w:bCs/>
          <w:sz w:val="32"/>
          <w:szCs w:val="20"/>
        </w:rPr>
        <w:t>单位</w:t>
      </w:r>
      <w:r>
        <w:rPr>
          <w:rFonts w:hint="eastAsia" w:ascii="仿宋_GB2312" w:eastAsia="仿宋_GB2312"/>
          <w:bCs/>
          <w:sz w:val="32"/>
          <w:szCs w:val="20"/>
        </w:rPr>
        <w:t>应</w:t>
      </w:r>
      <w:r>
        <w:rPr>
          <w:rFonts w:ascii="仿宋_GB2312" w:eastAsia="仿宋_GB2312"/>
          <w:bCs/>
          <w:sz w:val="32"/>
          <w:szCs w:val="20"/>
        </w:rPr>
        <w:t>根据项目后评价报告，总结经验，整改问题</w:t>
      </w:r>
      <w:r>
        <w:rPr>
          <w:rFonts w:hint="eastAsia" w:ascii="仿宋_GB2312" w:eastAsia="仿宋_GB2312"/>
          <w:bCs/>
          <w:sz w:val="32"/>
          <w:szCs w:val="20"/>
        </w:rPr>
        <w:t>。</w:t>
      </w:r>
    </w:p>
    <w:p>
      <w:pPr>
        <w:tabs>
          <w:tab w:val="left" w:pos="0"/>
        </w:tabs>
        <w:spacing w:line="560" w:lineRule="exact"/>
        <w:ind w:firstLine="640" w:firstLineChars="200"/>
        <w:rPr>
          <w:rFonts w:ascii="仿宋_GB2312" w:eastAsia="仿宋_GB2312"/>
          <w:bCs/>
          <w:sz w:val="32"/>
          <w:szCs w:val="20"/>
        </w:rPr>
      </w:pPr>
    </w:p>
    <w:p>
      <w:pPr>
        <w:widowControl/>
        <w:spacing w:line="560" w:lineRule="exact"/>
        <w:jc w:val="center"/>
        <w:rPr>
          <w:rFonts w:ascii="黑体" w:hAnsi="宋体" w:eastAsia="黑体" w:cs="宋体"/>
          <w:bCs/>
          <w:smallCaps/>
          <w:kern w:val="0"/>
          <w:sz w:val="32"/>
          <w:szCs w:val="32"/>
        </w:rPr>
      </w:pPr>
      <w:r>
        <w:rPr>
          <w:rFonts w:hint="eastAsia" w:ascii="黑体" w:hAnsi="宋体" w:eastAsia="黑体" w:cs="宋体"/>
          <w:bCs/>
          <w:smallCaps/>
          <w:kern w:val="0"/>
          <w:sz w:val="32"/>
          <w:szCs w:val="32"/>
        </w:rPr>
        <w:t>第五章  监督管理</w:t>
      </w:r>
    </w:p>
    <w:p>
      <w:pPr>
        <w:widowControl/>
        <w:spacing w:line="560" w:lineRule="exact"/>
        <w:ind w:left="1425"/>
        <w:jc w:val="left"/>
        <w:rPr>
          <w:rFonts w:ascii="黑体" w:hAnsi="宋体" w:eastAsia="黑体" w:cs="宋体"/>
          <w:bCs/>
          <w:smallCaps/>
          <w:kern w:val="0"/>
          <w:sz w:val="32"/>
          <w:szCs w:val="32"/>
        </w:rPr>
      </w:pPr>
    </w:p>
    <w:p>
      <w:pPr>
        <w:tabs>
          <w:tab w:val="left" w:pos="0"/>
        </w:tabs>
        <w:spacing w:line="560" w:lineRule="exact"/>
        <w:ind w:firstLine="640" w:firstLineChars="200"/>
        <w:rPr>
          <w:rFonts w:ascii="仿宋_GB2312" w:eastAsia="仿宋_GB2312"/>
          <w:bCs/>
          <w:sz w:val="32"/>
          <w:szCs w:val="20"/>
        </w:rPr>
      </w:pPr>
      <w:r>
        <w:rPr>
          <w:rFonts w:hint="eastAsia" w:ascii="黑体" w:eastAsia="黑体"/>
          <w:bCs/>
          <w:sz w:val="32"/>
        </w:rPr>
        <w:t>第三十八条</w:t>
      </w:r>
      <w:r>
        <w:rPr>
          <w:rFonts w:ascii="黑体" w:eastAsia="黑体"/>
          <w:bCs/>
          <w:sz w:val="32"/>
        </w:rPr>
        <w:t xml:space="preserve">  </w:t>
      </w:r>
      <w:r>
        <w:rPr>
          <w:rFonts w:hint="eastAsia" w:ascii="仿宋_GB2312" w:hAnsi="仿宋_GB2312" w:eastAsia="仿宋_GB2312" w:cs="仿宋_GB2312"/>
          <w:bCs/>
          <w:sz w:val="32"/>
          <w:szCs w:val="20"/>
        </w:rPr>
        <w:t>区政府定期向区人民代表大会及其常务委员会报告政府投资项目计划的执行情况，依法接受询问、质询及特定问题的调查，自觉接受监督。</w:t>
      </w:r>
    </w:p>
    <w:p>
      <w:pPr>
        <w:spacing w:line="560" w:lineRule="exact"/>
        <w:ind w:firstLine="640" w:firstLineChars="200"/>
        <w:rPr>
          <w:rFonts w:ascii="仿宋_GB2312" w:hAnsi="仿宋_GB2312" w:eastAsia="仿宋_GB2312" w:cs="仿宋_GB2312"/>
          <w:bCs/>
          <w:sz w:val="32"/>
          <w:szCs w:val="20"/>
        </w:rPr>
      </w:pPr>
      <w:r>
        <w:rPr>
          <w:rFonts w:hint="eastAsia" w:ascii="黑体" w:eastAsia="黑体"/>
          <w:bCs/>
          <w:sz w:val="32"/>
        </w:rPr>
        <w:t>第三十九条</w:t>
      </w:r>
      <w:r>
        <w:rPr>
          <w:rFonts w:ascii="黑体" w:eastAsia="黑体"/>
          <w:bCs/>
          <w:sz w:val="32"/>
        </w:rPr>
        <w:t xml:space="preserve">  </w:t>
      </w:r>
      <w:r>
        <w:rPr>
          <w:rFonts w:hint="eastAsia" w:ascii="仿宋_GB2312" w:hAnsi="仿宋_GB2312" w:eastAsia="仿宋_GB2312" w:cs="仿宋_GB2312"/>
          <w:bCs/>
          <w:sz w:val="32"/>
          <w:szCs w:val="20"/>
        </w:rPr>
        <w:t>区发展改革局会同区政府办公室对政府投资项目进行跟踪检查、督查督办，对无特殊原因造成项目进展延误的相关单位负责人和直接责任人，提请分管区领导或者区长进行约谈；涉嫌违规违纪的，移送区纪委监委处理。</w:t>
      </w:r>
    </w:p>
    <w:p>
      <w:pPr>
        <w:tabs>
          <w:tab w:val="left" w:pos="0"/>
        </w:tabs>
        <w:spacing w:line="560" w:lineRule="exact"/>
        <w:ind w:firstLine="640" w:firstLineChars="200"/>
        <w:rPr>
          <w:rFonts w:ascii="仿宋_GB2312" w:hAnsi="仿宋_GB2312" w:eastAsia="仿宋_GB2312" w:cs="仿宋_GB2312"/>
          <w:bCs/>
          <w:sz w:val="32"/>
          <w:szCs w:val="20"/>
        </w:rPr>
      </w:pPr>
      <w:r>
        <w:rPr>
          <w:rFonts w:hint="eastAsia" w:ascii="黑体" w:eastAsia="黑体"/>
          <w:bCs/>
          <w:sz w:val="32"/>
          <w:szCs w:val="20"/>
        </w:rPr>
        <w:t>第四十条</w:t>
      </w:r>
      <w:r>
        <w:rPr>
          <w:rFonts w:ascii="仿宋_GB2312" w:eastAsia="仿宋_GB2312"/>
          <w:bCs/>
          <w:sz w:val="32"/>
          <w:szCs w:val="20"/>
        </w:rPr>
        <w:t xml:space="preserve">  </w:t>
      </w:r>
      <w:r>
        <w:rPr>
          <w:rFonts w:hint="eastAsia" w:ascii="仿宋_GB2312" w:hAnsi="仿宋_GB2312" w:eastAsia="仿宋_GB2312" w:cs="仿宋_GB2312"/>
          <w:bCs/>
          <w:sz w:val="32"/>
          <w:szCs w:val="20"/>
        </w:rPr>
        <w:t>区审计局对政府投资项目计划执行、投资控制、资金管理、招标投标、进度安排、工程质量、结决算实施审计监督。具体办法由区审计局另行制定。</w:t>
      </w:r>
    </w:p>
    <w:p>
      <w:pPr>
        <w:spacing w:line="560" w:lineRule="exact"/>
        <w:ind w:firstLine="640" w:firstLineChars="200"/>
        <w:rPr>
          <w:rFonts w:ascii="仿宋_GB2312" w:hAnsi="仿宋_GB2312" w:eastAsia="仿宋_GB2312" w:cs="仿宋_GB2312"/>
          <w:bCs/>
          <w:sz w:val="32"/>
          <w:szCs w:val="20"/>
        </w:rPr>
      </w:pPr>
      <w:r>
        <w:rPr>
          <w:rFonts w:hint="eastAsia" w:ascii="黑体" w:eastAsia="黑体"/>
          <w:bCs/>
          <w:sz w:val="32"/>
          <w:szCs w:val="20"/>
        </w:rPr>
        <w:t>第四十一条</w:t>
      </w:r>
      <w:r>
        <w:rPr>
          <w:rFonts w:ascii="仿宋_GB2312" w:eastAsia="仿宋_GB2312"/>
          <w:bCs/>
          <w:sz w:val="32"/>
          <w:szCs w:val="20"/>
        </w:rPr>
        <w:t xml:space="preserve">  </w:t>
      </w:r>
      <w:r>
        <w:rPr>
          <w:rFonts w:hint="eastAsia" w:ascii="仿宋_GB2312" w:hAnsi="仿宋_GB2312" w:eastAsia="仿宋_GB2312" w:cs="仿宋_GB2312"/>
          <w:bCs/>
          <w:sz w:val="32"/>
          <w:szCs w:val="20"/>
        </w:rPr>
        <w:t>政府投资项目年度计划、政府投资项目审批和实施以及监督检查的信息应依法公开。任何组织和个人有权举报政府投资项目审批和建设中的违法行为。</w:t>
      </w:r>
    </w:p>
    <w:p>
      <w:pPr>
        <w:tabs>
          <w:tab w:val="left" w:pos="0"/>
        </w:tabs>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对经济、社会和环境影响重大，社会公众普遍关注的政府投资项目，建设单位应在项目前期阶段，采取公示、专家论证、公开听证等方式征求公众意见。</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建设、勘察、设计、施工、监理等单位的名称及其责任人姓名应在项目施工现场和建成后的建筑物或者构筑物上标明。</w:t>
      </w:r>
    </w:p>
    <w:p>
      <w:pPr>
        <w:tabs>
          <w:tab w:val="left" w:pos="0"/>
        </w:tabs>
        <w:spacing w:line="560" w:lineRule="exact"/>
        <w:ind w:firstLine="640" w:firstLineChars="200"/>
        <w:rPr>
          <w:rFonts w:ascii="仿宋_GB2312" w:hAnsi="Arial" w:eastAsia="仿宋_GB2312" w:cs="Arial"/>
          <w:color w:val="333333"/>
          <w:kern w:val="0"/>
          <w:sz w:val="32"/>
          <w:szCs w:val="32"/>
        </w:rPr>
      </w:pPr>
    </w:p>
    <w:p>
      <w:pPr>
        <w:spacing w:line="560" w:lineRule="exact"/>
        <w:jc w:val="center"/>
        <w:rPr>
          <w:rFonts w:ascii="黑体" w:eastAsia="黑体"/>
          <w:bCs/>
          <w:smallCaps/>
          <w:sz w:val="32"/>
          <w:szCs w:val="32"/>
        </w:rPr>
      </w:pPr>
      <w:r>
        <w:rPr>
          <w:rFonts w:hint="eastAsia" w:ascii="黑体" w:eastAsia="黑体"/>
          <w:bCs/>
          <w:smallCaps/>
          <w:sz w:val="32"/>
          <w:szCs w:val="32"/>
        </w:rPr>
        <w:t>第六章  法律责任</w:t>
      </w:r>
    </w:p>
    <w:p>
      <w:pPr>
        <w:spacing w:line="560" w:lineRule="exact"/>
        <w:ind w:left="1080"/>
        <w:rPr>
          <w:rFonts w:ascii="黑体" w:eastAsia="黑体"/>
          <w:bCs/>
          <w:smallCaps/>
          <w:sz w:val="32"/>
          <w:szCs w:val="32"/>
        </w:rPr>
      </w:pPr>
    </w:p>
    <w:p>
      <w:pPr>
        <w:tabs>
          <w:tab w:val="left" w:pos="720"/>
        </w:tabs>
        <w:spacing w:line="560" w:lineRule="exact"/>
        <w:ind w:firstLine="641"/>
        <w:rPr>
          <w:rFonts w:ascii="仿宋_GB2312" w:eastAsia="仿宋_GB2312"/>
          <w:bCs/>
          <w:sz w:val="32"/>
          <w:szCs w:val="20"/>
        </w:rPr>
      </w:pPr>
      <w:r>
        <w:rPr>
          <w:rFonts w:hint="eastAsia" w:ascii="黑体" w:eastAsia="黑体"/>
          <w:bCs/>
          <w:sz w:val="32"/>
        </w:rPr>
        <w:t>第四十二条</w:t>
      </w:r>
      <w:r>
        <w:rPr>
          <w:rFonts w:ascii="黑体" w:eastAsia="黑体"/>
          <w:bCs/>
          <w:sz w:val="32"/>
        </w:rPr>
        <w:t xml:space="preserve">  </w:t>
      </w:r>
      <w:r>
        <w:rPr>
          <w:rFonts w:hint="eastAsia" w:ascii="仿宋_GB2312" w:eastAsia="仿宋_GB2312"/>
          <w:bCs/>
          <w:sz w:val="32"/>
          <w:szCs w:val="20"/>
        </w:rPr>
        <w:t>区发展改革</w:t>
      </w:r>
      <w:r>
        <w:rPr>
          <w:rFonts w:hint="eastAsia" w:ascii="仿宋_GB2312"/>
          <w:bCs/>
          <w:sz w:val="32"/>
          <w:szCs w:val="20"/>
        </w:rPr>
        <w:t>局</w:t>
      </w:r>
      <w:r>
        <w:rPr>
          <w:rFonts w:hint="eastAsia" w:ascii="仿宋_GB2312" w:eastAsia="仿宋_GB2312"/>
          <w:bCs/>
          <w:sz w:val="32"/>
          <w:szCs w:val="20"/>
        </w:rPr>
        <w:t>、财政</w:t>
      </w:r>
      <w:r>
        <w:rPr>
          <w:rFonts w:hint="eastAsia" w:ascii="仿宋_GB2312"/>
          <w:bCs/>
          <w:sz w:val="32"/>
          <w:szCs w:val="20"/>
        </w:rPr>
        <w:t>局</w:t>
      </w:r>
      <w:r>
        <w:rPr>
          <w:rFonts w:hint="eastAsia" w:ascii="仿宋_GB2312" w:eastAsia="仿宋_GB2312"/>
          <w:bCs/>
          <w:sz w:val="32"/>
          <w:szCs w:val="20"/>
        </w:rPr>
        <w:t>、审计</w:t>
      </w:r>
      <w:r>
        <w:rPr>
          <w:rFonts w:hint="eastAsia" w:ascii="仿宋_GB2312"/>
          <w:bCs/>
          <w:sz w:val="32"/>
          <w:szCs w:val="20"/>
        </w:rPr>
        <w:t>局</w:t>
      </w:r>
      <w:r>
        <w:rPr>
          <w:rFonts w:hint="eastAsia" w:ascii="仿宋_GB2312" w:eastAsia="仿宋_GB2312"/>
          <w:bCs/>
          <w:sz w:val="32"/>
          <w:szCs w:val="20"/>
        </w:rPr>
        <w:t>、住房建设</w:t>
      </w:r>
      <w:r>
        <w:rPr>
          <w:rFonts w:hint="eastAsia" w:ascii="仿宋_GB2312"/>
          <w:bCs/>
          <w:sz w:val="32"/>
          <w:szCs w:val="20"/>
        </w:rPr>
        <w:t>局</w:t>
      </w:r>
      <w:r>
        <w:rPr>
          <w:rFonts w:hint="eastAsia" w:ascii="仿宋_GB2312" w:eastAsia="仿宋_GB2312"/>
          <w:bCs/>
          <w:sz w:val="32"/>
          <w:szCs w:val="20"/>
        </w:rPr>
        <w:t>等部门未按照本办法规定履行政府投资审批和监管职责，存在玩忽职守、滥用职权、徇私舞弊等情形的，依法追究部门负责人和直接责任人员的行政责任，涉嫌犯罪的，依法追究刑事责任。</w:t>
      </w:r>
    </w:p>
    <w:p>
      <w:pPr>
        <w:pStyle w:val="21"/>
        <w:tabs>
          <w:tab w:val="left" w:pos="720"/>
        </w:tabs>
        <w:spacing w:line="560" w:lineRule="exact"/>
        <w:ind w:firstLine="640"/>
        <w:rPr>
          <w:rFonts w:ascii="仿宋_GB2312" w:eastAsia="仿宋_GB2312"/>
          <w:bCs/>
          <w:sz w:val="32"/>
          <w:szCs w:val="20"/>
        </w:rPr>
      </w:pPr>
      <w:r>
        <w:rPr>
          <w:rFonts w:hint="eastAsia" w:ascii="黑体" w:eastAsia="黑体"/>
          <w:bCs/>
          <w:sz w:val="32"/>
        </w:rPr>
        <w:t>第四十三条</w:t>
      </w:r>
      <w:r>
        <w:rPr>
          <w:rFonts w:ascii="黑体" w:eastAsia="黑体"/>
          <w:bCs/>
          <w:sz w:val="32"/>
        </w:rPr>
        <w:t xml:space="preserve">  </w:t>
      </w:r>
      <w:r>
        <w:rPr>
          <w:rFonts w:hint="eastAsia" w:ascii="仿宋_GB2312" w:eastAsia="仿宋_GB2312"/>
          <w:bCs/>
          <w:sz w:val="32"/>
          <w:szCs w:val="20"/>
        </w:rPr>
        <w:t>建设单位有下列行为之一的，责令限期整改，并依法追究有关单位责任人和直接责任人的相关责任，涉嫌犯罪的，依法追究刑事责任。</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（一）项目相关材料存在弄虚作假的；</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（二）未委托具有相应资质单位开展相关工作的；</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（三）未按照批复文件的内容和要求开展下一步工作的；</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（四）未经批准擅自开工建设的</w:t>
      </w:r>
      <w:r>
        <w:rPr>
          <w:rFonts w:ascii="仿宋_GB2312" w:eastAsia="仿宋_GB2312"/>
          <w:bCs/>
          <w:sz w:val="32"/>
          <w:szCs w:val="20"/>
        </w:rPr>
        <w:t>;</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（五）未按照批准设计文件施工，擅自变更建设地点或者对建设规模、建设内容等作较大变更的</w:t>
      </w:r>
      <w:r>
        <w:rPr>
          <w:rFonts w:ascii="仿宋_GB2312" w:eastAsia="仿宋_GB2312"/>
          <w:bCs/>
          <w:sz w:val="32"/>
          <w:szCs w:val="20"/>
        </w:rPr>
        <w:t>;</w:t>
      </w:r>
      <w:r>
        <w:rPr>
          <w:rFonts w:hint="eastAsia" w:ascii="仿宋_GB2312" w:eastAsia="仿宋_GB2312"/>
          <w:bCs/>
          <w:sz w:val="32"/>
          <w:szCs w:val="20"/>
        </w:rPr>
        <w:t xml:space="preserve"> </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（六）未按规定办理设计变更或现场签证手续的；</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（七）擅自增加投资概算的</w:t>
      </w:r>
      <w:r>
        <w:rPr>
          <w:rFonts w:ascii="仿宋_GB2312" w:eastAsia="仿宋_GB2312"/>
          <w:bCs/>
          <w:sz w:val="32"/>
          <w:szCs w:val="20"/>
        </w:rPr>
        <w:t>;</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（八）要求施工单位垫资建设的；</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（九）无正当理由不实施或者不按照建设工期实施的</w:t>
      </w:r>
      <w:r>
        <w:rPr>
          <w:rFonts w:ascii="仿宋_GB2312" w:eastAsia="仿宋_GB2312"/>
          <w:bCs/>
          <w:sz w:val="32"/>
          <w:szCs w:val="20"/>
        </w:rPr>
        <w:t>;</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（十）侵占或者挪用政府投资项目资金的</w:t>
      </w:r>
      <w:r>
        <w:rPr>
          <w:rFonts w:ascii="仿宋_GB2312" w:eastAsia="仿宋_GB2312"/>
          <w:bCs/>
          <w:sz w:val="32"/>
          <w:szCs w:val="20"/>
        </w:rPr>
        <w:t>;</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（十一）未按期办理政府投资项目工程结算、竣工决算、资产移交或者产权登记手续的</w:t>
      </w:r>
      <w:r>
        <w:rPr>
          <w:rFonts w:ascii="仿宋_GB2312" w:eastAsia="仿宋_GB2312"/>
          <w:bCs/>
          <w:sz w:val="32"/>
          <w:szCs w:val="20"/>
        </w:rPr>
        <w:t>;</w:t>
      </w:r>
    </w:p>
    <w:p>
      <w:pPr>
        <w:tabs>
          <w:tab w:val="left" w:pos="0"/>
        </w:tabs>
        <w:spacing w:line="560" w:lineRule="exact"/>
        <w:ind w:firstLine="640" w:firstLineChars="200"/>
        <w:rPr>
          <w:rFonts w:ascii="仿宋_GB2312" w:eastAsia="仿宋_GB2312"/>
          <w:bCs/>
          <w:sz w:val="32"/>
          <w:szCs w:val="20"/>
        </w:rPr>
      </w:pPr>
      <w:r>
        <w:rPr>
          <w:rFonts w:hint="eastAsia" w:ascii="仿宋_GB2312" w:eastAsia="仿宋_GB2312"/>
          <w:bCs/>
          <w:sz w:val="32"/>
          <w:szCs w:val="20"/>
        </w:rPr>
        <w:t>（十二）其他违反相关法律、法规和本办法相关规定的行为。</w:t>
      </w:r>
    </w:p>
    <w:p>
      <w:pPr>
        <w:tabs>
          <w:tab w:val="left" w:pos="0"/>
        </w:tabs>
        <w:spacing w:line="560" w:lineRule="exact"/>
        <w:ind w:firstLine="640" w:firstLineChars="200"/>
        <w:rPr>
          <w:rFonts w:ascii="仿宋_GB2312" w:eastAsia="仿宋_GB2312"/>
          <w:bCs/>
          <w:sz w:val="32"/>
          <w:szCs w:val="20"/>
        </w:rPr>
      </w:pPr>
      <w:r>
        <w:rPr>
          <w:rFonts w:hint="eastAsia" w:ascii="黑体" w:eastAsia="黑体"/>
          <w:bCs/>
          <w:sz w:val="32"/>
        </w:rPr>
        <w:t>第四十四条</w:t>
      </w:r>
      <w:r>
        <w:rPr>
          <w:rFonts w:ascii="黑体" w:eastAsia="黑体"/>
          <w:bCs/>
          <w:sz w:val="32"/>
        </w:rPr>
        <w:t xml:space="preserve">  </w:t>
      </w:r>
      <w:r>
        <w:rPr>
          <w:rFonts w:hint="eastAsia" w:ascii="仿宋_GB2312" w:eastAsia="仿宋_GB2312"/>
          <w:bCs/>
          <w:sz w:val="32"/>
          <w:szCs w:val="20"/>
        </w:rPr>
        <w:t>勘察、设计、监理、咨询、评审等机构受建设单位委托开展区政府投资项目相关工作时，未认真履行职责、工作疏忽或者弄虚作假的，责令改正；情节严重的，提请有关部门依法进行处理</w:t>
      </w:r>
      <w:r>
        <w:rPr>
          <w:rFonts w:ascii="仿宋_GB2312" w:eastAsia="仿宋_GB2312"/>
          <w:bCs/>
          <w:sz w:val="32"/>
          <w:szCs w:val="20"/>
        </w:rPr>
        <w:t>;</w:t>
      </w:r>
      <w:r>
        <w:rPr>
          <w:rFonts w:hint="eastAsia" w:ascii="仿宋_GB2312" w:eastAsia="仿宋_GB2312"/>
          <w:bCs/>
          <w:sz w:val="32"/>
          <w:szCs w:val="20"/>
        </w:rPr>
        <w:t>涉嫌犯罪的，依法追究刑事责任。</w:t>
      </w:r>
    </w:p>
    <w:p>
      <w:pPr>
        <w:tabs>
          <w:tab w:val="left" w:pos="0"/>
        </w:tabs>
        <w:spacing w:line="560" w:lineRule="exact"/>
        <w:ind w:firstLine="640" w:firstLineChars="200"/>
        <w:rPr>
          <w:rFonts w:ascii="仿宋_GB2312" w:eastAsia="仿宋_GB2312"/>
          <w:bCs/>
          <w:sz w:val="32"/>
          <w:szCs w:val="20"/>
        </w:rPr>
      </w:pPr>
      <w:r>
        <w:rPr>
          <w:rFonts w:hint="eastAsia" w:ascii="黑体" w:eastAsia="黑体"/>
          <w:bCs/>
          <w:sz w:val="32"/>
        </w:rPr>
        <w:t>第四十五条</w:t>
      </w:r>
      <w:r>
        <w:rPr>
          <w:rFonts w:ascii="黑体" w:eastAsia="黑体"/>
          <w:bCs/>
          <w:sz w:val="32"/>
        </w:rPr>
        <w:t xml:space="preserve">  </w:t>
      </w:r>
      <w:r>
        <w:rPr>
          <w:rFonts w:hint="eastAsia" w:ascii="仿宋_GB2312" w:eastAsia="仿宋_GB2312"/>
          <w:bCs/>
          <w:sz w:val="32"/>
          <w:szCs w:val="20"/>
        </w:rPr>
        <w:t>政府投资</w:t>
      </w:r>
      <w:r>
        <w:rPr>
          <w:rFonts w:ascii="仿宋_GB2312" w:eastAsia="仿宋_GB2312"/>
          <w:bCs/>
          <w:sz w:val="32"/>
          <w:szCs w:val="20"/>
        </w:rPr>
        <w:t>项目</w:t>
      </w:r>
      <w:r>
        <w:rPr>
          <w:rFonts w:hint="eastAsia" w:ascii="仿宋_GB2312" w:eastAsia="仿宋_GB2312"/>
          <w:bCs/>
          <w:sz w:val="32"/>
          <w:szCs w:val="20"/>
        </w:rPr>
        <w:t>出现</w:t>
      </w:r>
      <w:r>
        <w:rPr>
          <w:rFonts w:ascii="仿宋_GB2312" w:eastAsia="仿宋_GB2312"/>
          <w:bCs/>
          <w:sz w:val="32"/>
          <w:szCs w:val="20"/>
        </w:rPr>
        <w:t>重大质量</w:t>
      </w:r>
      <w:r>
        <w:rPr>
          <w:rFonts w:hint="eastAsia" w:ascii="仿宋_GB2312" w:eastAsia="仿宋_GB2312"/>
          <w:bCs/>
          <w:sz w:val="32"/>
          <w:szCs w:val="20"/>
        </w:rPr>
        <w:t>问题</w:t>
      </w:r>
      <w:r>
        <w:rPr>
          <w:rFonts w:ascii="仿宋_GB2312" w:eastAsia="仿宋_GB2312"/>
          <w:bCs/>
          <w:sz w:val="32"/>
          <w:szCs w:val="20"/>
        </w:rPr>
        <w:t>、安全事故</w:t>
      </w:r>
      <w:r>
        <w:rPr>
          <w:rFonts w:hint="eastAsia" w:ascii="仿宋_GB2312" w:eastAsia="仿宋_GB2312"/>
          <w:bCs/>
          <w:sz w:val="32"/>
          <w:szCs w:val="20"/>
        </w:rPr>
        <w:t>、环境事件等情形</w:t>
      </w:r>
      <w:r>
        <w:rPr>
          <w:rFonts w:ascii="仿宋_GB2312" w:eastAsia="仿宋_GB2312"/>
          <w:bCs/>
          <w:sz w:val="32"/>
          <w:szCs w:val="20"/>
        </w:rPr>
        <w:t>的，</w:t>
      </w:r>
      <w:r>
        <w:rPr>
          <w:rFonts w:hint="eastAsia" w:ascii="仿宋_GB2312" w:eastAsia="仿宋_GB2312"/>
          <w:bCs/>
          <w:sz w:val="32"/>
          <w:szCs w:val="20"/>
        </w:rPr>
        <w:t>应依法追究项目建设、勘察、设计、施工、监理</w:t>
      </w:r>
      <w:r>
        <w:rPr>
          <w:rFonts w:ascii="仿宋_GB2312" w:eastAsia="仿宋_GB2312"/>
          <w:bCs/>
          <w:sz w:val="32"/>
          <w:szCs w:val="20"/>
        </w:rPr>
        <w:t>等单位及责任</w:t>
      </w:r>
      <w:r>
        <w:rPr>
          <w:rFonts w:hint="eastAsia" w:ascii="仿宋_GB2312" w:eastAsia="仿宋_GB2312"/>
          <w:bCs/>
          <w:sz w:val="32"/>
          <w:szCs w:val="20"/>
        </w:rPr>
        <w:t>人员责任</w:t>
      </w:r>
      <w:r>
        <w:rPr>
          <w:rFonts w:ascii="仿宋_GB2312" w:eastAsia="仿宋_GB2312"/>
          <w:bCs/>
          <w:sz w:val="32"/>
          <w:szCs w:val="20"/>
        </w:rPr>
        <w:t>。</w:t>
      </w:r>
      <w:r>
        <w:rPr>
          <w:rFonts w:hint="eastAsia" w:ascii="仿宋_GB2312" w:eastAsia="仿宋_GB2312"/>
          <w:bCs/>
          <w:sz w:val="32"/>
          <w:szCs w:val="20"/>
        </w:rPr>
        <w:t>涉嫌犯罪的，依法追究刑事责任。</w:t>
      </w:r>
    </w:p>
    <w:p>
      <w:pPr>
        <w:tabs>
          <w:tab w:val="left" w:pos="0"/>
        </w:tabs>
        <w:spacing w:line="560" w:lineRule="exact"/>
        <w:ind w:firstLine="640" w:firstLineChars="200"/>
        <w:rPr>
          <w:rFonts w:ascii="仿宋_GB2312" w:eastAsia="仿宋_GB2312"/>
          <w:bCs/>
          <w:sz w:val="32"/>
          <w:szCs w:val="20"/>
        </w:rPr>
      </w:pPr>
    </w:p>
    <w:p>
      <w:pPr>
        <w:tabs>
          <w:tab w:val="left" w:pos="0"/>
        </w:tabs>
        <w:spacing w:line="560" w:lineRule="exact"/>
        <w:jc w:val="center"/>
        <w:rPr>
          <w:rFonts w:ascii="黑体" w:eastAsia="黑体"/>
          <w:bCs/>
          <w:sz w:val="32"/>
          <w:szCs w:val="20"/>
        </w:rPr>
      </w:pPr>
      <w:r>
        <w:rPr>
          <w:rFonts w:hint="eastAsia" w:ascii="黑体" w:eastAsia="黑体"/>
          <w:bCs/>
          <w:sz w:val="32"/>
          <w:szCs w:val="20"/>
        </w:rPr>
        <w:t>第七章  附则</w:t>
      </w:r>
    </w:p>
    <w:p>
      <w:pPr>
        <w:tabs>
          <w:tab w:val="left" w:pos="0"/>
        </w:tabs>
        <w:spacing w:line="560" w:lineRule="exact"/>
        <w:ind w:left="1080"/>
        <w:rPr>
          <w:rFonts w:ascii="黑体" w:eastAsia="黑体"/>
          <w:bCs/>
          <w:sz w:val="32"/>
          <w:szCs w:val="20"/>
        </w:rPr>
      </w:pPr>
    </w:p>
    <w:p>
      <w:pPr>
        <w:spacing w:line="560" w:lineRule="exact"/>
        <w:ind w:firstLine="640" w:firstLineChars="200"/>
        <w:rPr>
          <w:rFonts w:ascii="仿宋_GB2312" w:eastAsia="仿宋_GB2312"/>
          <w:sz w:val="32"/>
          <w:szCs w:val="32"/>
        </w:rPr>
      </w:pPr>
      <w:r>
        <w:rPr>
          <w:rFonts w:hint="eastAsia" w:ascii="黑体" w:eastAsia="黑体"/>
          <w:bCs/>
          <w:sz w:val="32"/>
          <w:szCs w:val="20"/>
        </w:rPr>
        <w:t>第四十六条</w:t>
      </w:r>
      <w:r>
        <w:rPr>
          <w:rFonts w:ascii="黑体" w:eastAsia="黑体"/>
          <w:bCs/>
          <w:sz w:val="32"/>
          <w:szCs w:val="20"/>
        </w:rPr>
        <w:t xml:space="preserve">  </w:t>
      </w:r>
      <w:r>
        <w:rPr>
          <w:rFonts w:hint="eastAsia" w:ascii="仿宋_GB2312" w:eastAsia="仿宋_GB2312"/>
          <w:bCs/>
          <w:sz w:val="32"/>
          <w:szCs w:val="20"/>
        </w:rPr>
        <w:t>本办法由盐田区政府授权盐田区发展改革局负责解释。</w:t>
      </w:r>
    </w:p>
    <w:p>
      <w:pPr>
        <w:tabs>
          <w:tab w:val="left" w:pos="0"/>
        </w:tabs>
        <w:spacing w:line="560" w:lineRule="exact"/>
        <w:ind w:firstLine="640" w:firstLineChars="200"/>
        <w:rPr>
          <w:rFonts w:ascii="黑体" w:eastAsia="黑体"/>
          <w:bCs/>
          <w:sz w:val="32"/>
          <w:szCs w:val="20"/>
        </w:rPr>
      </w:pPr>
      <w:r>
        <w:rPr>
          <w:rFonts w:hint="eastAsia" w:ascii="黑体" w:eastAsia="黑体"/>
          <w:bCs/>
          <w:sz w:val="32"/>
          <w:szCs w:val="20"/>
        </w:rPr>
        <w:t xml:space="preserve">第四十七条  </w:t>
      </w:r>
      <w:r>
        <w:rPr>
          <w:rFonts w:hint="eastAsia" w:ascii="仿宋_GB2312" w:eastAsia="仿宋_GB2312"/>
          <w:bCs/>
          <w:sz w:val="32"/>
          <w:szCs w:val="20"/>
        </w:rPr>
        <w:t>本办法中的“以上”均包含本数，“不满、超过”均不含本数。</w:t>
      </w:r>
    </w:p>
    <w:p>
      <w:pPr>
        <w:spacing w:line="560" w:lineRule="exact"/>
        <w:ind w:firstLine="640" w:firstLineChars="200"/>
        <w:contextualSpacing/>
        <w:rPr>
          <w:rFonts w:ascii="华文中宋" w:hAnsi="华文中宋" w:eastAsia="华文中宋" w:cs="仿宋_GB2312"/>
          <w:color w:val="000000"/>
          <w:sz w:val="32"/>
          <w:szCs w:val="32"/>
        </w:rPr>
      </w:pPr>
      <w:r>
        <w:rPr>
          <w:rFonts w:hint="eastAsia" w:ascii="黑体" w:eastAsia="黑体"/>
          <w:bCs/>
          <w:sz w:val="32"/>
          <w:szCs w:val="20"/>
        </w:rPr>
        <w:t>第四十八条</w:t>
      </w:r>
      <w:r>
        <w:rPr>
          <w:rFonts w:ascii="黑体" w:eastAsia="黑体"/>
          <w:bCs/>
          <w:sz w:val="32"/>
          <w:szCs w:val="20"/>
        </w:rPr>
        <w:t xml:space="preserve">  </w:t>
      </w:r>
      <w:r>
        <w:rPr>
          <w:rFonts w:hint="eastAsia" w:ascii="仿宋_GB2312" w:eastAsia="仿宋_GB2312"/>
          <w:bCs/>
          <w:sz w:val="32"/>
          <w:szCs w:val="20"/>
        </w:rPr>
        <w:t>本办法自2019年</w:t>
      </w:r>
      <w:r>
        <w:rPr>
          <w:rFonts w:hint="eastAsia" w:ascii="仿宋_GB2312" w:eastAsia="仿宋_GB2312"/>
          <w:bCs/>
          <w:sz w:val="32"/>
          <w:szCs w:val="20"/>
          <w:lang w:val="en-US" w:eastAsia="zh-CN"/>
        </w:rPr>
        <w:t>11</w:t>
      </w:r>
      <w:r>
        <w:rPr>
          <w:rFonts w:hint="eastAsia" w:ascii="仿宋_GB2312" w:eastAsia="仿宋_GB2312"/>
          <w:bCs/>
          <w:sz w:val="32"/>
          <w:szCs w:val="20"/>
        </w:rPr>
        <w:t>月</w:t>
      </w:r>
      <w:r>
        <w:rPr>
          <w:rFonts w:hint="eastAsia" w:ascii="仿宋_GB2312" w:eastAsia="仿宋_GB2312"/>
          <w:bCs/>
          <w:sz w:val="32"/>
          <w:szCs w:val="20"/>
          <w:lang w:val="en-US" w:eastAsia="zh-CN"/>
        </w:rPr>
        <w:t>1</w:t>
      </w:r>
      <w:r>
        <w:rPr>
          <w:rFonts w:hint="eastAsia" w:ascii="仿宋_GB2312" w:eastAsia="仿宋_GB2312"/>
          <w:bCs/>
          <w:sz w:val="32"/>
          <w:szCs w:val="20"/>
        </w:rPr>
        <w:t>日起生效，有效期3年。《盐田区政府投资建设项目施工许可管理规定（暂行）》（深盐发改〔2018〕16号）和《盐田区加快推进政府投资项目的若干措施（试行）》（深盐府办〔2015〕14号）与本办法不一致的，以本办法为准</w:t>
      </w:r>
      <w:r>
        <w:rPr>
          <w:rFonts w:hint="eastAsia" w:ascii="仿宋_GB2312" w:hAnsi="仿宋" w:eastAsia="仿宋_GB2312"/>
          <w:sz w:val="32"/>
          <w:szCs w:val="32"/>
        </w:rPr>
        <w:t>。</w:t>
      </w: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100" w:line="580" w:lineRule="exact"/>
        <w:rPr>
          <w:rFonts w:ascii="华文中宋" w:hAnsi="华文中宋" w:eastAsia="华文中宋" w:cs="仿宋_GB2312"/>
          <w:color w:val="000000"/>
          <w:sz w:val="32"/>
          <w:szCs w:val="32"/>
        </w:rPr>
      </w:pPr>
    </w:p>
    <w:p>
      <w:pPr>
        <w:spacing w:afterLines="50" w:line="580" w:lineRule="exact"/>
        <w:rPr>
          <w:rFonts w:ascii="华文中宋" w:hAnsi="华文中宋" w:eastAsia="华文中宋" w:cs="仿宋_GB2312"/>
          <w:color w:val="000000"/>
          <w:sz w:val="32"/>
          <w:szCs w:val="32"/>
        </w:rPr>
      </w:pPr>
    </w:p>
    <w:p>
      <w:pPr>
        <w:spacing w:afterLines="50" w:line="580" w:lineRule="exact"/>
        <w:rPr>
          <w:rFonts w:ascii="华文中宋" w:hAnsi="华文中宋" w:eastAsia="华文中宋" w:cs="仿宋_GB2312"/>
          <w:color w:val="000000"/>
          <w:sz w:val="32"/>
          <w:szCs w:val="32"/>
        </w:rPr>
      </w:pPr>
    </w:p>
    <w:p>
      <w:pPr>
        <w:spacing w:line="580" w:lineRule="exact"/>
        <w:rPr>
          <w:rFonts w:ascii="仿宋_GB2312" w:hAnsi="华文中宋" w:eastAsia="仿宋_GB2312"/>
          <w:color w:val="000000"/>
          <w:sz w:val="32"/>
          <w:szCs w:val="32"/>
        </w:rPr>
      </w:pPr>
      <w:r>
        <w:rPr>
          <w:rFonts w:hint="eastAsia" w:ascii="黑体" w:hAnsi="华文中宋" w:eastAsia="黑体"/>
          <w:color w:val="000000"/>
          <w:sz w:val="32"/>
          <w:szCs w:val="32"/>
        </w:rPr>
        <w:t>公开方式：</w:t>
      </w:r>
      <w:r>
        <w:rPr>
          <w:rFonts w:hint="eastAsia" w:ascii="仿宋_GB2312" w:hAnsi="华文中宋" w:eastAsia="仿宋_GB2312"/>
          <w:color w:val="000000"/>
          <w:sz w:val="32"/>
          <w:szCs w:val="32"/>
        </w:rPr>
        <w:t>主动公开</w:t>
      </w:r>
    </w:p>
    <w:p>
      <w:pPr>
        <w:spacing w:line="580" w:lineRule="exact"/>
        <w:rPr>
          <w:rFonts w:ascii="仿宋_GB2312" w:hAnsi="华文中宋" w:eastAsia="仿宋_GB2312"/>
          <w:color w:val="000000"/>
          <w:sz w:val="32"/>
          <w:szCs w:val="32"/>
        </w:rPr>
      </w:pPr>
    </w:p>
    <w:p>
      <w:pPr>
        <w:pBdr>
          <w:top w:val="single" w:color="auto" w:sz="8" w:space="1"/>
          <w:left w:val="none" w:color="auto" w:sz="0" w:space="4"/>
          <w:bottom w:val="single" w:color="auto" w:sz="8" w:space="1"/>
          <w:right w:val="none" w:color="auto" w:sz="0" w:space="4"/>
          <w:between w:val="single" w:color="auto" w:sz="4" w:space="0"/>
        </w:pBdr>
        <w:ind w:firstLine="140" w:firstLineChars="5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深圳市盐田区人民政府办公室               2019年</w:t>
      </w:r>
      <w:r>
        <w:rPr>
          <w:rFonts w:hint="eastAsia" w:ascii="仿宋_GB2312" w:hAnsi="宋体"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hint="eastAsia" w:ascii="仿宋_GB2312" w:hAnsi="宋体" w:eastAsia="仿宋_GB2312" w:cs="仿宋_GB2312"/>
          <w:color w:val="000000"/>
          <w:sz w:val="28"/>
          <w:szCs w:val="28"/>
          <w:lang w:val="en-US" w:eastAsia="zh-CN"/>
        </w:rPr>
        <w:t>21</w:t>
      </w:r>
      <w:r>
        <w:rPr>
          <w:rFonts w:hint="eastAsia" w:ascii="仿宋_GB2312" w:hAnsi="仿宋_GB2312" w:eastAsia="仿宋_GB2312" w:cs="仿宋_GB2312"/>
          <w:color w:val="000000"/>
          <w:sz w:val="28"/>
          <w:szCs w:val="28"/>
        </w:rPr>
        <w:t>日印发</w:t>
      </w:r>
    </w:p>
    <w:sectPr>
      <w:footerReference r:id="rId4" w:type="default"/>
      <w:headerReference r:id="rId3" w:type="even"/>
      <w:footerReference r:id="rId5" w:type="even"/>
      <w:pgSz w:w="11906" w:h="16838"/>
      <w:pgMar w:top="1985" w:right="1474" w:bottom="1531" w:left="1588" w:header="851" w:footer="1191"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 w:name="FSGB2312A">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 w:name="STA">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1111" w:h="435" w:hRule="exact" w:wrap="around" w:vAnchor="text" w:hAnchor="page" w:x="9149" w:y="-34"/>
      <w:rPr>
        <w:rStyle w:val="17"/>
        <w:rFonts w:ascii="Batang" w:hAnsi="Batang" w:eastAsia="Batang"/>
        <w:b/>
        <w:sz w:val="26"/>
        <w:szCs w:val="26"/>
      </w:rPr>
    </w:pPr>
    <w:r>
      <w:rPr>
        <w:rStyle w:val="17"/>
        <w:rFonts w:hint="eastAsia" w:ascii="Batang" w:hAnsi="Batang" w:eastAsia="Batang"/>
        <w:b/>
        <w:sz w:val="26"/>
        <w:szCs w:val="26"/>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1</w:t>
    </w:r>
    <w:r>
      <w:rPr>
        <w:rStyle w:val="17"/>
        <w:rFonts w:ascii="宋体" w:hAnsi="宋体"/>
        <w:sz w:val="28"/>
        <w:szCs w:val="28"/>
      </w:rPr>
      <w:fldChar w:fldCharType="end"/>
    </w:r>
    <w:r>
      <w:rPr>
        <w:rStyle w:val="17"/>
        <w:rFonts w:hint="eastAsia" w:ascii="Batang" w:hAnsi="Batang" w:eastAsia="Batang"/>
        <w:b/>
        <w:sz w:val="26"/>
        <w:szCs w:val="26"/>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949" w:y="-34"/>
      <w:rPr>
        <w:rStyle w:val="17"/>
        <w:rFonts w:ascii="Batang" w:hAnsi="Batang" w:eastAsia="Batang"/>
        <w:b/>
        <w:sz w:val="26"/>
        <w:szCs w:val="26"/>
      </w:rPr>
    </w:pPr>
    <w:r>
      <w:rPr>
        <w:rStyle w:val="17"/>
        <w:rFonts w:hint="eastAsia" w:ascii="Batang" w:hAnsi="Batang" w:eastAsia="Batang"/>
        <w:b/>
        <w:sz w:val="26"/>
        <w:szCs w:val="26"/>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14</w:t>
    </w:r>
    <w:r>
      <w:rPr>
        <w:rStyle w:val="17"/>
        <w:rFonts w:ascii="宋体" w:hAnsi="宋体"/>
        <w:sz w:val="28"/>
        <w:szCs w:val="28"/>
      </w:rPr>
      <w:fldChar w:fldCharType="end"/>
    </w:r>
    <w:r>
      <w:rPr>
        <w:rStyle w:val="17"/>
        <w:rFonts w:hint="eastAsia" w:ascii="Batang" w:hAnsi="Batang" w:eastAsia="Batang"/>
        <w:b/>
        <w:sz w:val="26"/>
        <w:szCs w:val="26"/>
      </w:rPr>
      <w:t xml:space="preserve"> —</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db4b7800a23f38940773ac09bab8b08d@37699&amp;webOffice=1&amp;identityId=A149C71DF9384399A8A1D1DF5BF2BF51&amp;token=d60447d1338441c59eb3c8066e32e8ea&amp;identityId=A149C71DF9384399A8A1D1DF5BF2BF51&amp;wjbh=B201910651&amp;hddyid=LCA010001_HD_05&amp;fileSrcName=2019_10_21_10_30_54_40F01EA36B8FAE96E51434FB1CCB6E4C.docx"/>
  </w:docVars>
  <w:rsids>
    <w:rsidRoot w:val="000231F8"/>
    <w:rsid w:val="000000D2"/>
    <w:rsid w:val="00011DA9"/>
    <w:rsid w:val="00011FAC"/>
    <w:rsid w:val="000231F8"/>
    <w:rsid w:val="000264EC"/>
    <w:rsid w:val="00033B3D"/>
    <w:rsid w:val="000405A1"/>
    <w:rsid w:val="00041E1E"/>
    <w:rsid w:val="00047203"/>
    <w:rsid w:val="00047C6D"/>
    <w:rsid w:val="00051425"/>
    <w:rsid w:val="0005687A"/>
    <w:rsid w:val="000700CC"/>
    <w:rsid w:val="00073FEE"/>
    <w:rsid w:val="00075BA9"/>
    <w:rsid w:val="0007765D"/>
    <w:rsid w:val="00081F30"/>
    <w:rsid w:val="00082373"/>
    <w:rsid w:val="0008694B"/>
    <w:rsid w:val="000869B5"/>
    <w:rsid w:val="0009149B"/>
    <w:rsid w:val="0009434B"/>
    <w:rsid w:val="000A353B"/>
    <w:rsid w:val="000A3CAD"/>
    <w:rsid w:val="000A6832"/>
    <w:rsid w:val="000A6F35"/>
    <w:rsid w:val="000B197C"/>
    <w:rsid w:val="000B3978"/>
    <w:rsid w:val="000C7D3B"/>
    <w:rsid w:val="000D15CF"/>
    <w:rsid w:val="000D196D"/>
    <w:rsid w:val="000D2472"/>
    <w:rsid w:val="000D33B1"/>
    <w:rsid w:val="000D49BE"/>
    <w:rsid w:val="000F0FEE"/>
    <w:rsid w:val="000F4E90"/>
    <w:rsid w:val="000F671B"/>
    <w:rsid w:val="00103290"/>
    <w:rsid w:val="00106188"/>
    <w:rsid w:val="00116697"/>
    <w:rsid w:val="00123080"/>
    <w:rsid w:val="00123C35"/>
    <w:rsid w:val="0013251B"/>
    <w:rsid w:val="00141B80"/>
    <w:rsid w:val="001461ED"/>
    <w:rsid w:val="00147305"/>
    <w:rsid w:val="00163E01"/>
    <w:rsid w:val="00173CDB"/>
    <w:rsid w:val="001814C4"/>
    <w:rsid w:val="00181788"/>
    <w:rsid w:val="00190EC8"/>
    <w:rsid w:val="00195712"/>
    <w:rsid w:val="001A7908"/>
    <w:rsid w:val="001B043E"/>
    <w:rsid w:val="001B54E6"/>
    <w:rsid w:val="001B7EB2"/>
    <w:rsid w:val="001C44C7"/>
    <w:rsid w:val="001C4BCF"/>
    <w:rsid w:val="001E50CE"/>
    <w:rsid w:val="001E5669"/>
    <w:rsid w:val="001F42A9"/>
    <w:rsid w:val="001F552B"/>
    <w:rsid w:val="00204C04"/>
    <w:rsid w:val="00206362"/>
    <w:rsid w:val="002130DA"/>
    <w:rsid w:val="0022235F"/>
    <w:rsid w:val="002328AA"/>
    <w:rsid w:val="002343DE"/>
    <w:rsid w:val="00240CE1"/>
    <w:rsid w:val="00250693"/>
    <w:rsid w:val="00252071"/>
    <w:rsid w:val="00253FE1"/>
    <w:rsid w:val="0027269A"/>
    <w:rsid w:val="00273A18"/>
    <w:rsid w:val="00277131"/>
    <w:rsid w:val="00281A77"/>
    <w:rsid w:val="00281BFE"/>
    <w:rsid w:val="0028747D"/>
    <w:rsid w:val="00293B01"/>
    <w:rsid w:val="002A47DE"/>
    <w:rsid w:val="002B227C"/>
    <w:rsid w:val="002C45ED"/>
    <w:rsid w:val="002D67C0"/>
    <w:rsid w:val="002E16B3"/>
    <w:rsid w:val="002E3FE2"/>
    <w:rsid w:val="002F1D65"/>
    <w:rsid w:val="00306A07"/>
    <w:rsid w:val="00307769"/>
    <w:rsid w:val="00317345"/>
    <w:rsid w:val="00317A32"/>
    <w:rsid w:val="003209CD"/>
    <w:rsid w:val="003237E7"/>
    <w:rsid w:val="0033483C"/>
    <w:rsid w:val="00336E02"/>
    <w:rsid w:val="00337604"/>
    <w:rsid w:val="00342706"/>
    <w:rsid w:val="00345605"/>
    <w:rsid w:val="003537C8"/>
    <w:rsid w:val="00357038"/>
    <w:rsid w:val="003612BD"/>
    <w:rsid w:val="00372CF5"/>
    <w:rsid w:val="00377C39"/>
    <w:rsid w:val="00382889"/>
    <w:rsid w:val="00386640"/>
    <w:rsid w:val="00387901"/>
    <w:rsid w:val="00392121"/>
    <w:rsid w:val="003A6891"/>
    <w:rsid w:val="003A7CF0"/>
    <w:rsid w:val="003B5CB0"/>
    <w:rsid w:val="003D0033"/>
    <w:rsid w:val="003D346F"/>
    <w:rsid w:val="003E027E"/>
    <w:rsid w:val="003E432A"/>
    <w:rsid w:val="003F121B"/>
    <w:rsid w:val="003F6754"/>
    <w:rsid w:val="003F7211"/>
    <w:rsid w:val="00403A48"/>
    <w:rsid w:val="00403A7C"/>
    <w:rsid w:val="00412821"/>
    <w:rsid w:val="0041686A"/>
    <w:rsid w:val="00417A03"/>
    <w:rsid w:val="004231BA"/>
    <w:rsid w:val="00433557"/>
    <w:rsid w:val="00434E1A"/>
    <w:rsid w:val="00442C34"/>
    <w:rsid w:val="004443F8"/>
    <w:rsid w:val="0046388E"/>
    <w:rsid w:val="00467235"/>
    <w:rsid w:val="004A1895"/>
    <w:rsid w:val="004A227B"/>
    <w:rsid w:val="004A5D0D"/>
    <w:rsid w:val="004A735E"/>
    <w:rsid w:val="004B1E00"/>
    <w:rsid w:val="004B45DB"/>
    <w:rsid w:val="004B5D57"/>
    <w:rsid w:val="004C148B"/>
    <w:rsid w:val="004C5AB9"/>
    <w:rsid w:val="004C6A14"/>
    <w:rsid w:val="004D67C2"/>
    <w:rsid w:val="004E099E"/>
    <w:rsid w:val="004E1661"/>
    <w:rsid w:val="004F428F"/>
    <w:rsid w:val="004F5BA7"/>
    <w:rsid w:val="004F766B"/>
    <w:rsid w:val="0050219F"/>
    <w:rsid w:val="00503388"/>
    <w:rsid w:val="00505673"/>
    <w:rsid w:val="00515AD6"/>
    <w:rsid w:val="00516025"/>
    <w:rsid w:val="005305FF"/>
    <w:rsid w:val="00531041"/>
    <w:rsid w:val="00534F39"/>
    <w:rsid w:val="0055440E"/>
    <w:rsid w:val="005623C3"/>
    <w:rsid w:val="005650F3"/>
    <w:rsid w:val="00567EB0"/>
    <w:rsid w:val="005740D6"/>
    <w:rsid w:val="005745DD"/>
    <w:rsid w:val="00574CEC"/>
    <w:rsid w:val="00582591"/>
    <w:rsid w:val="00584C3E"/>
    <w:rsid w:val="00585A54"/>
    <w:rsid w:val="0059305A"/>
    <w:rsid w:val="00593EDC"/>
    <w:rsid w:val="00597B8B"/>
    <w:rsid w:val="00597E4B"/>
    <w:rsid w:val="005B5EAC"/>
    <w:rsid w:val="005C1EA3"/>
    <w:rsid w:val="005C46C8"/>
    <w:rsid w:val="005D6863"/>
    <w:rsid w:val="005E194A"/>
    <w:rsid w:val="005E1B0B"/>
    <w:rsid w:val="005E1B3D"/>
    <w:rsid w:val="005E5A88"/>
    <w:rsid w:val="005E7476"/>
    <w:rsid w:val="005F1167"/>
    <w:rsid w:val="005F1F48"/>
    <w:rsid w:val="005F3D78"/>
    <w:rsid w:val="005F55A3"/>
    <w:rsid w:val="006050C4"/>
    <w:rsid w:val="00611A8E"/>
    <w:rsid w:val="006128E9"/>
    <w:rsid w:val="0062197D"/>
    <w:rsid w:val="00630E25"/>
    <w:rsid w:val="006353A9"/>
    <w:rsid w:val="00640AD1"/>
    <w:rsid w:val="006417AF"/>
    <w:rsid w:val="00647045"/>
    <w:rsid w:val="006544F6"/>
    <w:rsid w:val="0065547C"/>
    <w:rsid w:val="00656249"/>
    <w:rsid w:val="006641DD"/>
    <w:rsid w:val="00664712"/>
    <w:rsid w:val="00666F29"/>
    <w:rsid w:val="00677E1A"/>
    <w:rsid w:val="00680AEE"/>
    <w:rsid w:val="0068278A"/>
    <w:rsid w:val="00685489"/>
    <w:rsid w:val="006866B0"/>
    <w:rsid w:val="00686886"/>
    <w:rsid w:val="00691A47"/>
    <w:rsid w:val="006933A7"/>
    <w:rsid w:val="006A394C"/>
    <w:rsid w:val="006B057B"/>
    <w:rsid w:val="006B14C0"/>
    <w:rsid w:val="006B2076"/>
    <w:rsid w:val="006B77C1"/>
    <w:rsid w:val="006C13F1"/>
    <w:rsid w:val="006D0481"/>
    <w:rsid w:val="006D6DF3"/>
    <w:rsid w:val="006E3C39"/>
    <w:rsid w:val="007024F3"/>
    <w:rsid w:val="00703054"/>
    <w:rsid w:val="00706730"/>
    <w:rsid w:val="00716312"/>
    <w:rsid w:val="007171AF"/>
    <w:rsid w:val="00721A28"/>
    <w:rsid w:val="00721FDF"/>
    <w:rsid w:val="00722937"/>
    <w:rsid w:val="00722C98"/>
    <w:rsid w:val="00725EF0"/>
    <w:rsid w:val="00725F97"/>
    <w:rsid w:val="00731CF1"/>
    <w:rsid w:val="00735528"/>
    <w:rsid w:val="00741BE4"/>
    <w:rsid w:val="00751959"/>
    <w:rsid w:val="00757171"/>
    <w:rsid w:val="007628D4"/>
    <w:rsid w:val="00767598"/>
    <w:rsid w:val="007813A7"/>
    <w:rsid w:val="007B31FC"/>
    <w:rsid w:val="007C1359"/>
    <w:rsid w:val="007C6128"/>
    <w:rsid w:val="007D37A9"/>
    <w:rsid w:val="007E0D77"/>
    <w:rsid w:val="007E17AE"/>
    <w:rsid w:val="007F3E4B"/>
    <w:rsid w:val="007F7B40"/>
    <w:rsid w:val="00804357"/>
    <w:rsid w:val="0082101B"/>
    <w:rsid w:val="00832F65"/>
    <w:rsid w:val="00834D19"/>
    <w:rsid w:val="008409D8"/>
    <w:rsid w:val="00844B73"/>
    <w:rsid w:val="00855901"/>
    <w:rsid w:val="00873753"/>
    <w:rsid w:val="00877A64"/>
    <w:rsid w:val="00887A25"/>
    <w:rsid w:val="0089163B"/>
    <w:rsid w:val="00891CB1"/>
    <w:rsid w:val="008A129D"/>
    <w:rsid w:val="008A22EB"/>
    <w:rsid w:val="008A7DC5"/>
    <w:rsid w:val="008B2AC7"/>
    <w:rsid w:val="008B39EF"/>
    <w:rsid w:val="008B5D60"/>
    <w:rsid w:val="008C327A"/>
    <w:rsid w:val="008C48E1"/>
    <w:rsid w:val="008C56DA"/>
    <w:rsid w:val="008C5E11"/>
    <w:rsid w:val="008C6684"/>
    <w:rsid w:val="008C68C8"/>
    <w:rsid w:val="008C724B"/>
    <w:rsid w:val="008D52CC"/>
    <w:rsid w:val="008D6E24"/>
    <w:rsid w:val="008D7D6C"/>
    <w:rsid w:val="008E1ED1"/>
    <w:rsid w:val="008F1478"/>
    <w:rsid w:val="00922CCA"/>
    <w:rsid w:val="009326FF"/>
    <w:rsid w:val="00934038"/>
    <w:rsid w:val="009458C8"/>
    <w:rsid w:val="0094672B"/>
    <w:rsid w:val="009471F9"/>
    <w:rsid w:val="00951917"/>
    <w:rsid w:val="00960FE1"/>
    <w:rsid w:val="00964B0C"/>
    <w:rsid w:val="00965707"/>
    <w:rsid w:val="00977E5B"/>
    <w:rsid w:val="00994C9D"/>
    <w:rsid w:val="009A2302"/>
    <w:rsid w:val="009A28A2"/>
    <w:rsid w:val="009A5DB8"/>
    <w:rsid w:val="009B2613"/>
    <w:rsid w:val="009B3756"/>
    <w:rsid w:val="009C0AD7"/>
    <w:rsid w:val="009D15DB"/>
    <w:rsid w:val="009D163A"/>
    <w:rsid w:val="009E5DF9"/>
    <w:rsid w:val="009E7466"/>
    <w:rsid w:val="009F0F4B"/>
    <w:rsid w:val="009F1C11"/>
    <w:rsid w:val="009F2C87"/>
    <w:rsid w:val="009F50FB"/>
    <w:rsid w:val="00A0405D"/>
    <w:rsid w:val="00A10251"/>
    <w:rsid w:val="00A17956"/>
    <w:rsid w:val="00A21DF6"/>
    <w:rsid w:val="00A2264E"/>
    <w:rsid w:val="00A30B87"/>
    <w:rsid w:val="00A31E4F"/>
    <w:rsid w:val="00A356F7"/>
    <w:rsid w:val="00A37492"/>
    <w:rsid w:val="00A4192C"/>
    <w:rsid w:val="00A5531B"/>
    <w:rsid w:val="00A564A0"/>
    <w:rsid w:val="00A61BCA"/>
    <w:rsid w:val="00A80692"/>
    <w:rsid w:val="00A9209D"/>
    <w:rsid w:val="00AB5792"/>
    <w:rsid w:val="00AD6B88"/>
    <w:rsid w:val="00AE118E"/>
    <w:rsid w:val="00AE74DB"/>
    <w:rsid w:val="00B067D8"/>
    <w:rsid w:val="00B2499F"/>
    <w:rsid w:val="00B316DF"/>
    <w:rsid w:val="00B35144"/>
    <w:rsid w:val="00B374E5"/>
    <w:rsid w:val="00B76EA2"/>
    <w:rsid w:val="00B81D4D"/>
    <w:rsid w:val="00B83234"/>
    <w:rsid w:val="00B90D9D"/>
    <w:rsid w:val="00B97D1B"/>
    <w:rsid w:val="00BA1E12"/>
    <w:rsid w:val="00BB2CC0"/>
    <w:rsid w:val="00BC20E2"/>
    <w:rsid w:val="00BD5992"/>
    <w:rsid w:val="00BD6754"/>
    <w:rsid w:val="00BE7BAD"/>
    <w:rsid w:val="00C02135"/>
    <w:rsid w:val="00C02EB0"/>
    <w:rsid w:val="00C13AE4"/>
    <w:rsid w:val="00C144B3"/>
    <w:rsid w:val="00C1489C"/>
    <w:rsid w:val="00C2735F"/>
    <w:rsid w:val="00C360B2"/>
    <w:rsid w:val="00C47669"/>
    <w:rsid w:val="00C563CB"/>
    <w:rsid w:val="00C56537"/>
    <w:rsid w:val="00C60D94"/>
    <w:rsid w:val="00C62FA0"/>
    <w:rsid w:val="00C632F2"/>
    <w:rsid w:val="00C70439"/>
    <w:rsid w:val="00C71EC1"/>
    <w:rsid w:val="00C75D4A"/>
    <w:rsid w:val="00C80F08"/>
    <w:rsid w:val="00C83286"/>
    <w:rsid w:val="00C90E92"/>
    <w:rsid w:val="00C97A94"/>
    <w:rsid w:val="00CA196E"/>
    <w:rsid w:val="00CA302B"/>
    <w:rsid w:val="00CB4920"/>
    <w:rsid w:val="00CB7900"/>
    <w:rsid w:val="00CC160D"/>
    <w:rsid w:val="00CC2395"/>
    <w:rsid w:val="00CC4BA6"/>
    <w:rsid w:val="00CC670B"/>
    <w:rsid w:val="00CD54CD"/>
    <w:rsid w:val="00CE3E39"/>
    <w:rsid w:val="00CF4CFE"/>
    <w:rsid w:val="00D17F57"/>
    <w:rsid w:val="00D22E2D"/>
    <w:rsid w:val="00D22EA3"/>
    <w:rsid w:val="00D27D5C"/>
    <w:rsid w:val="00D303D8"/>
    <w:rsid w:val="00D43D1B"/>
    <w:rsid w:val="00D55C9D"/>
    <w:rsid w:val="00D639B6"/>
    <w:rsid w:val="00D67DA8"/>
    <w:rsid w:val="00D71B7D"/>
    <w:rsid w:val="00D776A9"/>
    <w:rsid w:val="00D867DE"/>
    <w:rsid w:val="00D86F42"/>
    <w:rsid w:val="00D9095F"/>
    <w:rsid w:val="00D96CAC"/>
    <w:rsid w:val="00DA192A"/>
    <w:rsid w:val="00DA2F79"/>
    <w:rsid w:val="00DA5725"/>
    <w:rsid w:val="00DB73DD"/>
    <w:rsid w:val="00DC2416"/>
    <w:rsid w:val="00DC2C86"/>
    <w:rsid w:val="00DD5232"/>
    <w:rsid w:val="00DE3360"/>
    <w:rsid w:val="00DE5672"/>
    <w:rsid w:val="00DE6A4D"/>
    <w:rsid w:val="00DF42AD"/>
    <w:rsid w:val="00DF4779"/>
    <w:rsid w:val="00E030C8"/>
    <w:rsid w:val="00E05712"/>
    <w:rsid w:val="00E12A3B"/>
    <w:rsid w:val="00E12B8F"/>
    <w:rsid w:val="00E14D97"/>
    <w:rsid w:val="00E15543"/>
    <w:rsid w:val="00E30B2E"/>
    <w:rsid w:val="00E31A82"/>
    <w:rsid w:val="00E31F29"/>
    <w:rsid w:val="00E35BCB"/>
    <w:rsid w:val="00E5395B"/>
    <w:rsid w:val="00E572BD"/>
    <w:rsid w:val="00E66629"/>
    <w:rsid w:val="00E66A23"/>
    <w:rsid w:val="00E73E71"/>
    <w:rsid w:val="00E744EC"/>
    <w:rsid w:val="00E82282"/>
    <w:rsid w:val="00E83BC3"/>
    <w:rsid w:val="00E92FFE"/>
    <w:rsid w:val="00E938AD"/>
    <w:rsid w:val="00EA5977"/>
    <w:rsid w:val="00EB40DF"/>
    <w:rsid w:val="00EB66CA"/>
    <w:rsid w:val="00ED62DC"/>
    <w:rsid w:val="00EE09DD"/>
    <w:rsid w:val="00EE0B4B"/>
    <w:rsid w:val="00EE5B4A"/>
    <w:rsid w:val="00F133C1"/>
    <w:rsid w:val="00F13F9A"/>
    <w:rsid w:val="00F14BC4"/>
    <w:rsid w:val="00F15C28"/>
    <w:rsid w:val="00F20B7A"/>
    <w:rsid w:val="00F25824"/>
    <w:rsid w:val="00F26CF2"/>
    <w:rsid w:val="00F50FC1"/>
    <w:rsid w:val="00F637E9"/>
    <w:rsid w:val="00F671E3"/>
    <w:rsid w:val="00F75566"/>
    <w:rsid w:val="00F81CB1"/>
    <w:rsid w:val="00F83AAD"/>
    <w:rsid w:val="00F84387"/>
    <w:rsid w:val="00F852A2"/>
    <w:rsid w:val="00F91878"/>
    <w:rsid w:val="00FA1E8F"/>
    <w:rsid w:val="00FA493A"/>
    <w:rsid w:val="00FA5246"/>
    <w:rsid w:val="00FC33C9"/>
    <w:rsid w:val="00FC3BF2"/>
    <w:rsid w:val="00FC4564"/>
    <w:rsid w:val="00FE0A51"/>
    <w:rsid w:val="00FE7662"/>
    <w:rsid w:val="00FF167C"/>
    <w:rsid w:val="00FF39EB"/>
    <w:rsid w:val="02735BA4"/>
    <w:rsid w:val="06877C9E"/>
    <w:rsid w:val="08163018"/>
    <w:rsid w:val="0DA70CC8"/>
    <w:rsid w:val="106F797F"/>
    <w:rsid w:val="113B6235"/>
    <w:rsid w:val="179915C5"/>
    <w:rsid w:val="17BE5F65"/>
    <w:rsid w:val="18365EAB"/>
    <w:rsid w:val="1A6F528F"/>
    <w:rsid w:val="1AC947C4"/>
    <w:rsid w:val="1CAE4BEB"/>
    <w:rsid w:val="1D302F2E"/>
    <w:rsid w:val="21CD0C09"/>
    <w:rsid w:val="222D3DB9"/>
    <w:rsid w:val="24A07522"/>
    <w:rsid w:val="27256DCA"/>
    <w:rsid w:val="28ED54E9"/>
    <w:rsid w:val="2E800482"/>
    <w:rsid w:val="2EEA6DF4"/>
    <w:rsid w:val="335207E6"/>
    <w:rsid w:val="382E311B"/>
    <w:rsid w:val="39DF7E4E"/>
    <w:rsid w:val="3A657FCF"/>
    <w:rsid w:val="3BFF7F6C"/>
    <w:rsid w:val="40B835E5"/>
    <w:rsid w:val="432E2E88"/>
    <w:rsid w:val="4A4F7B4B"/>
    <w:rsid w:val="4B7C40A4"/>
    <w:rsid w:val="596E6A57"/>
    <w:rsid w:val="5AD10375"/>
    <w:rsid w:val="5BA57CC5"/>
    <w:rsid w:val="5D8B3324"/>
    <w:rsid w:val="62737936"/>
    <w:rsid w:val="642D5D40"/>
    <w:rsid w:val="69CA226F"/>
    <w:rsid w:val="6AAE6E4D"/>
    <w:rsid w:val="72B42786"/>
    <w:rsid w:val="734A5583"/>
    <w:rsid w:val="749F2FBB"/>
    <w:rsid w:val="796932D5"/>
    <w:rsid w:val="7B06746E"/>
    <w:rsid w:val="7DA92C7A"/>
    <w:rsid w:val="7F31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distribute"/>
      <w:outlineLvl w:val="0"/>
    </w:pPr>
    <w:rPr>
      <w:rFonts w:eastAsia="文鼎小标宋简"/>
      <w:b/>
      <w:color w:val="FF0000"/>
      <w:kern w:val="44"/>
      <w:sz w:val="7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nhideWhenUsed/>
    <w:qFormat/>
    <w:uiPriority w:val="0"/>
    <w:pPr>
      <w:ind w:firstLine="630"/>
    </w:pPr>
    <w:rPr>
      <w:rFonts w:eastAsia="仿宋_GB2312"/>
      <w:kern w:val="0"/>
      <w:sz w:val="32"/>
      <w:szCs w:val="20"/>
    </w:rPr>
  </w:style>
  <w:style w:type="paragraph" w:styleId="5">
    <w:name w:val="Body Text"/>
    <w:basedOn w:val="1"/>
    <w:qFormat/>
    <w:uiPriority w:val="0"/>
    <w:pPr>
      <w:spacing w:after="120"/>
    </w:pPr>
    <w:rPr>
      <w:rFonts w:eastAsia="仿宋_GB2312"/>
      <w:sz w:val="32"/>
      <w:szCs w:val="20"/>
    </w:rPr>
  </w:style>
  <w:style w:type="paragraph" w:styleId="6">
    <w:name w:val="Body Text Indent"/>
    <w:basedOn w:val="1"/>
    <w:qFormat/>
    <w:uiPriority w:val="0"/>
    <w:pPr>
      <w:tabs>
        <w:tab w:val="left" w:pos="540"/>
        <w:tab w:val="left" w:pos="720"/>
      </w:tabs>
      <w:ind w:firstLine="622" w:firstLineChars="200"/>
    </w:pPr>
    <w:rPr>
      <w:rFonts w:ascii="仿宋_GB2312" w:hAnsi="宋体" w:eastAsia="仿宋_GB2312"/>
      <w:sz w:val="32"/>
      <w:szCs w:val="2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60"/>
    </w:pPr>
    <w:rPr>
      <w:rFonts w:ascii="楷体_GB2312" w:eastAsia="楷体_GB2312"/>
      <w:sz w:val="32"/>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before="80" w:after="180"/>
      <w:ind w:firstLine="643" w:firstLineChars="200"/>
    </w:pPr>
    <w:rPr>
      <w:rFonts w:ascii="仿宋_GB2312" w:eastAsia="仿宋_GB2312"/>
      <w:b/>
      <w:sz w:val="3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秘密紧急"/>
    <w:basedOn w:val="1"/>
    <w:qFormat/>
    <w:uiPriority w:val="0"/>
    <w:pPr>
      <w:jc w:val="right"/>
    </w:pPr>
    <w:rPr>
      <w:rFonts w:ascii="黑体" w:eastAsia="黑体"/>
      <w:sz w:val="32"/>
      <w:szCs w:val="20"/>
    </w:rPr>
  </w:style>
  <w:style w:type="paragraph" w:customStyle="1" w:styleId="19">
    <w:name w:val="默认段落字体 Para Char Char Char Char Char Char Char Char Char Char"/>
    <w:basedOn w:val="1"/>
    <w:qFormat/>
    <w:uiPriority w:val="0"/>
    <w:rPr>
      <w:szCs w:val="21"/>
    </w:rPr>
  </w:style>
  <w:style w:type="paragraph" w:customStyle="1" w:styleId="2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21">
    <w:name w:val="List Paragraph"/>
    <w:basedOn w:val="1"/>
    <w:qFormat/>
    <w:uiPriority w:val="99"/>
    <w:pPr>
      <w:ind w:firstLine="420" w:firstLineChars="200"/>
    </w:pPr>
    <w:rPr>
      <w:rFonts w:ascii="Calibri" w:hAnsi="Calibri"/>
      <w:szCs w:val="22"/>
    </w:rPr>
  </w:style>
  <w:style w:type="paragraph" w:customStyle="1" w:styleId="22">
    <w:name w:val="列出段落1"/>
    <w:basedOn w:val="1"/>
    <w:qFormat/>
    <w:uiPriority w:val="99"/>
    <w:pPr>
      <w:ind w:firstLine="420" w:firstLineChars="200"/>
    </w:pPr>
    <w:rPr>
      <w:rFonts w:ascii="Calibri" w:hAnsi="Calibri"/>
      <w:szCs w:val="22"/>
    </w:rPr>
  </w:style>
  <w:style w:type="paragraph" w:customStyle="1" w:styleId="23">
    <w:name w:val="列出段落2"/>
    <w:basedOn w:val="1"/>
    <w:qFormat/>
    <w:uiPriority w:val="99"/>
    <w:pPr>
      <w:ind w:firstLine="420" w:firstLineChars="200"/>
    </w:pPr>
    <w:rPr>
      <w:rFonts w:ascii="Calibri" w:hAnsi="Calibri"/>
      <w:szCs w:val="22"/>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zhang"/>
    <w:basedOn w:val="1"/>
    <w:qFormat/>
    <w:uiPriority w:val="0"/>
    <w:pPr>
      <w:widowControl/>
      <w:spacing w:before="100" w:beforeAutospacing="1" w:after="100" w:afterAutospacing="1"/>
      <w:jc w:val="left"/>
    </w:pPr>
    <w:rPr>
      <w:rFonts w:ascii="宋体" w:hAnsi="宋体" w:cs="宋体"/>
      <w:b/>
      <w:bCs/>
      <w:smallCaps/>
      <w:color w:val="000000"/>
      <w:kern w:val="0"/>
      <w:sz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Application%20Data\Microsoft\Templates\Normal&#25919;&#242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Normal政府</Template>
  <Company>盐田区政府</Company>
  <Pages>14</Pages>
  <Words>5832</Words>
  <Characters>400</Characters>
  <Lines>3</Lines>
  <Paragraphs>12</Paragraphs>
  <TotalTime>7</TotalTime>
  <ScaleCrop>false</ScaleCrop>
  <LinksUpToDate>false</LinksUpToDate>
  <CharactersWithSpaces>6220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2019-10-21T02:23:00Z</dcterms:created>
  <dc:creator>dell</dc:creator>
  <cp:lastModifiedBy>卢志敏</cp:lastModifiedBy>
  <cp:lastPrinted>2019-10-21T04:06:16Z</cp:lastPrinted>
  <dcterms:modified xsi:type="dcterms:W3CDTF">2019-10-21T04:09:32Z</dcterms:modified>
  <dc:title>市委文件印制格式标准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