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both"/>
        <w:rPr>
          <w:rFonts w:hint="eastAsia" w:hAnsi="宋体" w:eastAsiaTheme="minorEastAsia"/>
          <w:sz w:val="32"/>
          <w:szCs w:val="32"/>
          <w:lang w:eastAsia="zh-CN"/>
        </w:rPr>
      </w:pPr>
      <w:r>
        <w:rPr>
          <w:rFonts w:hint="eastAsia" w:hAnsi="宋体"/>
          <w:sz w:val="32"/>
          <w:szCs w:val="32"/>
          <w:lang w:eastAsia="zh-CN"/>
        </w:rPr>
        <w:t>附件：</w:t>
      </w:r>
    </w:p>
    <w:p>
      <w:pPr>
        <w:adjustRightInd w:val="0"/>
        <w:snapToGrid w:val="0"/>
        <w:spacing w:line="560" w:lineRule="exact"/>
        <w:jc w:val="center"/>
        <w:rPr>
          <w:rFonts w:ascii="方正小标宋简体" w:eastAsia="方正小标宋简体"/>
          <w:sz w:val="44"/>
          <w:szCs w:val="44"/>
        </w:rPr>
      </w:pPr>
      <w:bookmarkStart w:id="0" w:name="_Hlk32485828"/>
    </w:p>
    <w:p>
      <w:pPr>
        <w:adjustRightInd w:val="0"/>
        <w:snapToGrid w:val="0"/>
        <w:spacing w:line="560" w:lineRule="exact"/>
        <w:jc w:val="center"/>
        <w:rPr>
          <w:rFonts w:ascii="方正小标宋简体" w:eastAsia="方正小标宋简体"/>
          <w:sz w:val="44"/>
          <w:szCs w:val="44"/>
        </w:rPr>
      </w:pPr>
      <w:bookmarkStart w:id="1" w:name="_GoBack"/>
      <w:bookmarkEnd w:id="1"/>
      <w:r>
        <w:rPr>
          <w:rFonts w:ascii="方正小标宋简体" w:eastAsia="方正小标宋简体"/>
          <w:sz w:val="44"/>
          <w:szCs w:val="44"/>
        </w:rPr>
        <w:t>深圳市</w:t>
      </w:r>
      <w:r>
        <w:rPr>
          <w:rFonts w:hint="eastAsia" w:ascii="方正小标宋简体" w:eastAsia="方正小标宋简体"/>
          <w:sz w:val="44"/>
          <w:szCs w:val="44"/>
        </w:rPr>
        <w:t>盐田区</w:t>
      </w:r>
      <w:r>
        <w:rPr>
          <w:rFonts w:ascii="方正小标宋简体" w:eastAsia="方正小标宋简体"/>
          <w:sz w:val="44"/>
          <w:szCs w:val="44"/>
        </w:rPr>
        <w:t>地质灾害防治管理</w:t>
      </w:r>
      <w:r>
        <w:rPr>
          <w:rFonts w:hint="eastAsia" w:ascii="方正小标宋简体" w:eastAsia="方正小标宋简体"/>
          <w:sz w:val="44"/>
          <w:szCs w:val="44"/>
        </w:rPr>
        <w:t>办法</w:t>
      </w:r>
    </w:p>
    <w:p>
      <w:pPr>
        <w:adjustRightInd w:val="0"/>
        <w:snapToGri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（草案）</w:t>
      </w:r>
    </w:p>
    <w:bookmarkEnd w:id="0"/>
    <w:p>
      <w:pPr>
        <w:widowControl/>
        <w:tabs>
          <w:tab w:val="left" w:pos="4500"/>
        </w:tabs>
        <w:adjustRightInd w:val="0"/>
        <w:snapToGrid w:val="0"/>
        <w:spacing w:before="156" w:beforeLines="50" w:after="156" w:afterLines="50" w:line="560" w:lineRule="exact"/>
        <w:jc w:val="center"/>
        <w:rPr>
          <w:rFonts w:ascii="黑体" w:hAnsi="宋体" w:eastAsia="黑体"/>
          <w:bCs/>
          <w:sz w:val="32"/>
          <w:szCs w:val="32"/>
        </w:rPr>
      </w:pPr>
    </w:p>
    <w:p>
      <w:pPr>
        <w:widowControl/>
        <w:tabs>
          <w:tab w:val="left" w:pos="4500"/>
        </w:tabs>
        <w:adjustRightInd w:val="0"/>
        <w:snapToGrid w:val="0"/>
        <w:spacing w:before="312" w:beforeLines="100" w:after="312" w:afterLines="100" w:line="560" w:lineRule="exact"/>
        <w:jc w:val="center"/>
        <w:rPr>
          <w:rFonts w:ascii="黑体" w:hAnsi="宋体" w:eastAsia="黑体"/>
          <w:bCs/>
          <w:sz w:val="32"/>
          <w:szCs w:val="32"/>
        </w:rPr>
      </w:pPr>
      <w:r>
        <w:rPr>
          <w:rFonts w:hint="eastAsia" w:ascii="黑体" w:hAnsi="宋体" w:eastAsia="黑体"/>
          <w:bCs/>
          <w:sz w:val="32"/>
          <w:szCs w:val="32"/>
        </w:rPr>
        <w:t>第一章  总则</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第一条 </w:t>
      </w:r>
      <w:r>
        <w:rPr>
          <w:rFonts w:hint="eastAsia" w:ascii="仿宋_GB2312" w:eastAsia="仿宋_GB2312"/>
          <w:sz w:val="32"/>
          <w:szCs w:val="32"/>
        </w:rPr>
        <w:t>为确保人民生命和财产安全，规范区地质灾害（隐患）防治工作，根据《地质灾害防治条例》、《国务院关于加强地质灾害防治工作的决定》、《广东省地质环境管理条例》、《深圳市地质灾害防治管理办法》等有关法规、规章和规范性文件的规定，结合我区实际，制定本办法。</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第二条 </w:t>
      </w:r>
      <w:r>
        <w:rPr>
          <w:rFonts w:hint="eastAsia" w:ascii="仿宋_GB2312" w:eastAsia="仿宋_GB2312"/>
          <w:sz w:val="32"/>
          <w:szCs w:val="32"/>
        </w:rPr>
        <w:t>本办法适用于盐田区行政区域内地质灾害（隐患）的防治活动。</w:t>
      </w:r>
    </w:p>
    <w:p>
      <w:pPr>
        <w:adjustRightInd w:val="0"/>
        <w:snapToGrid w:val="0"/>
        <w:spacing w:line="560" w:lineRule="exact"/>
        <w:ind w:firstLine="600"/>
        <w:jc w:val="left"/>
        <w:rPr>
          <w:rFonts w:ascii="仿宋_GB2312" w:eastAsia="仿宋_GB2312"/>
          <w:sz w:val="32"/>
          <w:szCs w:val="32"/>
        </w:rPr>
      </w:pPr>
      <w:r>
        <w:rPr>
          <w:rFonts w:hint="eastAsia" w:ascii="仿宋_GB2312" w:eastAsia="仿宋_GB2312"/>
          <w:sz w:val="32"/>
          <w:szCs w:val="32"/>
        </w:rPr>
        <w:t>地震灾害的防御和减轻依照防震减灾的有关法律、法规规定执行；法律、法规对洪水引发的崩塌、滑坡、泥石流的防治有规定的，从其规定。</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边坡工程（含建筑、交通、水利边坡工程，下同）发生建设工程质量安全事故的，依照建设、交通、水利法律、法规及标准、技术规范等规定处理。</w:t>
      </w:r>
    </w:p>
    <w:p>
      <w:pPr>
        <w:tabs>
          <w:tab w:val="left" w:pos="1890"/>
        </w:tabs>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 xml:space="preserve">第三条 </w:t>
      </w:r>
      <w:r>
        <w:rPr>
          <w:rFonts w:hint="eastAsia" w:ascii="仿宋_GB2312" w:eastAsia="仿宋_GB2312"/>
          <w:sz w:val="32"/>
          <w:szCs w:val="32"/>
        </w:rPr>
        <w:t>本办法所称地质灾害，是指自然因素或者人为活动引发的危害人民生命和财产安全的山体崩塌、滑坡、泥石流、地面塌陷、地裂缝、地面沉降等与地质作用有关的灾害。地质灾害隐患是指具有一定程度发生地质灾害的风险，经调查认定的与地质作用有关的现象。</w:t>
      </w:r>
    </w:p>
    <w:p>
      <w:pPr>
        <w:tabs>
          <w:tab w:val="left" w:pos="1890"/>
        </w:tabs>
        <w:adjustRightInd w:val="0"/>
        <w:snapToGrid w:val="0"/>
        <w:spacing w:line="560" w:lineRule="exact"/>
        <w:ind w:firstLine="640" w:firstLineChars="200"/>
        <w:rPr>
          <w:rFonts w:ascii="黑体" w:eastAsia="黑体"/>
          <w:sz w:val="32"/>
          <w:szCs w:val="32"/>
        </w:rPr>
      </w:pPr>
      <w:r>
        <w:rPr>
          <w:rFonts w:hint="eastAsia" w:ascii="黑体" w:eastAsia="黑体"/>
          <w:sz w:val="32"/>
          <w:szCs w:val="32"/>
        </w:rPr>
        <w:t xml:space="preserve">第四条 </w:t>
      </w:r>
      <w:r>
        <w:rPr>
          <w:rFonts w:hint="eastAsia" w:ascii="仿宋_GB2312" w:eastAsia="仿宋_GB2312"/>
          <w:sz w:val="32"/>
          <w:szCs w:val="32"/>
        </w:rPr>
        <w:t>区地质灾害（隐患）防治管理实行区级统筹、街道属地管理和职能部门分类监管相结合的原则。</w:t>
      </w:r>
    </w:p>
    <w:p>
      <w:pPr>
        <w:widowControl/>
        <w:tabs>
          <w:tab w:val="left" w:pos="4500"/>
        </w:tabs>
        <w:adjustRightInd w:val="0"/>
        <w:snapToGrid w:val="0"/>
        <w:spacing w:before="312" w:beforeLines="100" w:after="312" w:afterLines="100" w:line="560" w:lineRule="exact"/>
        <w:jc w:val="center"/>
        <w:rPr>
          <w:rFonts w:ascii="黑体" w:hAnsi="宋体" w:eastAsia="黑体"/>
          <w:bCs/>
          <w:sz w:val="32"/>
          <w:szCs w:val="32"/>
        </w:rPr>
      </w:pPr>
      <w:r>
        <w:rPr>
          <w:rFonts w:hint="eastAsia" w:ascii="黑体" w:hAnsi="宋体" w:eastAsia="黑体"/>
          <w:bCs/>
          <w:sz w:val="32"/>
          <w:szCs w:val="32"/>
        </w:rPr>
        <w:t>第二章  组织机构和责任分工</w:t>
      </w:r>
    </w:p>
    <w:p>
      <w:pPr>
        <w:adjustRightInd w:val="0"/>
        <w:snapToGrid w:val="0"/>
        <w:spacing w:line="560" w:lineRule="exact"/>
        <w:ind w:right="105" w:rightChars="50" w:firstLine="640" w:firstLineChars="200"/>
        <w:rPr>
          <w:rFonts w:ascii="仿宋_GB2312" w:eastAsia="仿宋_GB2312"/>
          <w:sz w:val="32"/>
          <w:szCs w:val="32"/>
        </w:rPr>
      </w:pPr>
      <w:r>
        <w:rPr>
          <w:rFonts w:hint="eastAsia" w:ascii="黑体" w:eastAsia="黑体"/>
          <w:sz w:val="32"/>
          <w:szCs w:val="32"/>
        </w:rPr>
        <w:t xml:space="preserve">第五条 </w:t>
      </w:r>
      <w:r>
        <w:rPr>
          <w:rFonts w:hint="eastAsia" w:ascii="仿宋_GB2312" w:eastAsia="仿宋_GB2312"/>
          <w:sz w:val="32"/>
          <w:szCs w:val="32"/>
        </w:rPr>
        <w:t>盐田区地质灾害防治工作领导小组(以下简称：区领导小组）是区地质灾害防治工作的组织机构。区领导小组成员由区和驻盐相关职能单位以及辖区主要企业组成。区领导小组办公室设在区应急管理局。</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 xml:space="preserve">第六条 </w:t>
      </w:r>
      <w:r>
        <w:rPr>
          <w:rFonts w:hint="eastAsia" w:ascii="仿宋_GB2312" w:eastAsia="仿宋_GB2312"/>
          <w:sz w:val="32"/>
          <w:szCs w:val="32"/>
        </w:rPr>
        <w:t>区领导小组的主要职责：建立健全辖区地质灾害（隐患）防治体系；统筹和协调开展辖区地质灾害（隐患）防治工作；指挥、组织开展突发性地质灾害应急处置工作。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领导小组办公室的主要职责：负责区领导小组的日常管理工作；收集、汇总全区地质灾害（隐患）防治相关资料，掌握动态情况，并定期向区领导小组报告；组织编制区地质灾害防治总体方案和年度方案；组织实施全区地质灾害（隐患）专业巡查；指导各地质灾害（隐患）责任单位日常巡查情况；提出全区地质灾害（隐患）防治管理工作的意见和建议；做好地质灾害（隐患）预防、治理与应急救援的协调、指导、检查和监督工作。</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第七条 </w:t>
      </w:r>
      <w:r>
        <w:rPr>
          <w:rFonts w:hint="eastAsia" w:ascii="仿宋_GB2312" w:eastAsia="仿宋_GB2312"/>
          <w:sz w:val="32"/>
          <w:szCs w:val="32"/>
        </w:rPr>
        <w:t>各街道办、中英街管理局的主要职责：</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（一）落实属地管理责任制，建立和健全本辖区“群测群防，群专结合”防控体系；</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（二） 组织本辖区地质灾害防治工作，负责辖区地质灾害（隐患）排查巡查、隐患上报工作；</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（三）组织落实本辖区无</w:t>
      </w:r>
      <w:r>
        <w:rPr>
          <w:rFonts w:hint="eastAsia" w:ascii="仿宋_GB2312" w:eastAsia="仿宋_GB2312"/>
          <w:snapToGrid w:val="0"/>
          <w:kern w:val="0"/>
          <w:sz w:val="32"/>
          <w:szCs w:val="32"/>
        </w:rPr>
        <w:t>明确责任单位的</w:t>
      </w:r>
      <w:r>
        <w:rPr>
          <w:rFonts w:hint="eastAsia" w:ascii="仿宋_GB2312" w:eastAsia="仿宋_GB2312"/>
          <w:sz w:val="32"/>
          <w:szCs w:val="32"/>
        </w:rPr>
        <w:t>政府投资地质灾害（隐患）专项治理工程竣工移交后维护管养工作。</w:t>
      </w:r>
    </w:p>
    <w:p>
      <w:pPr>
        <w:adjustRightInd w:val="0"/>
        <w:snapToGrid w:val="0"/>
        <w:spacing w:line="560" w:lineRule="exact"/>
        <w:ind w:firstLine="643"/>
        <w:rPr>
          <w:rFonts w:ascii="仿宋_GB2312" w:eastAsia="仿宋_GB2312"/>
          <w:sz w:val="32"/>
          <w:szCs w:val="32"/>
        </w:rPr>
      </w:pPr>
      <w:r>
        <w:rPr>
          <w:rFonts w:hint="eastAsia" w:ascii="黑体" w:eastAsia="黑体"/>
          <w:sz w:val="32"/>
          <w:szCs w:val="32"/>
        </w:rPr>
        <w:t xml:space="preserve">第八条 </w:t>
      </w:r>
      <w:r>
        <w:rPr>
          <w:rFonts w:hint="eastAsia" w:ascii="仿宋_GB2312" w:eastAsia="仿宋_GB2312"/>
          <w:sz w:val="32"/>
          <w:szCs w:val="32"/>
        </w:rPr>
        <w:t>各职能部门的主要职责：</w:t>
      </w:r>
    </w:p>
    <w:p>
      <w:pPr>
        <w:adjustRightInd w:val="0"/>
        <w:snapToGrid w:val="0"/>
        <w:spacing w:line="560" w:lineRule="exact"/>
        <w:ind w:firstLine="640"/>
        <w:rPr>
          <w:rFonts w:ascii="仿宋_GB2312" w:hAnsi="ˎ̥" w:eastAsia="仿宋_GB2312" w:cs="宋体"/>
          <w:kern w:val="0"/>
          <w:sz w:val="32"/>
          <w:szCs w:val="32"/>
        </w:rPr>
      </w:pPr>
      <w:r>
        <w:rPr>
          <w:rFonts w:hint="eastAsia" w:ascii="仿宋_GB2312" w:hAnsi="ˎ̥" w:eastAsia="仿宋_GB2312" w:cs="宋体"/>
          <w:kern w:val="0"/>
          <w:sz w:val="32"/>
          <w:szCs w:val="32"/>
        </w:rPr>
        <w:t>（一）区应急管理局：</w:t>
      </w:r>
      <w:r>
        <w:rPr>
          <w:rFonts w:hint="eastAsia" w:ascii="仿宋_GB2312" w:eastAsia="仿宋_GB2312"/>
          <w:sz w:val="32"/>
          <w:szCs w:val="32"/>
        </w:rPr>
        <w:t>全面负责区地质灾害防治工作领导小组办公室工作；承担区应急委的相关工作，制定突发性地质灾害应急预案，成立应急抢险队伍；协助区政府领导协调处置需由区政府直接处置的突发事件，配合区地质灾害应急指挥部组织协调多部门及交叉行业做好联动防御和重大险情应急处置工作。</w:t>
      </w:r>
    </w:p>
    <w:p>
      <w:pPr>
        <w:widowControl/>
        <w:adjustRightInd w:val="0"/>
        <w:snapToGrid w:val="0"/>
        <w:spacing w:line="560" w:lineRule="exact"/>
        <w:ind w:firstLine="640" w:firstLineChars="200"/>
        <w:rPr>
          <w:rFonts w:ascii="仿宋_GB2312" w:hAnsi="ˎ̥" w:eastAsia="仿宋_GB2312" w:cs="宋体"/>
          <w:kern w:val="0"/>
          <w:sz w:val="32"/>
          <w:szCs w:val="32"/>
        </w:rPr>
      </w:pPr>
      <w:r>
        <w:rPr>
          <w:rFonts w:hint="eastAsia" w:ascii="仿宋_GB2312" w:hAnsi="ˎ̥" w:eastAsia="仿宋_GB2312" w:cs="宋体"/>
          <w:kern w:val="0"/>
          <w:sz w:val="32"/>
          <w:szCs w:val="32"/>
        </w:rPr>
        <w:t>（二）区发改局：统筹安排落实政府投资的地质灾害（隐患）治理、维护项目年度资金计划。</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（三）区教育局：负责学校、幼儿园等管理职责范围内地质灾害（隐患）点的巡查、日常安全维护。</w:t>
      </w:r>
    </w:p>
    <w:p>
      <w:pPr>
        <w:widowControl/>
        <w:adjustRightInd w:val="0"/>
        <w:snapToGrid w:val="0"/>
        <w:spacing w:line="560" w:lineRule="exact"/>
        <w:ind w:firstLine="640" w:firstLineChars="200"/>
        <w:rPr>
          <w:rFonts w:ascii="仿宋_GB2312" w:hAnsi="ˎ̥" w:eastAsia="仿宋_GB2312" w:cs="宋体"/>
          <w:kern w:val="0"/>
          <w:sz w:val="32"/>
          <w:szCs w:val="32"/>
        </w:rPr>
      </w:pPr>
      <w:r>
        <w:rPr>
          <w:rFonts w:hint="eastAsia" w:ascii="仿宋_GB2312" w:eastAsia="仿宋_GB2312"/>
          <w:sz w:val="32"/>
          <w:szCs w:val="32"/>
        </w:rPr>
        <w:t>（四）</w:t>
      </w:r>
      <w:r>
        <w:rPr>
          <w:rFonts w:hint="eastAsia" w:ascii="仿宋_GB2312" w:hAnsi="ˎ̥" w:eastAsia="仿宋_GB2312" w:cs="宋体"/>
          <w:kern w:val="0"/>
          <w:sz w:val="32"/>
          <w:szCs w:val="32"/>
        </w:rPr>
        <w:t>区财政局：安排落实政府投资的地质灾害（隐患）防治各类资金。</w:t>
      </w:r>
    </w:p>
    <w:p>
      <w:pPr>
        <w:adjustRightInd w:val="0"/>
        <w:snapToGrid w:val="0"/>
        <w:spacing w:line="560" w:lineRule="exact"/>
        <w:ind w:firstLine="640"/>
        <w:rPr>
          <w:rFonts w:ascii="仿宋_GB2312" w:hAnsi="ˎ̥" w:eastAsia="仿宋_GB2312" w:cs="宋体"/>
          <w:kern w:val="0"/>
          <w:sz w:val="32"/>
          <w:szCs w:val="32"/>
        </w:rPr>
      </w:pPr>
      <w:r>
        <w:rPr>
          <w:rFonts w:hint="eastAsia" w:ascii="仿宋_GB2312" w:hAnsi="ˎ̥" w:eastAsia="仿宋_GB2312" w:cs="宋体"/>
          <w:kern w:val="0"/>
          <w:sz w:val="32"/>
          <w:szCs w:val="32"/>
        </w:rPr>
        <w:t>（五）区住房建设局：</w:t>
      </w:r>
      <w:r>
        <w:rPr>
          <w:rFonts w:hint="eastAsia" w:ascii="仿宋_GB2312" w:eastAsia="仿宋_GB2312"/>
          <w:sz w:val="32"/>
          <w:szCs w:val="32"/>
        </w:rPr>
        <w:t>负责核准不涉及交通、水务专业工程的专项治理工程开工，按照工程建设监管程序对不涉及交通、水务专业工程的专项治理工程实施监督管理，</w:t>
      </w:r>
      <w:r>
        <w:rPr>
          <w:rFonts w:hint="eastAsia" w:ascii="仿宋_GB2312" w:hAnsi="ˎ̥" w:eastAsia="仿宋_GB2312" w:cs="宋体"/>
          <w:kern w:val="0"/>
          <w:sz w:val="32"/>
          <w:szCs w:val="32"/>
        </w:rPr>
        <w:t xml:space="preserve">负责本行业领域房屋、市政建设以及附属配套建设工程造成的可能引发地质灾害的建筑边坡的监管工作，负责影响燃气管道等基础设施安全的地质灾害（隐患）管理工作，根据职责督促相关权属责任单位落实治理。负责督促施工单位加强在建危险建筑边坡隐患点的日常巡查。 </w:t>
      </w:r>
    </w:p>
    <w:p>
      <w:pPr>
        <w:adjustRightInd w:val="0"/>
        <w:snapToGrid w:val="0"/>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（六）区水务局：负责按照</w:t>
      </w:r>
      <w:r>
        <w:rPr>
          <w:rFonts w:hint="eastAsia" w:ascii="仿宋_GB2312" w:eastAsia="仿宋_GB2312"/>
          <w:sz w:val="32"/>
          <w:szCs w:val="32"/>
        </w:rPr>
        <w:t>水务专业</w:t>
      </w:r>
      <w:r>
        <w:rPr>
          <w:rFonts w:hint="eastAsia" w:ascii="仿宋_GB2312" w:eastAsia="仿宋_GB2312"/>
          <w:color w:val="000000" w:themeColor="text1"/>
          <w:sz w:val="32"/>
          <w:szCs w:val="32"/>
          <w14:textFill>
            <w14:solidFill>
              <w14:schemeClr w14:val="tx1"/>
            </w14:solidFill>
          </w14:textFill>
        </w:rPr>
        <w:t>工程建设监管程序对水务专项地质灾害（隐患）治理工程实施监督管理，</w:t>
      </w:r>
      <w:r>
        <w:rPr>
          <w:rFonts w:hint="eastAsia" w:ascii="仿宋_GB2312" w:hAnsi="ˎ̥" w:eastAsia="仿宋_GB2312" w:cs="宋体"/>
          <w:color w:val="000000" w:themeColor="text1"/>
          <w:kern w:val="0"/>
          <w:sz w:val="32"/>
          <w:szCs w:val="32"/>
          <w14:textFill>
            <w14:solidFill>
              <w14:schemeClr w14:val="tx1"/>
            </w14:solidFill>
          </w14:textFill>
        </w:rPr>
        <w:t>负责本行业建设工程以及附属配套建设工程造成的可能引发地质灾害的建筑边坡的监管工作，</w:t>
      </w:r>
      <w:r>
        <w:rPr>
          <w:rFonts w:hint="eastAsia" w:ascii="仿宋_GB2312" w:eastAsia="仿宋_GB2312"/>
          <w:color w:val="000000" w:themeColor="text1"/>
          <w:sz w:val="32"/>
          <w:szCs w:val="32"/>
          <w14:textFill>
            <w14:solidFill>
              <w14:schemeClr w14:val="tx1"/>
            </w14:solidFill>
          </w14:textFill>
        </w:rPr>
        <w:t>负责督促水库、河道、截（排）洪沟等管理单位做好职责范围内地质灾害（隐患）点的巡查、日常安全维护管养。</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（七）区城管和综合执法局：</w:t>
      </w:r>
      <w:r>
        <w:rPr>
          <w:rFonts w:hint="eastAsia" w:ascii="仿宋_GB2312" w:hAnsi="ˎ̥" w:eastAsia="仿宋_GB2312" w:cs="宋体"/>
          <w:kern w:val="0"/>
          <w:sz w:val="32"/>
          <w:szCs w:val="32"/>
        </w:rPr>
        <w:t>负责本行业建设工程以及附属配套建设工程造成的可能引发地质灾害的建筑边坡的监管工作，</w:t>
      </w:r>
      <w:r>
        <w:rPr>
          <w:rFonts w:hint="eastAsia" w:ascii="仿宋_GB2312" w:eastAsia="仿宋_GB2312"/>
          <w:sz w:val="32"/>
          <w:szCs w:val="32"/>
        </w:rPr>
        <w:t>负责公园、省立绿道、海滨栈道等管理职责范围内地质灾害（隐患）点的巡查、日常安全维护管养。</w:t>
      </w:r>
    </w:p>
    <w:p>
      <w:pPr>
        <w:widowControl/>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（八）区工务署：负责工程建安费金额小于400万政府投资地质灾害（隐患）专项治理项目的全过程实施和400万以上的施工工作，按年度计划完成治理。</w:t>
      </w:r>
    </w:p>
    <w:p>
      <w:pPr>
        <w:widowControl/>
        <w:adjustRightInd w:val="0"/>
        <w:snapToGrid w:val="0"/>
        <w:spacing w:line="560" w:lineRule="exact"/>
        <w:ind w:firstLine="640" w:firstLineChars="200"/>
        <w:rPr>
          <w:rFonts w:ascii="仿宋_GB2312" w:hAnsi="ˎ̥" w:eastAsia="仿宋_GB2312" w:cs="宋体"/>
          <w:kern w:val="0"/>
          <w:sz w:val="32"/>
          <w:szCs w:val="32"/>
        </w:rPr>
      </w:pPr>
      <w:r>
        <w:rPr>
          <w:rFonts w:hint="eastAsia" w:ascii="仿宋_GB2312" w:eastAsia="仿宋_GB2312"/>
          <w:sz w:val="32"/>
          <w:szCs w:val="32"/>
        </w:rPr>
        <w:t>（九）</w:t>
      </w:r>
      <w:r>
        <w:rPr>
          <w:rFonts w:hint="eastAsia" w:ascii="仿宋_GB2312" w:hAnsi="ˎ̥" w:eastAsia="仿宋_GB2312" w:cs="宋体"/>
          <w:kern w:val="0"/>
          <w:sz w:val="32"/>
          <w:szCs w:val="32"/>
        </w:rPr>
        <w:t>区前期办：</w:t>
      </w:r>
      <w:r>
        <w:rPr>
          <w:rFonts w:hint="eastAsia" w:ascii="仿宋_GB2312" w:eastAsia="仿宋_GB2312"/>
          <w:sz w:val="32"/>
          <w:szCs w:val="32"/>
        </w:rPr>
        <w:t>负责工程建安费金额大于400万政府投资地质灾害（隐患）治理项目的前期工作。</w:t>
      </w:r>
    </w:p>
    <w:p>
      <w:pPr>
        <w:adjustRightInd w:val="0"/>
        <w:snapToGrid w:val="0"/>
        <w:spacing w:line="560" w:lineRule="exact"/>
        <w:ind w:firstLine="64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十）盐田规划和自然资源局：负责地质灾害（隐患）防治的组织、协调、指导和监督工作，负责对全区地质灾害（隐患）及其等级、防治责任进行调查、认定，并及时向区领导小组反馈，负责全区林地区域地质灾害（隐患）防治工作。</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十一）盐田交通运输局：负责按照工程建设监管程序对交通专项地质灾害（隐患）治理工程实施监督管理，负责本行业建设工程以及附属配套建设工程造成的可能引发地质灾害的建筑边坡的监管工作，负责盐田区交通道路等管理职责范围内地质灾害（隐患）点的巡查、日常安全维护管养。</w:t>
      </w:r>
    </w:p>
    <w:p>
      <w:pPr>
        <w:adjustRightInd w:val="0"/>
        <w:snapToGrid w:val="0"/>
        <w:spacing w:line="560" w:lineRule="exact"/>
        <w:ind w:firstLine="640"/>
        <w:rPr>
          <w:rFonts w:ascii="仿宋_GB2312" w:eastAsia="仿宋_GB2312"/>
          <w:sz w:val="32"/>
          <w:szCs w:val="32"/>
        </w:rPr>
      </w:pPr>
      <w:r>
        <w:rPr>
          <w:rFonts w:hint="eastAsia" w:ascii="仿宋_GB2312" w:eastAsia="仿宋_GB2312"/>
          <w:sz w:val="32"/>
          <w:szCs w:val="32"/>
        </w:rPr>
        <w:t>（十二）盐田港集团公司、深圳东部华侨城有限公司等建设开发单位做好本单位用地范围或管辖范围内的地质灾害（隐患）防治工作。</w:t>
      </w:r>
    </w:p>
    <w:p>
      <w:pPr>
        <w:widowControl/>
        <w:tabs>
          <w:tab w:val="left" w:pos="4500"/>
        </w:tabs>
        <w:adjustRightInd w:val="0"/>
        <w:snapToGrid w:val="0"/>
        <w:spacing w:before="312" w:beforeLines="100" w:after="312" w:afterLines="100" w:line="560" w:lineRule="exact"/>
        <w:jc w:val="center"/>
        <w:rPr>
          <w:rFonts w:ascii="黑体" w:hAnsi="宋体" w:eastAsia="黑体"/>
          <w:bCs/>
          <w:sz w:val="32"/>
          <w:szCs w:val="32"/>
        </w:rPr>
      </w:pPr>
      <w:r>
        <w:rPr>
          <w:rFonts w:hint="eastAsia" w:ascii="黑体" w:hAnsi="宋体" w:eastAsia="黑体"/>
          <w:bCs/>
          <w:sz w:val="32"/>
          <w:szCs w:val="32"/>
        </w:rPr>
        <w:t>第三章  地质灾害防治方案和预防</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第九条</w:t>
      </w:r>
      <w:r>
        <w:rPr>
          <w:rFonts w:hint="eastAsia" w:ascii="仿宋_GB2312" w:eastAsia="仿宋_GB2312"/>
          <w:sz w:val="32"/>
          <w:szCs w:val="32"/>
        </w:rPr>
        <w:t xml:space="preserve"> 区领导小组办公室根据上一年度工作情况、市级年度地质灾害防治工作方案和各职能部门下一年度拟实施的地质灾害（隐患）治理项目情况，组织编制我区地质灾害防治工作年度方案。区年度地质灾害防治方案应在汛期前完成，经区领导小组批准后实施。</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第十条 </w:t>
      </w:r>
      <w:r>
        <w:rPr>
          <w:rFonts w:hint="eastAsia" w:ascii="仿宋_GB2312" w:eastAsia="仿宋_GB2312"/>
          <w:sz w:val="32"/>
          <w:szCs w:val="32"/>
        </w:rPr>
        <w:t>区年度地质灾害防治工作方案应当明确地质灾害易发区范围、防护级别和要求。</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人口集中居住区、风景名胜区、大中型企业、学校、医院所在地和交通干线、通信设施、重点水利电力工程、燃气管道等基础设施应当作为地质灾害防治规划重点防治区中的防护重点。</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 xml:space="preserve">第十一条 </w:t>
      </w:r>
      <w:r>
        <w:rPr>
          <w:rFonts w:hint="eastAsia" w:ascii="仿宋_GB2312" w:eastAsia="仿宋_GB2312"/>
          <w:sz w:val="32"/>
          <w:szCs w:val="32"/>
        </w:rPr>
        <w:t>区领导小组办公室根据地质灾害防治年度方案和地质灾害防治工作需要，确定地质灾害（隐患）监测点，建立监测网络，按照国家有关规定对地质灾害(隐患）进行动态监测。</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因工程建设、爆破等人为活动可能引发地质灾害（隐患）的，工程建设单位、产权人或者其他行为人是地质灾害（隐患）监测、预防责任人，负责可能受此活动影响的地质灾害（隐患）或危险对象监测、预防。建设、城管、交通、水务等行政主管部门按照各自职责分工负责指导、检查和监督。</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第十二条 </w:t>
      </w:r>
      <w:r>
        <w:rPr>
          <w:rFonts w:hint="eastAsia" w:ascii="仿宋_GB2312" w:eastAsia="仿宋_GB2312"/>
          <w:sz w:val="32"/>
          <w:szCs w:val="32"/>
        </w:rPr>
        <w:t>各街道办事处、中英街管理局应当加强地质灾害（隐患）群测群防工作的组织领导和工作体系建设，根据区年度地质灾害防治工作方案，制作地质灾害（隐患）台账和巡查登记册，协助各责任单位做好防灾明白卡和避险卡发放工作。做好巡查、维护工作，发现地质灾害险情、灾情时，要先行组织受威胁群众躲避险情，再按地质灾害应急预案处置险情、灾情。</w:t>
      </w:r>
    </w:p>
    <w:p>
      <w:pPr>
        <w:adjustRightInd w:val="0"/>
        <w:snapToGrid w:val="0"/>
        <w:spacing w:line="560" w:lineRule="exact"/>
        <w:ind w:firstLine="600"/>
        <w:rPr>
          <w:rFonts w:ascii="仿宋_GB2312" w:eastAsia="仿宋_GB2312"/>
          <w:color w:val="FF0000"/>
          <w:sz w:val="32"/>
          <w:szCs w:val="32"/>
        </w:rPr>
      </w:pPr>
      <w:r>
        <w:rPr>
          <w:rFonts w:hint="eastAsia" w:ascii="黑体" w:eastAsia="黑体"/>
          <w:sz w:val="32"/>
          <w:szCs w:val="32"/>
        </w:rPr>
        <w:t>第十三条</w:t>
      </w:r>
      <w:r>
        <w:rPr>
          <w:rFonts w:hint="eastAsia" w:ascii="黑体" w:eastAsia="黑体"/>
          <w:color w:val="FF0000"/>
          <w:sz w:val="32"/>
          <w:szCs w:val="32"/>
        </w:rPr>
        <w:t xml:space="preserve"> </w:t>
      </w:r>
      <w:r>
        <w:rPr>
          <w:rFonts w:hint="eastAsia" w:ascii="仿宋_GB2312" w:eastAsia="仿宋_GB2312"/>
          <w:sz w:val="32"/>
          <w:szCs w:val="32"/>
        </w:rPr>
        <w:t>各街道办应当根据地质灾害防治规划和年度地质灾害防治方案确定的主要地质灾害（隐患）的分布情况，设定本辖区内的主要地质灾害（隐患）的边界警示。</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对已建成工程或者新建工程可能形成地质灾害（隐患）或者发生地质灾害的情形，建设单位、产权人或者其他行为人应当设置警示标志并明示防护或治理措施。</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对已建成的地质灾害（隐患）防治配套工程，建设单位、产权人或实际所有人等相关责任人应当定期检查维护，保证各项设施安全可靠。</w:t>
      </w:r>
    </w:p>
    <w:p>
      <w:pPr>
        <w:adjustRightInd w:val="0"/>
        <w:snapToGrid w:val="0"/>
        <w:spacing w:line="560" w:lineRule="exact"/>
        <w:ind w:firstLine="600"/>
        <w:rPr>
          <w:rFonts w:ascii="仿宋_GB2312" w:eastAsia="仿宋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 xml:space="preserve">第十四条 </w:t>
      </w:r>
      <w:r>
        <w:rPr>
          <w:rFonts w:hint="eastAsia" w:ascii="仿宋_GB2312" w:eastAsia="仿宋_GB2312"/>
          <w:color w:val="000000" w:themeColor="text1"/>
          <w:sz w:val="32"/>
          <w:szCs w:val="32"/>
          <w14:textFill>
            <w14:solidFill>
              <w14:schemeClr w14:val="tx1"/>
            </w14:solidFill>
          </w14:textFill>
        </w:rPr>
        <w:t>地质灾害易发区内的建设工程项目，或者在地质灾害（隐患）威胁范围内进行建设并可能形成重大、特大地质灾害（隐患）的建设工程项目，申请以划拨或者协议出让方式取得国有土地使用权的，项目申请人应当在可行性研究阶段同步进行地质灾害危险性评估，并将评估作为可行性研究报告的组成部分。可行性研究报告未包含地质灾害危险性评估的，区发展改革部门不得批准其可行性研究报告。</w:t>
      </w:r>
    </w:p>
    <w:p>
      <w:pPr>
        <w:adjustRightInd w:val="0"/>
        <w:snapToGrid w:val="0"/>
        <w:spacing w:line="560" w:lineRule="exact"/>
        <w:ind w:firstLine="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招标拍卖挂牌方式出让地质灾害易发区内国有土地使用权，或者出让在地质灾害（隐患）威胁范围内国有土地使用权并可能形成重大、特大地质灾害(隐患)的，区规划和自然资源部门在建设项目规划选址和土地预审阶段应当进行地质灾害危险性评估。</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第十五条 </w:t>
      </w:r>
      <w:r>
        <w:rPr>
          <w:rFonts w:hint="eastAsia" w:ascii="仿宋_GB2312" w:eastAsia="仿宋_GB2312"/>
          <w:sz w:val="32"/>
          <w:szCs w:val="32"/>
        </w:rPr>
        <w:t>建设项目的配套防治工程应当与主体工程同步设计、施工、验收和交付使用，建设、交通、水务、规划国土等部门按照各自职责分工负责监督。</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主体工程与配套防治工程同时验收合格后，各职能部门要督促建设单位、产权人或实际所有人必须负责配套防治工程日常维护工作，定期巡查，发现问题及时处理，报告辖区街道办或中英街管理局并上报区领导小组办公室。</w:t>
      </w:r>
    </w:p>
    <w:p>
      <w:pPr>
        <w:adjustRightInd w:val="0"/>
        <w:snapToGrid w:val="0"/>
        <w:spacing w:line="560" w:lineRule="exact"/>
        <w:ind w:firstLine="600"/>
        <w:rPr>
          <w:rFonts w:ascii="黑体" w:eastAsia="黑体"/>
          <w:sz w:val="32"/>
          <w:szCs w:val="32"/>
        </w:rPr>
      </w:pPr>
      <w:r>
        <w:rPr>
          <w:rFonts w:hint="eastAsia" w:ascii="黑体" w:eastAsia="黑体"/>
          <w:sz w:val="32"/>
          <w:szCs w:val="32"/>
        </w:rPr>
        <w:t xml:space="preserve">第十六条 </w:t>
      </w:r>
      <w:r>
        <w:rPr>
          <w:rFonts w:hint="eastAsia" w:ascii="仿宋_GB2312" w:eastAsia="仿宋_GB2312"/>
          <w:sz w:val="32"/>
          <w:szCs w:val="32"/>
        </w:rPr>
        <w:t>各单位应根据地质灾害防治工作方案要求，组织人员开展地质灾害防治知识宣传和培训。</w:t>
      </w:r>
    </w:p>
    <w:p>
      <w:pPr>
        <w:widowControl/>
        <w:tabs>
          <w:tab w:val="left" w:pos="4500"/>
        </w:tabs>
        <w:adjustRightInd w:val="0"/>
        <w:snapToGrid w:val="0"/>
        <w:spacing w:before="312" w:beforeLines="100" w:after="312" w:afterLines="100" w:line="560" w:lineRule="exact"/>
        <w:jc w:val="center"/>
        <w:rPr>
          <w:rFonts w:ascii="黑体" w:hAnsi="宋体" w:eastAsia="黑体"/>
          <w:bCs/>
          <w:sz w:val="32"/>
          <w:szCs w:val="32"/>
        </w:rPr>
      </w:pPr>
      <w:r>
        <w:rPr>
          <w:rFonts w:hint="eastAsia" w:ascii="黑体" w:hAnsi="宋体" w:eastAsia="黑体"/>
          <w:bCs/>
          <w:sz w:val="32"/>
          <w:szCs w:val="32"/>
        </w:rPr>
        <w:t>第四章  地质灾害专项治理和维护</w:t>
      </w:r>
    </w:p>
    <w:p>
      <w:pPr>
        <w:adjustRightInd w:val="0"/>
        <w:snapToGrid w:val="0"/>
        <w:spacing w:line="560" w:lineRule="exact"/>
        <w:ind w:firstLine="640" w:firstLineChars="200"/>
        <w:rPr>
          <w:rFonts w:ascii="仿宋_GB2312" w:eastAsia="仿宋_GB2312"/>
          <w:sz w:val="32"/>
          <w:szCs w:val="32"/>
        </w:rPr>
      </w:pPr>
      <w:r>
        <w:rPr>
          <w:rFonts w:hint="eastAsia" w:ascii="黑体" w:eastAsia="黑体"/>
          <w:sz w:val="32"/>
          <w:szCs w:val="32"/>
        </w:rPr>
        <w:t xml:space="preserve">第十七条 </w:t>
      </w:r>
      <w:r>
        <w:rPr>
          <w:rFonts w:hint="eastAsia" w:ascii="仿宋_GB2312" w:eastAsia="仿宋_GB2312"/>
          <w:sz w:val="32"/>
          <w:szCs w:val="32"/>
        </w:rPr>
        <w:t>区领导小组办公室根据各单位上报地质灾害（隐患）情况，须组织专业资质单位对较大危险性或危害性的地质灾害（隐患）进行地质灾害危险性评估，根据评估结果确定政府投资地质灾害（隐患）治理项目计划，评估报告作为申请政府投资立项的组成部分。</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第十八条</w:t>
      </w:r>
      <w:r>
        <w:rPr>
          <w:rFonts w:hint="eastAsia" w:ascii="仿宋_GB2312" w:eastAsia="仿宋_GB2312"/>
          <w:sz w:val="32"/>
          <w:szCs w:val="32"/>
        </w:rPr>
        <w:t xml:space="preserve"> 各单位根据年度地质灾害防治工作要求，开展地质灾害（隐患）专项治理和维护工作。区政府投资地质灾害（隐患）专项治理按照以下流程进行申报：</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（一）各单位已有治理计划的，在政府投资项目计划编制时各单位直接向区发改部门申报，列入政府投资草案。</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二）各单位没有明确治理计划的，由区领导小组办公室组织汛后排查，列出隐患点一览表，经地质灾害危险性评估后，确定下一年地质灾害（隐患）专项治理工程，列入下年度地质灾害防治工作方案，各治理责任单位根据年度地质灾害防治工作方案单独向区发改部门申请立项。</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第十九条 </w:t>
      </w:r>
      <w:r>
        <w:rPr>
          <w:rFonts w:hint="eastAsia" w:ascii="仿宋_GB2312" w:eastAsia="仿宋_GB2312"/>
          <w:sz w:val="32"/>
          <w:szCs w:val="32"/>
        </w:rPr>
        <w:t>地质灾害（隐患）治理和维护责任的承担按照下列规定处理：</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（一）因自然因素引发的地质灾害（隐患），由政府承担治理及维护责任。</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二）因工程建设等人为活动引发的地质灾害（隐患），按照“产权归属与预防责任统一”的原则，由工程建设单位、产权人或者其他行为人承担地质灾害（隐患）的预防费用，按照“谁引发、谁治理”的原则，由引发的责任单位承担应急抢险、治理和工程维护费用。</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（三）新建、改建、扩建建设工程的建设单位承担配套地质灾害（隐患）防治工程的建设费用；新建、改建、扩建建设工程交付使用后由建设单位、产权人或者实际使用人承担配套防治工程的维护费用。</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根据本办法第二十三条有关规定，责任单位由区政府或街道办事处、中英街管理局代为承担地质灾害（隐患）防治费用的，有权依法追偿。</w:t>
      </w:r>
    </w:p>
    <w:p>
      <w:pPr>
        <w:adjustRightInd w:val="0"/>
        <w:snapToGrid w:val="0"/>
        <w:spacing w:line="560" w:lineRule="exact"/>
        <w:ind w:firstLine="600"/>
        <w:rPr>
          <w:rFonts w:ascii="仿宋_GB2312" w:eastAsia="仿宋_GB2312"/>
          <w:color w:val="FF0000"/>
          <w:sz w:val="32"/>
          <w:szCs w:val="32"/>
        </w:rPr>
      </w:pPr>
      <w:r>
        <w:rPr>
          <w:rFonts w:hint="eastAsia" w:ascii="黑体" w:eastAsia="黑体"/>
          <w:sz w:val="32"/>
          <w:szCs w:val="32"/>
        </w:rPr>
        <w:t xml:space="preserve">第二十条 </w:t>
      </w:r>
      <w:r>
        <w:rPr>
          <w:rFonts w:hint="eastAsia" w:ascii="仿宋_GB2312" w:eastAsia="仿宋_GB2312"/>
          <w:sz w:val="32"/>
          <w:szCs w:val="32"/>
        </w:rPr>
        <w:t>政府投资地质灾害（隐患）专项治理工程主要涉及公共安全，为加快专项治理工程建设，原则上由区工务署和区前期办负责实施。</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第二十一条 </w:t>
      </w:r>
      <w:r>
        <w:rPr>
          <w:rFonts w:hint="eastAsia" w:ascii="仿宋_GB2312" w:eastAsia="仿宋_GB2312"/>
          <w:sz w:val="32"/>
          <w:szCs w:val="32"/>
        </w:rPr>
        <w:t>因非政府工程建设等人为活动引发的地质灾害（隐患），由引发地质灾害（隐患）的工程建设单位、产权人或者其他行为人作为治理和维护的责任单位承担责任。存在多个治理和维护责任单位的，按照各自相应的责任分别承担；无法区分各自责任的，由相关治理和维护责任单位共同承担。</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第二十二条 </w:t>
      </w:r>
      <w:r>
        <w:rPr>
          <w:rFonts w:hint="eastAsia" w:ascii="仿宋_GB2312" w:eastAsia="仿宋_GB2312"/>
          <w:sz w:val="32"/>
          <w:szCs w:val="32"/>
        </w:rPr>
        <w:t>因政府工程建设形成的地质灾害（隐患），由区政府按照政府投资项目管理有关法律法规进行治理和维护。</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第二十三条 </w:t>
      </w:r>
      <w:r>
        <w:rPr>
          <w:rFonts w:hint="eastAsia" w:ascii="仿宋_GB2312" w:eastAsia="仿宋_GB2312"/>
          <w:sz w:val="32"/>
          <w:szCs w:val="32"/>
        </w:rPr>
        <w:t>属于以下情形之一的地质灾害（隐患），由区政府组织治理，由所在街道办、中英街管理局负责维护：</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（一）责任单位已被吊销、注销且无权利义务承受人的；</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（二）责任单位为自然人，该自然人已死亡，无遗产且无其他权利义务承受人的；</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（三）责任单位下落不明的；</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（四）责任单位无财产，也无经济收入来源，而确无能力治理的；</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（五）其他责任单位无法落实的情形。</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组织治理和维护后，区政府、街道办及中英街管理局有权依法向治理和维护责任单位追偿相关费用。不属于上述几款情形的，产权人或实际使用人负责治理和维护。</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第二十四条 </w:t>
      </w:r>
      <w:r>
        <w:rPr>
          <w:rFonts w:hint="eastAsia" w:ascii="仿宋_GB2312" w:eastAsia="仿宋_GB2312"/>
          <w:sz w:val="32"/>
          <w:szCs w:val="32"/>
        </w:rPr>
        <w:t>政府投资治理的地质灾害（隐患）项目，应在竣工备案后90天内移交给相关责任单位并报所属街道办或中英街管理局纳入监管，由相关责任单位负责日常维护。移交原则如下：</w:t>
      </w:r>
    </w:p>
    <w:p>
      <w:pPr>
        <w:adjustRightInd w:val="0"/>
        <w:snapToGrid w:val="0"/>
        <w:spacing w:line="560" w:lineRule="exact"/>
        <w:ind w:firstLine="600"/>
        <w:rPr>
          <w:rFonts w:ascii="仿宋_GB2312" w:eastAsia="仿宋_GB2312"/>
          <w:snapToGrid w:val="0"/>
          <w:kern w:val="0"/>
          <w:sz w:val="32"/>
          <w:szCs w:val="32"/>
        </w:rPr>
      </w:pPr>
      <w:r>
        <w:rPr>
          <w:rFonts w:hint="eastAsia" w:ascii="仿宋_GB2312" w:eastAsia="仿宋_GB2312"/>
          <w:sz w:val="32"/>
          <w:szCs w:val="32"/>
        </w:rPr>
        <w:t>（一）</w:t>
      </w:r>
      <w:r>
        <w:rPr>
          <w:rFonts w:hint="eastAsia" w:ascii="仿宋_GB2312" w:eastAsia="仿宋_GB2312"/>
          <w:snapToGrid w:val="0"/>
          <w:kern w:val="0"/>
          <w:sz w:val="32"/>
          <w:szCs w:val="32"/>
        </w:rPr>
        <w:t>在已治理地质灾害（隐患）项目用地范围内有明确责任单位的，由该责任单位负责接收，</w:t>
      </w:r>
      <w:r>
        <w:rPr>
          <w:rFonts w:hint="eastAsia" w:ascii="仿宋_GB2312" w:eastAsia="仿宋_GB2312"/>
          <w:sz w:val="32"/>
          <w:szCs w:val="32"/>
        </w:rPr>
        <w:t>并向所属街道办或中英街管理局报备。</w:t>
      </w:r>
    </w:p>
    <w:p>
      <w:pPr>
        <w:adjustRightInd w:val="0"/>
        <w:snapToGrid w:val="0"/>
        <w:spacing w:line="560" w:lineRule="exact"/>
        <w:ind w:firstLine="600"/>
        <w:rPr>
          <w:rFonts w:ascii="仿宋_GB2312" w:eastAsia="仿宋_GB2312"/>
          <w:sz w:val="32"/>
          <w:szCs w:val="32"/>
        </w:rPr>
      </w:pPr>
      <w:r>
        <w:rPr>
          <w:rFonts w:hint="eastAsia" w:ascii="仿宋_GB2312" w:eastAsia="仿宋_GB2312"/>
          <w:snapToGrid w:val="0"/>
          <w:kern w:val="0"/>
          <w:sz w:val="32"/>
          <w:szCs w:val="32"/>
        </w:rPr>
        <w:t>（二）在已治理地质灾害（隐患）项目用地范围内没有明确责任单位的，按属地管理原则由项目所在街道办</w:t>
      </w:r>
      <w:r>
        <w:rPr>
          <w:rFonts w:hint="eastAsia" w:ascii="仿宋_GB2312" w:eastAsia="仿宋_GB2312"/>
          <w:sz w:val="32"/>
          <w:szCs w:val="32"/>
        </w:rPr>
        <w:t>或中英街管理局负责接收。</w:t>
      </w:r>
    </w:p>
    <w:p>
      <w:pPr>
        <w:adjustRightInd w:val="0"/>
        <w:snapToGrid w:val="0"/>
        <w:spacing w:line="560" w:lineRule="exact"/>
        <w:ind w:firstLine="640" w:firstLineChars="200"/>
        <w:rPr>
          <w:rFonts w:ascii="仿宋_GB2312" w:eastAsia="仿宋_GB2312"/>
          <w:snapToGrid w:val="0"/>
          <w:kern w:val="0"/>
          <w:sz w:val="32"/>
          <w:szCs w:val="32"/>
        </w:rPr>
      </w:pPr>
      <w:r>
        <w:rPr>
          <w:rFonts w:hint="eastAsia" w:ascii="黑体" w:eastAsia="黑体"/>
          <w:sz w:val="32"/>
          <w:szCs w:val="32"/>
        </w:rPr>
        <w:t xml:space="preserve">第二十五条 </w:t>
      </w:r>
      <w:r>
        <w:rPr>
          <w:rFonts w:hint="eastAsia" w:ascii="仿宋_GB2312" w:eastAsia="仿宋_GB2312"/>
          <w:sz w:val="32"/>
          <w:szCs w:val="32"/>
        </w:rPr>
        <w:t>政府投资治理地质灾害（隐患）项目移交</w:t>
      </w:r>
      <w:r>
        <w:rPr>
          <w:rFonts w:hint="eastAsia" w:ascii="仿宋_GB2312" w:eastAsia="仿宋_GB2312"/>
          <w:snapToGrid w:val="0"/>
          <w:kern w:val="0"/>
          <w:sz w:val="32"/>
          <w:szCs w:val="32"/>
        </w:rPr>
        <w:t>资料必须包括但不限于竣工验收报告和竣工图。</w:t>
      </w:r>
    </w:p>
    <w:p>
      <w:pPr>
        <w:adjustRightInd w:val="0"/>
        <w:snapToGrid w:val="0"/>
        <w:spacing w:line="560" w:lineRule="exact"/>
        <w:ind w:firstLine="600"/>
        <w:rPr>
          <w:rFonts w:ascii="仿宋_GB2312" w:eastAsia="仿宋_GB2312"/>
          <w:sz w:val="32"/>
          <w:szCs w:val="32"/>
        </w:rPr>
      </w:pPr>
      <w:r>
        <w:rPr>
          <w:rFonts w:hint="eastAsia" w:ascii="仿宋_GB2312" w:eastAsia="仿宋_GB2312"/>
          <w:sz w:val="32"/>
          <w:szCs w:val="32"/>
        </w:rPr>
        <w:t>政府投资治理地质灾害（隐患）项目完成移交后，接收单位应做好日常维护管养工作，确保已治理项目发挥作用。</w:t>
      </w:r>
    </w:p>
    <w:p>
      <w:pPr>
        <w:widowControl/>
        <w:tabs>
          <w:tab w:val="left" w:pos="4500"/>
        </w:tabs>
        <w:adjustRightInd w:val="0"/>
        <w:snapToGrid w:val="0"/>
        <w:spacing w:before="312" w:beforeLines="100" w:after="312" w:afterLines="100" w:line="560" w:lineRule="exact"/>
        <w:jc w:val="center"/>
        <w:rPr>
          <w:rFonts w:ascii="黑体" w:hAnsi="宋体" w:eastAsia="黑体"/>
          <w:bCs/>
          <w:sz w:val="32"/>
          <w:szCs w:val="32"/>
        </w:rPr>
      </w:pPr>
      <w:r>
        <w:rPr>
          <w:rFonts w:hint="eastAsia" w:ascii="黑体" w:hAnsi="宋体" w:eastAsia="黑体"/>
          <w:bCs/>
          <w:sz w:val="32"/>
          <w:szCs w:val="32"/>
        </w:rPr>
        <w:t>第五章  地质灾害应急管理</w:t>
      </w:r>
    </w:p>
    <w:p>
      <w:pPr>
        <w:adjustRightInd w:val="0"/>
        <w:snapToGrid w:val="0"/>
        <w:spacing w:line="560" w:lineRule="exact"/>
        <w:ind w:firstLine="600"/>
        <w:rPr>
          <w:rFonts w:ascii="仿宋_GB2312" w:eastAsia="仿宋_GB2312"/>
          <w:color w:val="FF0000"/>
          <w:sz w:val="32"/>
          <w:szCs w:val="32"/>
        </w:rPr>
      </w:pPr>
      <w:r>
        <w:rPr>
          <w:rFonts w:hint="eastAsia" w:ascii="黑体" w:eastAsia="黑体"/>
          <w:sz w:val="32"/>
          <w:szCs w:val="32"/>
        </w:rPr>
        <w:t xml:space="preserve">第二十六条 </w:t>
      </w:r>
      <w:r>
        <w:rPr>
          <w:rFonts w:hint="eastAsia" w:ascii="仿宋_GB2312" w:eastAsia="仿宋_GB2312"/>
          <w:sz w:val="32"/>
          <w:szCs w:val="32"/>
        </w:rPr>
        <w:t>区领导小组办公室应当会同区相关职能部门制订区级突发性地质灾害应急预案，并组织实施。</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第二十七条 </w:t>
      </w:r>
      <w:r>
        <w:rPr>
          <w:rFonts w:hint="eastAsia" w:ascii="仿宋_GB2312" w:eastAsia="仿宋_GB2312"/>
          <w:sz w:val="32"/>
          <w:szCs w:val="32"/>
        </w:rPr>
        <w:t>各街道办事处、中英街管理局和各职能部门应当根据区级突发性地质灾害应急预案，完善应急机制，开展应急演练，并建立地质灾害应急物资储备制度，提高物资保障能力。</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第二十八条 </w:t>
      </w:r>
      <w:r>
        <w:rPr>
          <w:rFonts w:hint="eastAsia" w:ascii="仿宋_GB2312" w:eastAsia="仿宋_GB2312"/>
          <w:sz w:val="32"/>
          <w:szCs w:val="32"/>
        </w:rPr>
        <w:t>小型等级突发性地质灾害由区领导小组根据盐田规划和自然资源局</w:t>
      </w:r>
      <w:r>
        <w:rPr>
          <w:rFonts w:hint="eastAsia" w:ascii="仿宋_GB2312" w:hAnsi="宋体" w:eastAsia="仿宋_GB2312" w:cs="宋体"/>
          <w:sz w:val="32"/>
          <w:szCs w:val="32"/>
        </w:rPr>
        <w:t>研判和认定对外发布</w:t>
      </w:r>
      <w:r>
        <w:rPr>
          <w:rFonts w:hint="eastAsia" w:ascii="仿宋_GB2312" w:eastAsia="仿宋_GB2312"/>
          <w:sz w:val="32"/>
          <w:szCs w:val="32"/>
        </w:rPr>
        <w:t>；应急处置由区领导小组办公室组织实施；抢险工程原则上由区工务署实施。</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第二十九条 </w:t>
      </w:r>
      <w:r>
        <w:rPr>
          <w:rFonts w:hint="eastAsia" w:ascii="仿宋_GB2312" w:eastAsia="仿宋_GB2312"/>
          <w:sz w:val="32"/>
          <w:szCs w:val="32"/>
        </w:rPr>
        <w:t>突发性地质灾害应急处置费用由应急处置单位按区政府应急资金管理办法执行。抢险工程经费按政府投资有关政策法规执行。如地质灾害由人为因素引发，应急抢险处置结束后，根据责任认定，应急处置单位有权依法向责任人追偿。</w:t>
      </w:r>
    </w:p>
    <w:p>
      <w:pPr>
        <w:widowControl/>
        <w:tabs>
          <w:tab w:val="left" w:pos="4500"/>
        </w:tabs>
        <w:adjustRightInd w:val="0"/>
        <w:snapToGrid w:val="0"/>
        <w:spacing w:before="312" w:beforeLines="100" w:after="312" w:afterLines="100" w:line="560" w:lineRule="exact"/>
        <w:jc w:val="center"/>
        <w:rPr>
          <w:rFonts w:ascii="黑体" w:hAnsi="宋体" w:eastAsia="黑体"/>
          <w:bCs/>
          <w:sz w:val="32"/>
          <w:szCs w:val="32"/>
        </w:rPr>
      </w:pPr>
      <w:r>
        <w:rPr>
          <w:rFonts w:hint="eastAsia" w:ascii="黑体" w:hAnsi="宋体" w:eastAsia="黑体"/>
          <w:bCs/>
          <w:sz w:val="32"/>
          <w:szCs w:val="32"/>
        </w:rPr>
        <w:t>第六章  附则</w:t>
      </w:r>
    </w:p>
    <w:p>
      <w:pPr>
        <w:adjustRightInd w:val="0"/>
        <w:snapToGrid w:val="0"/>
        <w:spacing w:line="560" w:lineRule="exact"/>
        <w:ind w:firstLine="600"/>
        <w:rPr>
          <w:rFonts w:ascii="仿宋_GB2312" w:eastAsia="仿宋_GB2312"/>
          <w:sz w:val="32"/>
          <w:szCs w:val="32"/>
        </w:rPr>
      </w:pPr>
      <w:r>
        <w:rPr>
          <w:rFonts w:hint="eastAsia" w:ascii="黑体" w:eastAsia="黑体"/>
          <w:sz w:val="32"/>
          <w:szCs w:val="32"/>
        </w:rPr>
        <w:t xml:space="preserve">第三十条 </w:t>
      </w:r>
      <w:r>
        <w:rPr>
          <w:rFonts w:hint="eastAsia" w:ascii="仿宋_GB2312" w:eastAsia="仿宋_GB2312"/>
          <w:sz w:val="32"/>
          <w:szCs w:val="32"/>
        </w:rPr>
        <w:t>本办法由区政府授权区应急管理局负责解释。</w:t>
      </w:r>
    </w:p>
    <w:p>
      <w:pPr>
        <w:adjustRightInd w:val="0"/>
        <w:snapToGrid w:val="0"/>
        <w:spacing w:line="560" w:lineRule="exact"/>
        <w:ind w:firstLine="600"/>
        <w:rPr>
          <w:rFonts w:eastAsia="黑体"/>
          <w:spacing w:val="20"/>
          <w:sz w:val="32"/>
        </w:rPr>
      </w:pPr>
      <w:r>
        <w:rPr>
          <w:rFonts w:hint="eastAsia" w:ascii="黑体" w:eastAsia="黑体"/>
          <w:sz w:val="32"/>
          <w:szCs w:val="32"/>
        </w:rPr>
        <w:t xml:space="preserve">第三十一条 </w:t>
      </w:r>
      <w:r>
        <w:rPr>
          <w:rFonts w:hint="eastAsia" w:ascii="仿宋_GB2312" w:hAnsi="宋体" w:eastAsia="仿宋_GB2312"/>
          <w:sz w:val="32"/>
          <w:szCs w:val="32"/>
        </w:rPr>
        <w:t>本办法</w:t>
      </w:r>
      <w:r>
        <w:rPr>
          <w:rFonts w:hint="eastAsia" w:ascii="仿宋_GB2312" w:eastAsia="仿宋_GB2312"/>
          <w:sz w:val="32"/>
          <w:szCs w:val="32"/>
        </w:rPr>
        <w:t>自XXXX年XX月XX日起实行，有效期3年</w:t>
      </w:r>
      <w:r>
        <w:rPr>
          <w:rFonts w:hint="eastAsia" w:ascii="仿宋_GB2312" w:hAnsi="宋体" w:eastAsia="仿宋_GB2312"/>
          <w:sz w:val="32"/>
          <w:szCs w:val="32"/>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106957"/>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192"/>
    <w:rsid w:val="000033C5"/>
    <w:rsid w:val="00004001"/>
    <w:rsid w:val="00006175"/>
    <w:rsid w:val="00007CAF"/>
    <w:rsid w:val="0001283B"/>
    <w:rsid w:val="000210D4"/>
    <w:rsid w:val="000232E4"/>
    <w:rsid w:val="000322C0"/>
    <w:rsid w:val="00033D00"/>
    <w:rsid w:val="00033F7C"/>
    <w:rsid w:val="00035A3F"/>
    <w:rsid w:val="00040DFC"/>
    <w:rsid w:val="00045B92"/>
    <w:rsid w:val="000464AF"/>
    <w:rsid w:val="000464F4"/>
    <w:rsid w:val="00050A75"/>
    <w:rsid w:val="00052BE0"/>
    <w:rsid w:val="0005309D"/>
    <w:rsid w:val="00054D7E"/>
    <w:rsid w:val="00055893"/>
    <w:rsid w:val="0006386D"/>
    <w:rsid w:val="00064EFD"/>
    <w:rsid w:val="00067335"/>
    <w:rsid w:val="00070C9E"/>
    <w:rsid w:val="00071E2B"/>
    <w:rsid w:val="000731AE"/>
    <w:rsid w:val="000743D7"/>
    <w:rsid w:val="000757BD"/>
    <w:rsid w:val="000806D4"/>
    <w:rsid w:val="00085F65"/>
    <w:rsid w:val="000865AD"/>
    <w:rsid w:val="000902B0"/>
    <w:rsid w:val="0009286B"/>
    <w:rsid w:val="0009369C"/>
    <w:rsid w:val="000A6049"/>
    <w:rsid w:val="000A6582"/>
    <w:rsid w:val="000B266F"/>
    <w:rsid w:val="000B5710"/>
    <w:rsid w:val="000C4FB7"/>
    <w:rsid w:val="000C5E4B"/>
    <w:rsid w:val="000C68CE"/>
    <w:rsid w:val="000D1ED4"/>
    <w:rsid w:val="000D5AA7"/>
    <w:rsid w:val="000D6CCA"/>
    <w:rsid w:val="000D7B25"/>
    <w:rsid w:val="000E3DB7"/>
    <w:rsid w:val="000E5DBE"/>
    <w:rsid w:val="000E5F70"/>
    <w:rsid w:val="000E6439"/>
    <w:rsid w:val="000E660C"/>
    <w:rsid w:val="000F05A6"/>
    <w:rsid w:val="000F3725"/>
    <w:rsid w:val="000F51F1"/>
    <w:rsid w:val="000F7CE9"/>
    <w:rsid w:val="0010069C"/>
    <w:rsid w:val="00101B66"/>
    <w:rsid w:val="001025E2"/>
    <w:rsid w:val="00105F62"/>
    <w:rsid w:val="00106BB0"/>
    <w:rsid w:val="0011735F"/>
    <w:rsid w:val="0012394E"/>
    <w:rsid w:val="00124BBA"/>
    <w:rsid w:val="00124CD1"/>
    <w:rsid w:val="00132645"/>
    <w:rsid w:val="00132821"/>
    <w:rsid w:val="001415A0"/>
    <w:rsid w:val="001419BF"/>
    <w:rsid w:val="00141BDE"/>
    <w:rsid w:val="0014436A"/>
    <w:rsid w:val="00146217"/>
    <w:rsid w:val="0015148E"/>
    <w:rsid w:val="001576D1"/>
    <w:rsid w:val="00157E7C"/>
    <w:rsid w:val="001610A1"/>
    <w:rsid w:val="00162397"/>
    <w:rsid w:val="00162401"/>
    <w:rsid w:val="00163C40"/>
    <w:rsid w:val="00164275"/>
    <w:rsid w:val="00165A74"/>
    <w:rsid w:val="001661D5"/>
    <w:rsid w:val="0017083B"/>
    <w:rsid w:val="00173837"/>
    <w:rsid w:val="00181532"/>
    <w:rsid w:val="00182B3E"/>
    <w:rsid w:val="00184A14"/>
    <w:rsid w:val="00185656"/>
    <w:rsid w:val="001878C6"/>
    <w:rsid w:val="00191E00"/>
    <w:rsid w:val="0019277D"/>
    <w:rsid w:val="001955E9"/>
    <w:rsid w:val="0019645D"/>
    <w:rsid w:val="001A258C"/>
    <w:rsid w:val="001A29A8"/>
    <w:rsid w:val="001A577F"/>
    <w:rsid w:val="001A5D26"/>
    <w:rsid w:val="001B3671"/>
    <w:rsid w:val="001B4BBF"/>
    <w:rsid w:val="001B6E8D"/>
    <w:rsid w:val="001B7C4F"/>
    <w:rsid w:val="001C2748"/>
    <w:rsid w:val="001C47A6"/>
    <w:rsid w:val="001C7D6E"/>
    <w:rsid w:val="001D1B18"/>
    <w:rsid w:val="001D3F88"/>
    <w:rsid w:val="001E06EF"/>
    <w:rsid w:val="001E22C8"/>
    <w:rsid w:val="001E2937"/>
    <w:rsid w:val="001E2B69"/>
    <w:rsid w:val="001E367C"/>
    <w:rsid w:val="001E56DB"/>
    <w:rsid w:val="001E6A48"/>
    <w:rsid w:val="001F355C"/>
    <w:rsid w:val="001F75B9"/>
    <w:rsid w:val="001F7717"/>
    <w:rsid w:val="00200B5F"/>
    <w:rsid w:val="002018AD"/>
    <w:rsid w:val="00202AD0"/>
    <w:rsid w:val="00205E49"/>
    <w:rsid w:val="00212C0A"/>
    <w:rsid w:val="0021589F"/>
    <w:rsid w:val="00220427"/>
    <w:rsid w:val="00221FA1"/>
    <w:rsid w:val="00222285"/>
    <w:rsid w:val="002305B4"/>
    <w:rsid w:val="0023185C"/>
    <w:rsid w:val="002337C6"/>
    <w:rsid w:val="00235644"/>
    <w:rsid w:val="00236D87"/>
    <w:rsid w:val="00241154"/>
    <w:rsid w:val="00242A93"/>
    <w:rsid w:val="0024795E"/>
    <w:rsid w:val="0025279A"/>
    <w:rsid w:val="00261424"/>
    <w:rsid w:val="0026169E"/>
    <w:rsid w:val="00263F18"/>
    <w:rsid w:val="00270D47"/>
    <w:rsid w:val="00273643"/>
    <w:rsid w:val="002743C6"/>
    <w:rsid w:val="00277333"/>
    <w:rsid w:val="00280214"/>
    <w:rsid w:val="0028128F"/>
    <w:rsid w:val="0028624B"/>
    <w:rsid w:val="002907BE"/>
    <w:rsid w:val="00290918"/>
    <w:rsid w:val="00290BD2"/>
    <w:rsid w:val="00290E5F"/>
    <w:rsid w:val="00291938"/>
    <w:rsid w:val="00291B9B"/>
    <w:rsid w:val="002933E3"/>
    <w:rsid w:val="00296329"/>
    <w:rsid w:val="002965B0"/>
    <w:rsid w:val="002A011B"/>
    <w:rsid w:val="002A1567"/>
    <w:rsid w:val="002A1E54"/>
    <w:rsid w:val="002A6246"/>
    <w:rsid w:val="002B79D4"/>
    <w:rsid w:val="002C051A"/>
    <w:rsid w:val="002C12BA"/>
    <w:rsid w:val="002C2A31"/>
    <w:rsid w:val="002D2B69"/>
    <w:rsid w:val="002D2E4F"/>
    <w:rsid w:val="002D426B"/>
    <w:rsid w:val="002D4F03"/>
    <w:rsid w:val="002D50A3"/>
    <w:rsid w:val="002D7D20"/>
    <w:rsid w:val="002E206E"/>
    <w:rsid w:val="002E4F2C"/>
    <w:rsid w:val="002E5D07"/>
    <w:rsid w:val="002E735F"/>
    <w:rsid w:val="002E7659"/>
    <w:rsid w:val="002E7B9B"/>
    <w:rsid w:val="002E7C51"/>
    <w:rsid w:val="002E7D4F"/>
    <w:rsid w:val="002F2D94"/>
    <w:rsid w:val="002F3407"/>
    <w:rsid w:val="002F35A0"/>
    <w:rsid w:val="002F6A94"/>
    <w:rsid w:val="002F6B52"/>
    <w:rsid w:val="00301A18"/>
    <w:rsid w:val="0030338E"/>
    <w:rsid w:val="003059D3"/>
    <w:rsid w:val="00306FE8"/>
    <w:rsid w:val="00307728"/>
    <w:rsid w:val="003078F2"/>
    <w:rsid w:val="00310363"/>
    <w:rsid w:val="00312B5D"/>
    <w:rsid w:val="00314C84"/>
    <w:rsid w:val="0031536F"/>
    <w:rsid w:val="00316A8B"/>
    <w:rsid w:val="00321BBA"/>
    <w:rsid w:val="003234EF"/>
    <w:rsid w:val="00324AE0"/>
    <w:rsid w:val="0032598C"/>
    <w:rsid w:val="003319A6"/>
    <w:rsid w:val="00332057"/>
    <w:rsid w:val="00333325"/>
    <w:rsid w:val="003354C5"/>
    <w:rsid w:val="00336392"/>
    <w:rsid w:val="00341773"/>
    <w:rsid w:val="00345234"/>
    <w:rsid w:val="00346828"/>
    <w:rsid w:val="00350127"/>
    <w:rsid w:val="00350620"/>
    <w:rsid w:val="00352E61"/>
    <w:rsid w:val="003531F6"/>
    <w:rsid w:val="00356DF3"/>
    <w:rsid w:val="003574CD"/>
    <w:rsid w:val="00357E67"/>
    <w:rsid w:val="00360A8F"/>
    <w:rsid w:val="00364AB8"/>
    <w:rsid w:val="00365506"/>
    <w:rsid w:val="00380463"/>
    <w:rsid w:val="0038720A"/>
    <w:rsid w:val="003878E7"/>
    <w:rsid w:val="00390416"/>
    <w:rsid w:val="00393889"/>
    <w:rsid w:val="003970A6"/>
    <w:rsid w:val="003A0D35"/>
    <w:rsid w:val="003A1165"/>
    <w:rsid w:val="003A2D0D"/>
    <w:rsid w:val="003A38FC"/>
    <w:rsid w:val="003A50DD"/>
    <w:rsid w:val="003A7A69"/>
    <w:rsid w:val="003B2D25"/>
    <w:rsid w:val="003B3F1F"/>
    <w:rsid w:val="003B427F"/>
    <w:rsid w:val="003B4B05"/>
    <w:rsid w:val="003B5EE6"/>
    <w:rsid w:val="003C3B0E"/>
    <w:rsid w:val="003C3E3C"/>
    <w:rsid w:val="003C475C"/>
    <w:rsid w:val="003D0DE4"/>
    <w:rsid w:val="003D2318"/>
    <w:rsid w:val="003D26F7"/>
    <w:rsid w:val="003E2474"/>
    <w:rsid w:val="003E34E4"/>
    <w:rsid w:val="00412AA3"/>
    <w:rsid w:val="00416879"/>
    <w:rsid w:val="00417CCC"/>
    <w:rsid w:val="00422EAC"/>
    <w:rsid w:val="004240BD"/>
    <w:rsid w:val="004248EC"/>
    <w:rsid w:val="00424C21"/>
    <w:rsid w:val="0043069A"/>
    <w:rsid w:val="0043079F"/>
    <w:rsid w:val="00433C15"/>
    <w:rsid w:val="00433F43"/>
    <w:rsid w:val="00434761"/>
    <w:rsid w:val="00436CA3"/>
    <w:rsid w:val="0044244A"/>
    <w:rsid w:val="00445293"/>
    <w:rsid w:val="00446038"/>
    <w:rsid w:val="00446C55"/>
    <w:rsid w:val="00446DEE"/>
    <w:rsid w:val="004472D1"/>
    <w:rsid w:val="0045408B"/>
    <w:rsid w:val="004540F5"/>
    <w:rsid w:val="00454B98"/>
    <w:rsid w:val="00456B03"/>
    <w:rsid w:val="00460442"/>
    <w:rsid w:val="00460707"/>
    <w:rsid w:val="00460939"/>
    <w:rsid w:val="004639E8"/>
    <w:rsid w:val="00470031"/>
    <w:rsid w:val="0047338A"/>
    <w:rsid w:val="00473948"/>
    <w:rsid w:val="004752D8"/>
    <w:rsid w:val="00480F5D"/>
    <w:rsid w:val="00484FE8"/>
    <w:rsid w:val="00487424"/>
    <w:rsid w:val="0049059A"/>
    <w:rsid w:val="004926D7"/>
    <w:rsid w:val="00495EE3"/>
    <w:rsid w:val="004A2501"/>
    <w:rsid w:val="004A285C"/>
    <w:rsid w:val="004A29EB"/>
    <w:rsid w:val="004A76B3"/>
    <w:rsid w:val="004B10E0"/>
    <w:rsid w:val="004B15AF"/>
    <w:rsid w:val="004B2182"/>
    <w:rsid w:val="004B317E"/>
    <w:rsid w:val="004B32D7"/>
    <w:rsid w:val="004B347D"/>
    <w:rsid w:val="004B465E"/>
    <w:rsid w:val="004B51B6"/>
    <w:rsid w:val="004C5EFE"/>
    <w:rsid w:val="004D0D3A"/>
    <w:rsid w:val="004D61C5"/>
    <w:rsid w:val="004E0C5B"/>
    <w:rsid w:val="004E31C9"/>
    <w:rsid w:val="004E3929"/>
    <w:rsid w:val="004E418D"/>
    <w:rsid w:val="004E6109"/>
    <w:rsid w:val="004E7765"/>
    <w:rsid w:val="004F0D3E"/>
    <w:rsid w:val="004F12FA"/>
    <w:rsid w:val="00501B47"/>
    <w:rsid w:val="005034D0"/>
    <w:rsid w:val="0050437B"/>
    <w:rsid w:val="00507C45"/>
    <w:rsid w:val="00507F96"/>
    <w:rsid w:val="00510079"/>
    <w:rsid w:val="005113AF"/>
    <w:rsid w:val="00511520"/>
    <w:rsid w:val="00514F52"/>
    <w:rsid w:val="0051667B"/>
    <w:rsid w:val="00532B30"/>
    <w:rsid w:val="0053394A"/>
    <w:rsid w:val="00534E69"/>
    <w:rsid w:val="00545C6B"/>
    <w:rsid w:val="00545F38"/>
    <w:rsid w:val="00552A0E"/>
    <w:rsid w:val="00557184"/>
    <w:rsid w:val="00562A4D"/>
    <w:rsid w:val="005635AF"/>
    <w:rsid w:val="00565E16"/>
    <w:rsid w:val="00565EDD"/>
    <w:rsid w:val="005723E0"/>
    <w:rsid w:val="00572E3A"/>
    <w:rsid w:val="0057322D"/>
    <w:rsid w:val="0057467E"/>
    <w:rsid w:val="00583206"/>
    <w:rsid w:val="00590607"/>
    <w:rsid w:val="00591FF6"/>
    <w:rsid w:val="00595F95"/>
    <w:rsid w:val="005962A0"/>
    <w:rsid w:val="00597BC9"/>
    <w:rsid w:val="005A0013"/>
    <w:rsid w:val="005A0933"/>
    <w:rsid w:val="005A291F"/>
    <w:rsid w:val="005A3192"/>
    <w:rsid w:val="005A4F20"/>
    <w:rsid w:val="005A6C4E"/>
    <w:rsid w:val="005B04A9"/>
    <w:rsid w:val="005B1503"/>
    <w:rsid w:val="005B54A9"/>
    <w:rsid w:val="005B5B64"/>
    <w:rsid w:val="005C04A7"/>
    <w:rsid w:val="005C14BF"/>
    <w:rsid w:val="005C2F4E"/>
    <w:rsid w:val="005C70AA"/>
    <w:rsid w:val="005D24DC"/>
    <w:rsid w:val="005D2502"/>
    <w:rsid w:val="005D3685"/>
    <w:rsid w:val="005D4655"/>
    <w:rsid w:val="005D54A3"/>
    <w:rsid w:val="005D5611"/>
    <w:rsid w:val="005D6411"/>
    <w:rsid w:val="005D6B23"/>
    <w:rsid w:val="005D7B27"/>
    <w:rsid w:val="005E2456"/>
    <w:rsid w:val="005E503D"/>
    <w:rsid w:val="005E5F26"/>
    <w:rsid w:val="005E6C2D"/>
    <w:rsid w:val="005F2A3E"/>
    <w:rsid w:val="005F42A6"/>
    <w:rsid w:val="005F478B"/>
    <w:rsid w:val="005F7D9A"/>
    <w:rsid w:val="00600401"/>
    <w:rsid w:val="006027DB"/>
    <w:rsid w:val="00602CD4"/>
    <w:rsid w:val="00603081"/>
    <w:rsid w:val="006031E7"/>
    <w:rsid w:val="0060365E"/>
    <w:rsid w:val="006053EB"/>
    <w:rsid w:val="006067A4"/>
    <w:rsid w:val="006116D6"/>
    <w:rsid w:val="00611EF4"/>
    <w:rsid w:val="00617CEC"/>
    <w:rsid w:val="006202AC"/>
    <w:rsid w:val="00622D97"/>
    <w:rsid w:val="006318AF"/>
    <w:rsid w:val="006323DD"/>
    <w:rsid w:val="00636403"/>
    <w:rsid w:val="0063694D"/>
    <w:rsid w:val="00636AFC"/>
    <w:rsid w:val="00637C15"/>
    <w:rsid w:val="0064077D"/>
    <w:rsid w:val="00641041"/>
    <w:rsid w:val="00643234"/>
    <w:rsid w:val="00644207"/>
    <w:rsid w:val="00651795"/>
    <w:rsid w:val="00655E09"/>
    <w:rsid w:val="00657795"/>
    <w:rsid w:val="006620D6"/>
    <w:rsid w:val="0066483D"/>
    <w:rsid w:val="00664D3C"/>
    <w:rsid w:val="006675C5"/>
    <w:rsid w:val="00672FA3"/>
    <w:rsid w:val="006732A0"/>
    <w:rsid w:val="0067494C"/>
    <w:rsid w:val="006765E9"/>
    <w:rsid w:val="00677CBC"/>
    <w:rsid w:val="00680BAE"/>
    <w:rsid w:val="00686517"/>
    <w:rsid w:val="00690403"/>
    <w:rsid w:val="00691567"/>
    <w:rsid w:val="0069469B"/>
    <w:rsid w:val="00694F38"/>
    <w:rsid w:val="00696B7B"/>
    <w:rsid w:val="00697D6E"/>
    <w:rsid w:val="006A13C1"/>
    <w:rsid w:val="006A30C2"/>
    <w:rsid w:val="006A391D"/>
    <w:rsid w:val="006A4091"/>
    <w:rsid w:val="006A5B95"/>
    <w:rsid w:val="006A6D41"/>
    <w:rsid w:val="006B131E"/>
    <w:rsid w:val="006B58C8"/>
    <w:rsid w:val="006C20E9"/>
    <w:rsid w:val="006C31D5"/>
    <w:rsid w:val="006C413D"/>
    <w:rsid w:val="006C73FF"/>
    <w:rsid w:val="006D0D8B"/>
    <w:rsid w:val="006D3E7A"/>
    <w:rsid w:val="006D4001"/>
    <w:rsid w:val="006D44EB"/>
    <w:rsid w:val="006D65CD"/>
    <w:rsid w:val="006D7C0A"/>
    <w:rsid w:val="006E09DA"/>
    <w:rsid w:val="006E343C"/>
    <w:rsid w:val="006E5F05"/>
    <w:rsid w:val="006E70F7"/>
    <w:rsid w:val="006F0485"/>
    <w:rsid w:val="006F0559"/>
    <w:rsid w:val="006F0AFE"/>
    <w:rsid w:val="006F2301"/>
    <w:rsid w:val="006F25C2"/>
    <w:rsid w:val="007006B6"/>
    <w:rsid w:val="00700DE0"/>
    <w:rsid w:val="007022DE"/>
    <w:rsid w:val="007033DE"/>
    <w:rsid w:val="007066B8"/>
    <w:rsid w:val="00707F14"/>
    <w:rsid w:val="0071221A"/>
    <w:rsid w:val="00712A48"/>
    <w:rsid w:val="00717199"/>
    <w:rsid w:val="00717274"/>
    <w:rsid w:val="0072558E"/>
    <w:rsid w:val="007369CF"/>
    <w:rsid w:val="00737592"/>
    <w:rsid w:val="007425D8"/>
    <w:rsid w:val="00742D81"/>
    <w:rsid w:val="0074482C"/>
    <w:rsid w:val="00744947"/>
    <w:rsid w:val="0074576F"/>
    <w:rsid w:val="007467AB"/>
    <w:rsid w:val="00750CEB"/>
    <w:rsid w:val="00760EA8"/>
    <w:rsid w:val="00760FF1"/>
    <w:rsid w:val="00767E86"/>
    <w:rsid w:val="007744D5"/>
    <w:rsid w:val="00776642"/>
    <w:rsid w:val="00776F4F"/>
    <w:rsid w:val="00780869"/>
    <w:rsid w:val="00782AF7"/>
    <w:rsid w:val="00782CD2"/>
    <w:rsid w:val="00784DA8"/>
    <w:rsid w:val="007938F3"/>
    <w:rsid w:val="00796143"/>
    <w:rsid w:val="007A15D4"/>
    <w:rsid w:val="007A3A98"/>
    <w:rsid w:val="007A6BF4"/>
    <w:rsid w:val="007B677C"/>
    <w:rsid w:val="007B6F50"/>
    <w:rsid w:val="007C2342"/>
    <w:rsid w:val="007C7BEC"/>
    <w:rsid w:val="007D117C"/>
    <w:rsid w:val="007D326D"/>
    <w:rsid w:val="007D4EC6"/>
    <w:rsid w:val="007D5F9E"/>
    <w:rsid w:val="007D61EF"/>
    <w:rsid w:val="007D6EF3"/>
    <w:rsid w:val="007D7005"/>
    <w:rsid w:val="007D7C12"/>
    <w:rsid w:val="007E43B4"/>
    <w:rsid w:val="007E5A25"/>
    <w:rsid w:val="007F16AF"/>
    <w:rsid w:val="007F343F"/>
    <w:rsid w:val="007F64EB"/>
    <w:rsid w:val="0080293E"/>
    <w:rsid w:val="00803544"/>
    <w:rsid w:val="00805314"/>
    <w:rsid w:val="00807E44"/>
    <w:rsid w:val="00812787"/>
    <w:rsid w:val="0081421D"/>
    <w:rsid w:val="0081471B"/>
    <w:rsid w:val="00817AC1"/>
    <w:rsid w:val="00822578"/>
    <w:rsid w:val="008230F2"/>
    <w:rsid w:val="00823444"/>
    <w:rsid w:val="008242DA"/>
    <w:rsid w:val="008266D0"/>
    <w:rsid w:val="008276E5"/>
    <w:rsid w:val="008334EC"/>
    <w:rsid w:val="00834099"/>
    <w:rsid w:val="00835013"/>
    <w:rsid w:val="008359F8"/>
    <w:rsid w:val="0083734F"/>
    <w:rsid w:val="00837B36"/>
    <w:rsid w:val="00841AD1"/>
    <w:rsid w:val="0084243C"/>
    <w:rsid w:val="00842D73"/>
    <w:rsid w:val="0084559F"/>
    <w:rsid w:val="0084562A"/>
    <w:rsid w:val="008471C1"/>
    <w:rsid w:val="008510D9"/>
    <w:rsid w:val="008529E4"/>
    <w:rsid w:val="00853432"/>
    <w:rsid w:val="00855CC3"/>
    <w:rsid w:val="0085799B"/>
    <w:rsid w:val="00860979"/>
    <w:rsid w:val="0086137D"/>
    <w:rsid w:val="0086222A"/>
    <w:rsid w:val="00865CCB"/>
    <w:rsid w:val="0086735D"/>
    <w:rsid w:val="00872C88"/>
    <w:rsid w:val="0087710A"/>
    <w:rsid w:val="00880567"/>
    <w:rsid w:val="00880E12"/>
    <w:rsid w:val="00882213"/>
    <w:rsid w:val="00885BB9"/>
    <w:rsid w:val="00894F38"/>
    <w:rsid w:val="00896F28"/>
    <w:rsid w:val="008A11D0"/>
    <w:rsid w:val="008A1717"/>
    <w:rsid w:val="008A183C"/>
    <w:rsid w:val="008A2412"/>
    <w:rsid w:val="008A365C"/>
    <w:rsid w:val="008A6C8F"/>
    <w:rsid w:val="008B114D"/>
    <w:rsid w:val="008B116F"/>
    <w:rsid w:val="008B4D2D"/>
    <w:rsid w:val="008B4F6E"/>
    <w:rsid w:val="008C633D"/>
    <w:rsid w:val="008C694F"/>
    <w:rsid w:val="008D1844"/>
    <w:rsid w:val="008D3BF3"/>
    <w:rsid w:val="008D546B"/>
    <w:rsid w:val="008D7379"/>
    <w:rsid w:val="008E0C2B"/>
    <w:rsid w:val="008E0D03"/>
    <w:rsid w:val="008E1207"/>
    <w:rsid w:val="008E1502"/>
    <w:rsid w:val="008E43D2"/>
    <w:rsid w:val="008F16D8"/>
    <w:rsid w:val="008F230B"/>
    <w:rsid w:val="008F3CE2"/>
    <w:rsid w:val="008F4180"/>
    <w:rsid w:val="008F4A23"/>
    <w:rsid w:val="008F71A8"/>
    <w:rsid w:val="00901C79"/>
    <w:rsid w:val="009067FE"/>
    <w:rsid w:val="00912CF1"/>
    <w:rsid w:val="00913133"/>
    <w:rsid w:val="009150B9"/>
    <w:rsid w:val="009152C3"/>
    <w:rsid w:val="009168D0"/>
    <w:rsid w:val="0092091D"/>
    <w:rsid w:val="0092203C"/>
    <w:rsid w:val="0092572A"/>
    <w:rsid w:val="00927030"/>
    <w:rsid w:val="00930BEE"/>
    <w:rsid w:val="00930D65"/>
    <w:rsid w:val="00931977"/>
    <w:rsid w:val="009320AC"/>
    <w:rsid w:val="0093377C"/>
    <w:rsid w:val="00935CA6"/>
    <w:rsid w:val="00940F8C"/>
    <w:rsid w:val="00943807"/>
    <w:rsid w:val="00944BEB"/>
    <w:rsid w:val="00947841"/>
    <w:rsid w:val="009552F9"/>
    <w:rsid w:val="009657F3"/>
    <w:rsid w:val="00966A1A"/>
    <w:rsid w:val="009710C0"/>
    <w:rsid w:val="00974B52"/>
    <w:rsid w:val="0097566D"/>
    <w:rsid w:val="00977017"/>
    <w:rsid w:val="00977745"/>
    <w:rsid w:val="00977C65"/>
    <w:rsid w:val="009802E0"/>
    <w:rsid w:val="00980CC8"/>
    <w:rsid w:val="00982DC1"/>
    <w:rsid w:val="00984B13"/>
    <w:rsid w:val="00986AFE"/>
    <w:rsid w:val="00986B75"/>
    <w:rsid w:val="00987166"/>
    <w:rsid w:val="00991F3F"/>
    <w:rsid w:val="009938E8"/>
    <w:rsid w:val="00995C83"/>
    <w:rsid w:val="0099712A"/>
    <w:rsid w:val="009972D7"/>
    <w:rsid w:val="00997743"/>
    <w:rsid w:val="009A42DC"/>
    <w:rsid w:val="009B023B"/>
    <w:rsid w:val="009B59E2"/>
    <w:rsid w:val="009B5B43"/>
    <w:rsid w:val="009C44F9"/>
    <w:rsid w:val="009C4C41"/>
    <w:rsid w:val="009C5421"/>
    <w:rsid w:val="009C69D9"/>
    <w:rsid w:val="009D2D15"/>
    <w:rsid w:val="009D371E"/>
    <w:rsid w:val="009D698A"/>
    <w:rsid w:val="009E020A"/>
    <w:rsid w:val="009E27C5"/>
    <w:rsid w:val="009E5C33"/>
    <w:rsid w:val="009E6EA0"/>
    <w:rsid w:val="009F02B6"/>
    <w:rsid w:val="009F2461"/>
    <w:rsid w:val="009F30E2"/>
    <w:rsid w:val="009F5AE0"/>
    <w:rsid w:val="009F5DF5"/>
    <w:rsid w:val="009F5EAC"/>
    <w:rsid w:val="009F751A"/>
    <w:rsid w:val="009F7A21"/>
    <w:rsid w:val="00A0218B"/>
    <w:rsid w:val="00A022B8"/>
    <w:rsid w:val="00A04E15"/>
    <w:rsid w:val="00A0580D"/>
    <w:rsid w:val="00A10FD9"/>
    <w:rsid w:val="00A11B80"/>
    <w:rsid w:val="00A1351D"/>
    <w:rsid w:val="00A20E2B"/>
    <w:rsid w:val="00A21159"/>
    <w:rsid w:val="00A211C1"/>
    <w:rsid w:val="00A21707"/>
    <w:rsid w:val="00A24942"/>
    <w:rsid w:val="00A250EA"/>
    <w:rsid w:val="00A26973"/>
    <w:rsid w:val="00A32E7E"/>
    <w:rsid w:val="00A36833"/>
    <w:rsid w:val="00A4531D"/>
    <w:rsid w:val="00A50A40"/>
    <w:rsid w:val="00A511CD"/>
    <w:rsid w:val="00A52ACA"/>
    <w:rsid w:val="00A53A4C"/>
    <w:rsid w:val="00A55017"/>
    <w:rsid w:val="00A60C99"/>
    <w:rsid w:val="00A64767"/>
    <w:rsid w:val="00A64987"/>
    <w:rsid w:val="00A6670A"/>
    <w:rsid w:val="00A668E2"/>
    <w:rsid w:val="00A6705F"/>
    <w:rsid w:val="00A74509"/>
    <w:rsid w:val="00A83042"/>
    <w:rsid w:val="00A8312A"/>
    <w:rsid w:val="00A840A3"/>
    <w:rsid w:val="00A84695"/>
    <w:rsid w:val="00A86A70"/>
    <w:rsid w:val="00A913A7"/>
    <w:rsid w:val="00A9296E"/>
    <w:rsid w:val="00A934E3"/>
    <w:rsid w:val="00A975C1"/>
    <w:rsid w:val="00AA033E"/>
    <w:rsid w:val="00AA59B0"/>
    <w:rsid w:val="00AA5A95"/>
    <w:rsid w:val="00AA5B3A"/>
    <w:rsid w:val="00AA7B8C"/>
    <w:rsid w:val="00AB103F"/>
    <w:rsid w:val="00AB3AC6"/>
    <w:rsid w:val="00AB57C2"/>
    <w:rsid w:val="00AB5958"/>
    <w:rsid w:val="00AB7375"/>
    <w:rsid w:val="00AC2875"/>
    <w:rsid w:val="00AC5750"/>
    <w:rsid w:val="00AC6497"/>
    <w:rsid w:val="00AD30B3"/>
    <w:rsid w:val="00AD48CF"/>
    <w:rsid w:val="00AD5021"/>
    <w:rsid w:val="00AD52AA"/>
    <w:rsid w:val="00AE0677"/>
    <w:rsid w:val="00AE07DA"/>
    <w:rsid w:val="00AF7111"/>
    <w:rsid w:val="00AF7B53"/>
    <w:rsid w:val="00B0118C"/>
    <w:rsid w:val="00B0465C"/>
    <w:rsid w:val="00B11D19"/>
    <w:rsid w:val="00B15FA4"/>
    <w:rsid w:val="00B2180A"/>
    <w:rsid w:val="00B21DF9"/>
    <w:rsid w:val="00B248C9"/>
    <w:rsid w:val="00B41C38"/>
    <w:rsid w:val="00B442BE"/>
    <w:rsid w:val="00B50239"/>
    <w:rsid w:val="00B51416"/>
    <w:rsid w:val="00B52EE4"/>
    <w:rsid w:val="00B539C4"/>
    <w:rsid w:val="00B55C45"/>
    <w:rsid w:val="00B61008"/>
    <w:rsid w:val="00B61F9E"/>
    <w:rsid w:val="00B6284F"/>
    <w:rsid w:val="00B637EB"/>
    <w:rsid w:val="00B63E6C"/>
    <w:rsid w:val="00B64018"/>
    <w:rsid w:val="00B6717F"/>
    <w:rsid w:val="00B7143F"/>
    <w:rsid w:val="00B75EC0"/>
    <w:rsid w:val="00B82C62"/>
    <w:rsid w:val="00B83C63"/>
    <w:rsid w:val="00B846E5"/>
    <w:rsid w:val="00B87C41"/>
    <w:rsid w:val="00B93625"/>
    <w:rsid w:val="00B94C50"/>
    <w:rsid w:val="00B97374"/>
    <w:rsid w:val="00BA337F"/>
    <w:rsid w:val="00BA716B"/>
    <w:rsid w:val="00BA7DA8"/>
    <w:rsid w:val="00BB23DE"/>
    <w:rsid w:val="00BB2581"/>
    <w:rsid w:val="00BB4676"/>
    <w:rsid w:val="00BB77F5"/>
    <w:rsid w:val="00BC0552"/>
    <w:rsid w:val="00BC217C"/>
    <w:rsid w:val="00BC3E1F"/>
    <w:rsid w:val="00BC3F2F"/>
    <w:rsid w:val="00BC3F7A"/>
    <w:rsid w:val="00BC7DDD"/>
    <w:rsid w:val="00BD1792"/>
    <w:rsid w:val="00BD554E"/>
    <w:rsid w:val="00BD59BB"/>
    <w:rsid w:val="00BE2A7D"/>
    <w:rsid w:val="00BE38E9"/>
    <w:rsid w:val="00BE40AD"/>
    <w:rsid w:val="00BE5FFE"/>
    <w:rsid w:val="00BE6AC1"/>
    <w:rsid w:val="00BE6EC2"/>
    <w:rsid w:val="00BF02A1"/>
    <w:rsid w:val="00BF145F"/>
    <w:rsid w:val="00BF3FB3"/>
    <w:rsid w:val="00BF7848"/>
    <w:rsid w:val="00C00959"/>
    <w:rsid w:val="00C01446"/>
    <w:rsid w:val="00C02146"/>
    <w:rsid w:val="00C02E89"/>
    <w:rsid w:val="00C043AF"/>
    <w:rsid w:val="00C1006E"/>
    <w:rsid w:val="00C12C37"/>
    <w:rsid w:val="00C225F9"/>
    <w:rsid w:val="00C254A5"/>
    <w:rsid w:val="00C3233D"/>
    <w:rsid w:val="00C351EB"/>
    <w:rsid w:val="00C407C8"/>
    <w:rsid w:val="00C42A39"/>
    <w:rsid w:val="00C448F6"/>
    <w:rsid w:val="00C4576B"/>
    <w:rsid w:val="00C4689C"/>
    <w:rsid w:val="00C46D99"/>
    <w:rsid w:val="00C473EA"/>
    <w:rsid w:val="00C56855"/>
    <w:rsid w:val="00C57B35"/>
    <w:rsid w:val="00C6121F"/>
    <w:rsid w:val="00C65BE4"/>
    <w:rsid w:val="00C70EB4"/>
    <w:rsid w:val="00C7420D"/>
    <w:rsid w:val="00C77CBE"/>
    <w:rsid w:val="00C80E56"/>
    <w:rsid w:val="00C84568"/>
    <w:rsid w:val="00C848F6"/>
    <w:rsid w:val="00C92CDD"/>
    <w:rsid w:val="00C92F45"/>
    <w:rsid w:val="00C93A39"/>
    <w:rsid w:val="00CA0CB0"/>
    <w:rsid w:val="00CA749D"/>
    <w:rsid w:val="00CA7CB6"/>
    <w:rsid w:val="00CB1699"/>
    <w:rsid w:val="00CB3823"/>
    <w:rsid w:val="00CB4BD0"/>
    <w:rsid w:val="00CB6716"/>
    <w:rsid w:val="00CC3250"/>
    <w:rsid w:val="00CC33E7"/>
    <w:rsid w:val="00CC6B80"/>
    <w:rsid w:val="00CD00BA"/>
    <w:rsid w:val="00CD1692"/>
    <w:rsid w:val="00CD3EA5"/>
    <w:rsid w:val="00CD3F86"/>
    <w:rsid w:val="00CD4665"/>
    <w:rsid w:val="00CD6F89"/>
    <w:rsid w:val="00CE3BB8"/>
    <w:rsid w:val="00CE4FAB"/>
    <w:rsid w:val="00CF0A52"/>
    <w:rsid w:val="00CF1AAF"/>
    <w:rsid w:val="00CF4094"/>
    <w:rsid w:val="00CF43C0"/>
    <w:rsid w:val="00CF6B6F"/>
    <w:rsid w:val="00CF7144"/>
    <w:rsid w:val="00D00671"/>
    <w:rsid w:val="00D0129F"/>
    <w:rsid w:val="00D01EF0"/>
    <w:rsid w:val="00D03E04"/>
    <w:rsid w:val="00D05598"/>
    <w:rsid w:val="00D061DE"/>
    <w:rsid w:val="00D103A7"/>
    <w:rsid w:val="00D13411"/>
    <w:rsid w:val="00D13546"/>
    <w:rsid w:val="00D1399F"/>
    <w:rsid w:val="00D13AC7"/>
    <w:rsid w:val="00D13B70"/>
    <w:rsid w:val="00D13D3E"/>
    <w:rsid w:val="00D14CD9"/>
    <w:rsid w:val="00D16EEA"/>
    <w:rsid w:val="00D176C9"/>
    <w:rsid w:val="00D21A93"/>
    <w:rsid w:val="00D21B32"/>
    <w:rsid w:val="00D238ED"/>
    <w:rsid w:val="00D242A5"/>
    <w:rsid w:val="00D24F2C"/>
    <w:rsid w:val="00D250A9"/>
    <w:rsid w:val="00D25F35"/>
    <w:rsid w:val="00D26EBC"/>
    <w:rsid w:val="00D27960"/>
    <w:rsid w:val="00D31A95"/>
    <w:rsid w:val="00D347A0"/>
    <w:rsid w:val="00D347D3"/>
    <w:rsid w:val="00D34819"/>
    <w:rsid w:val="00D3490D"/>
    <w:rsid w:val="00D36BB2"/>
    <w:rsid w:val="00D420C6"/>
    <w:rsid w:val="00D42265"/>
    <w:rsid w:val="00D42692"/>
    <w:rsid w:val="00D448CF"/>
    <w:rsid w:val="00D461B9"/>
    <w:rsid w:val="00D51524"/>
    <w:rsid w:val="00D516E8"/>
    <w:rsid w:val="00D5454B"/>
    <w:rsid w:val="00D55B4F"/>
    <w:rsid w:val="00D569AD"/>
    <w:rsid w:val="00D60C40"/>
    <w:rsid w:val="00D60CBF"/>
    <w:rsid w:val="00D61074"/>
    <w:rsid w:val="00D61C88"/>
    <w:rsid w:val="00D638B3"/>
    <w:rsid w:val="00D64A77"/>
    <w:rsid w:val="00D65B74"/>
    <w:rsid w:val="00D65FD0"/>
    <w:rsid w:val="00D66BDF"/>
    <w:rsid w:val="00D66C0A"/>
    <w:rsid w:val="00D70665"/>
    <w:rsid w:val="00D75A3C"/>
    <w:rsid w:val="00D9083A"/>
    <w:rsid w:val="00D9215F"/>
    <w:rsid w:val="00D95679"/>
    <w:rsid w:val="00D9739C"/>
    <w:rsid w:val="00DA07A1"/>
    <w:rsid w:val="00DA187F"/>
    <w:rsid w:val="00DA4226"/>
    <w:rsid w:val="00DA4620"/>
    <w:rsid w:val="00DA628D"/>
    <w:rsid w:val="00DA6990"/>
    <w:rsid w:val="00DA78FE"/>
    <w:rsid w:val="00DA7BFE"/>
    <w:rsid w:val="00DB0831"/>
    <w:rsid w:val="00DB1250"/>
    <w:rsid w:val="00DB319E"/>
    <w:rsid w:val="00DB4B78"/>
    <w:rsid w:val="00DB6194"/>
    <w:rsid w:val="00DB7612"/>
    <w:rsid w:val="00DC1466"/>
    <w:rsid w:val="00DC1A72"/>
    <w:rsid w:val="00DC5101"/>
    <w:rsid w:val="00DC7727"/>
    <w:rsid w:val="00DD0468"/>
    <w:rsid w:val="00DD058D"/>
    <w:rsid w:val="00DD207B"/>
    <w:rsid w:val="00DD45C0"/>
    <w:rsid w:val="00DD5058"/>
    <w:rsid w:val="00DE2BA8"/>
    <w:rsid w:val="00DE54A0"/>
    <w:rsid w:val="00DE7A9F"/>
    <w:rsid w:val="00DF5BB0"/>
    <w:rsid w:val="00DF60B9"/>
    <w:rsid w:val="00DF6350"/>
    <w:rsid w:val="00E0132A"/>
    <w:rsid w:val="00E028A5"/>
    <w:rsid w:val="00E0761A"/>
    <w:rsid w:val="00E07E14"/>
    <w:rsid w:val="00E110F1"/>
    <w:rsid w:val="00E15F36"/>
    <w:rsid w:val="00E16F1A"/>
    <w:rsid w:val="00E2016E"/>
    <w:rsid w:val="00E20485"/>
    <w:rsid w:val="00E209F1"/>
    <w:rsid w:val="00E23895"/>
    <w:rsid w:val="00E24C7F"/>
    <w:rsid w:val="00E26484"/>
    <w:rsid w:val="00E26C3E"/>
    <w:rsid w:val="00E32E68"/>
    <w:rsid w:val="00E340E0"/>
    <w:rsid w:val="00E34CBD"/>
    <w:rsid w:val="00E376EA"/>
    <w:rsid w:val="00E37F5E"/>
    <w:rsid w:val="00E420F2"/>
    <w:rsid w:val="00E46535"/>
    <w:rsid w:val="00E5392B"/>
    <w:rsid w:val="00E540B6"/>
    <w:rsid w:val="00E6042B"/>
    <w:rsid w:val="00E63E4E"/>
    <w:rsid w:val="00E65FDA"/>
    <w:rsid w:val="00E724EE"/>
    <w:rsid w:val="00E73C79"/>
    <w:rsid w:val="00E82F92"/>
    <w:rsid w:val="00E83F67"/>
    <w:rsid w:val="00E8657F"/>
    <w:rsid w:val="00E93D5C"/>
    <w:rsid w:val="00E96623"/>
    <w:rsid w:val="00E96935"/>
    <w:rsid w:val="00E9715A"/>
    <w:rsid w:val="00EA2BD7"/>
    <w:rsid w:val="00EB11DD"/>
    <w:rsid w:val="00EB1263"/>
    <w:rsid w:val="00EB2AC5"/>
    <w:rsid w:val="00EB7175"/>
    <w:rsid w:val="00EB725F"/>
    <w:rsid w:val="00EC0B0B"/>
    <w:rsid w:val="00EC0EFF"/>
    <w:rsid w:val="00EC11D4"/>
    <w:rsid w:val="00EC19A7"/>
    <w:rsid w:val="00EC1BE6"/>
    <w:rsid w:val="00EC3267"/>
    <w:rsid w:val="00ED1646"/>
    <w:rsid w:val="00ED2A6C"/>
    <w:rsid w:val="00ED35A0"/>
    <w:rsid w:val="00ED5E7C"/>
    <w:rsid w:val="00EE0BFD"/>
    <w:rsid w:val="00EE3AE2"/>
    <w:rsid w:val="00EE56CE"/>
    <w:rsid w:val="00EE7D7C"/>
    <w:rsid w:val="00F00B32"/>
    <w:rsid w:val="00F00DCE"/>
    <w:rsid w:val="00F02455"/>
    <w:rsid w:val="00F05E01"/>
    <w:rsid w:val="00F060A7"/>
    <w:rsid w:val="00F060EF"/>
    <w:rsid w:val="00F10123"/>
    <w:rsid w:val="00F11E0A"/>
    <w:rsid w:val="00F14139"/>
    <w:rsid w:val="00F17E08"/>
    <w:rsid w:val="00F221DF"/>
    <w:rsid w:val="00F2356D"/>
    <w:rsid w:val="00F23587"/>
    <w:rsid w:val="00F25726"/>
    <w:rsid w:val="00F2674C"/>
    <w:rsid w:val="00F26C9D"/>
    <w:rsid w:val="00F306B4"/>
    <w:rsid w:val="00F307F5"/>
    <w:rsid w:val="00F32935"/>
    <w:rsid w:val="00F3538E"/>
    <w:rsid w:val="00F35D24"/>
    <w:rsid w:val="00F37A1B"/>
    <w:rsid w:val="00F42DCA"/>
    <w:rsid w:val="00F438FD"/>
    <w:rsid w:val="00F46E36"/>
    <w:rsid w:val="00F47870"/>
    <w:rsid w:val="00F50556"/>
    <w:rsid w:val="00F5078B"/>
    <w:rsid w:val="00F508DC"/>
    <w:rsid w:val="00F54417"/>
    <w:rsid w:val="00F5474A"/>
    <w:rsid w:val="00F54C56"/>
    <w:rsid w:val="00F665F9"/>
    <w:rsid w:val="00F6755A"/>
    <w:rsid w:val="00F70D84"/>
    <w:rsid w:val="00F72AA2"/>
    <w:rsid w:val="00F7302B"/>
    <w:rsid w:val="00F758ED"/>
    <w:rsid w:val="00F75916"/>
    <w:rsid w:val="00F82160"/>
    <w:rsid w:val="00F82DDC"/>
    <w:rsid w:val="00F83905"/>
    <w:rsid w:val="00F90B9E"/>
    <w:rsid w:val="00F91D0B"/>
    <w:rsid w:val="00F93C0F"/>
    <w:rsid w:val="00F93CA8"/>
    <w:rsid w:val="00FA0CE7"/>
    <w:rsid w:val="00FA2921"/>
    <w:rsid w:val="00FA639F"/>
    <w:rsid w:val="00FB154D"/>
    <w:rsid w:val="00FB19E7"/>
    <w:rsid w:val="00FC06F3"/>
    <w:rsid w:val="00FC2CF6"/>
    <w:rsid w:val="00FC6DB4"/>
    <w:rsid w:val="00FD1575"/>
    <w:rsid w:val="00FD22F2"/>
    <w:rsid w:val="00FD64A9"/>
    <w:rsid w:val="00FE1EE8"/>
    <w:rsid w:val="00FE4ABB"/>
    <w:rsid w:val="00FE5E3D"/>
    <w:rsid w:val="00FF091D"/>
    <w:rsid w:val="00FF5CEE"/>
    <w:rsid w:val="00FF7F1C"/>
    <w:rsid w:val="061A55CB"/>
    <w:rsid w:val="084C7476"/>
    <w:rsid w:val="08AE2DEF"/>
    <w:rsid w:val="08EA393E"/>
    <w:rsid w:val="09AC39C2"/>
    <w:rsid w:val="0A4E2CE3"/>
    <w:rsid w:val="0C4552F0"/>
    <w:rsid w:val="0D2F3EB9"/>
    <w:rsid w:val="0DAE658F"/>
    <w:rsid w:val="0EFA63CC"/>
    <w:rsid w:val="0F7D59F6"/>
    <w:rsid w:val="138D5D5F"/>
    <w:rsid w:val="1391400C"/>
    <w:rsid w:val="13FA2DA0"/>
    <w:rsid w:val="14172325"/>
    <w:rsid w:val="1B1E4807"/>
    <w:rsid w:val="1DBA09D1"/>
    <w:rsid w:val="233A30E4"/>
    <w:rsid w:val="26F247F5"/>
    <w:rsid w:val="2736457D"/>
    <w:rsid w:val="2C4F305B"/>
    <w:rsid w:val="2EED35C4"/>
    <w:rsid w:val="30583ED4"/>
    <w:rsid w:val="311F5C3B"/>
    <w:rsid w:val="326937D6"/>
    <w:rsid w:val="32912E03"/>
    <w:rsid w:val="33457926"/>
    <w:rsid w:val="36405FF2"/>
    <w:rsid w:val="36C94F83"/>
    <w:rsid w:val="38341F0F"/>
    <w:rsid w:val="3B2B4701"/>
    <w:rsid w:val="3EFB65B0"/>
    <w:rsid w:val="3F9620FE"/>
    <w:rsid w:val="40D04EE8"/>
    <w:rsid w:val="42AE025E"/>
    <w:rsid w:val="4717047B"/>
    <w:rsid w:val="48372836"/>
    <w:rsid w:val="4B9B47C7"/>
    <w:rsid w:val="4DF51644"/>
    <w:rsid w:val="5697136D"/>
    <w:rsid w:val="57175CA1"/>
    <w:rsid w:val="57535117"/>
    <w:rsid w:val="59236B3B"/>
    <w:rsid w:val="597A0677"/>
    <w:rsid w:val="5C706343"/>
    <w:rsid w:val="5CB1432A"/>
    <w:rsid w:val="5EEF44B6"/>
    <w:rsid w:val="5F691C96"/>
    <w:rsid w:val="5FB82F0E"/>
    <w:rsid w:val="6180554E"/>
    <w:rsid w:val="61B178BE"/>
    <w:rsid w:val="623F2B69"/>
    <w:rsid w:val="62581D69"/>
    <w:rsid w:val="63535F60"/>
    <w:rsid w:val="641922AB"/>
    <w:rsid w:val="654C74F1"/>
    <w:rsid w:val="65F47BB4"/>
    <w:rsid w:val="6A690603"/>
    <w:rsid w:val="6AB300D8"/>
    <w:rsid w:val="6C742AE9"/>
    <w:rsid w:val="717C4E07"/>
    <w:rsid w:val="743B1A0F"/>
    <w:rsid w:val="7A820C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eastAsia="宋体" w:cs="Courier New"/>
      <w:szCs w:val="21"/>
    </w:rPr>
  </w:style>
  <w:style w:type="paragraph" w:styleId="3">
    <w:name w:val="Balloon Text"/>
    <w:basedOn w:val="1"/>
    <w:link w:val="10"/>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semiHidden/>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kern w:val="2"/>
      <w:sz w:val="18"/>
      <w:szCs w:val="18"/>
    </w:rPr>
  </w:style>
  <w:style w:type="character" w:customStyle="1" w:styleId="11">
    <w:name w:val="纯文本 字符"/>
    <w:basedOn w:val="7"/>
    <w:link w:val="2"/>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807</Words>
  <Characters>4603</Characters>
  <Lines>38</Lines>
  <Paragraphs>10</Paragraphs>
  <TotalTime>12</TotalTime>
  <ScaleCrop>false</ScaleCrop>
  <LinksUpToDate>false</LinksUpToDate>
  <CharactersWithSpaces>5400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2018-05-15T07:48:00Z</dcterms:created>
  <dc:creator>Ꮨ໓ᐠ໓頀ߓ韰ߓ頤ߓ辨ࡿꚐ̪領ߓ願ߓ題ߓ顤ߓ顰ߓ颀ߓ颌ߓ题ߓ颤ߓ飌ߓ飘ߓ飤ߓᐠ໓쌀ຄ餀ߓꚐ̪</dc:creator>
  <cp:lastModifiedBy>emmmmmm</cp:lastModifiedBy>
  <cp:lastPrinted>2019-11-18T07:23:00Z</cp:lastPrinted>
  <dcterms:modified xsi:type="dcterms:W3CDTF">2020-02-13T06:25:09Z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