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jc w:val="left"/>
      </w:pPr>
      <w:r>
        <w:rPr>
          <w:rFonts w:hint="eastAsia"/>
        </w:rPr>
        <w:t>表.6</w:t>
      </w:r>
    </w:p>
    <w:p>
      <w:pPr>
        <w:shd w:val="clear"/>
        <w:spacing w:line="420" w:lineRule="exact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财政拨款收支总体情况表</w:t>
      </w:r>
    </w:p>
    <w:bookmarkEnd w:id="0"/>
    <w:p>
      <w:pPr>
        <w:shd w:val="clear"/>
        <w:spacing w:line="420" w:lineRule="exact"/>
        <w:rPr>
          <w:sz w:val="18"/>
          <w:szCs w:val="18"/>
        </w:rPr>
      </w:pPr>
    </w:p>
    <w:tbl>
      <w:tblPr>
        <w:tblStyle w:val="3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2301"/>
        <w:gridCol w:w="3466"/>
        <w:gridCol w:w="116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 盐田区妇联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            入</w:t>
            </w:r>
          </w:p>
        </w:tc>
        <w:tc>
          <w:tcPr>
            <w:tcW w:w="69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    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  目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 年预算数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  目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 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一、一般公共预算拨款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617.94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一般性经费拨款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群众团体事务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617.94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财政专项资金拨款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行政运行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政府投资项目拨款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其他群众团体事务支出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二、政府性基金预算拨款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社会保障和就业支出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行政事业单位养老支出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行政单位离退休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机关事业单位基本养老保险缴费支出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机关事业单位职业年金缴费支出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卫生健康支出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行政事业单位医疗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行政单位医疗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住房保障支出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住房改革支出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住房公积金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购房补贴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本年收入合计      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本年支出合计      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上年结余、结转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收入总计      </w:t>
            </w:r>
          </w:p>
        </w:tc>
        <w:tc>
          <w:tcPr>
            <w:tcW w:w="2301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支出总计      </w:t>
            </w:r>
          </w:p>
        </w:tc>
        <w:tc>
          <w:tcPr>
            <w:tcW w:w="230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771AE"/>
    <w:rsid w:val="6A4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2020-02-25T01:29:00Z</dcterms:created>
  <dc:creator>鄢玲</dc:creator>
  <cp:lastModifiedBy>鄢玲</cp:lastModifiedBy>
  <dcterms:modified xsi:type="dcterms:W3CDTF">2020-02-25T01:30:15Z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