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55" w:type="dxa"/>
        <w:tblInd w:w="-10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4"/>
        <w:gridCol w:w="1781"/>
        <w:gridCol w:w="1692"/>
        <w:gridCol w:w="1200"/>
        <w:gridCol w:w="1848"/>
        <w:gridCol w:w="560"/>
        <w:gridCol w:w="1590"/>
        <w:gridCol w:w="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5" w:hRule="atLeast"/>
        </w:trPr>
        <w:tc>
          <w:tcPr>
            <w:tcW w:w="10665" w:type="dxa"/>
            <w:gridSpan w:val="7"/>
            <w:shd w:val="clear" w:color="auto" w:fill="auto"/>
            <w:vAlign w:val="center"/>
          </w:tcPr>
          <w:p>
            <w:pPr>
              <w:shd w:val="clear"/>
              <w:spacing w:line="420" w:lineRule="exact"/>
              <w:ind w:right="640"/>
              <w:rPr>
                <w:rFonts w:ascii="宋体" w:hAnsi="宋体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Cs w:val="21"/>
              </w:rPr>
              <w:t>表15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44" w:hRule="atLeast"/>
        </w:trPr>
        <w:tc>
          <w:tcPr>
            <w:tcW w:w="10665" w:type="dxa"/>
            <w:gridSpan w:val="7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重点项目支出绩效目标申报表</w:t>
            </w:r>
            <w:bookmarkEnd w:id="0"/>
            <w:r>
              <w:rPr>
                <w:rFonts w:hint="eastAsia" w:ascii="宋体" w:hAnsi="宋体"/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44" w:hRule="atLeast"/>
        </w:trPr>
        <w:tc>
          <w:tcPr>
            <w:tcW w:w="10665" w:type="dxa"/>
            <w:gridSpan w:val="7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10665" w:type="dxa"/>
            <w:gridSpan w:val="7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填报单位：（盖章）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2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阳光家庭服务项目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延续性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项目周期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项目主管部门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常规性项目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是否重点项目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项目实施单位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项目联系人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韩翠萍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22320188、13510432330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项目资金（万元）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56.40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财政拨款（万元）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56.40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其他资金（万元）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54" w:hRule="atLeas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项目立项情况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项目设立的依据</w:t>
            </w:r>
          </w:p>
        </w:tc>
        <w:tc>
          <w:tcPr>
            <w:tcW w:w="6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深圳大力推进社会建设， 2012年7月以来，深圳市社会工作发展规划将“阳光家庭综合服务中心”项目纳入社区服务中心体系，朝着社区服务中心的发展思路去发展。盐田区妇联阳光家庭服务中心（以下简称中心）于2018年转型升为开展专业化项目服务在此大背景下，始终坚持“平等、尊重、以人为本、助人自助”的宗旨，积极尝试转型升级，在原有以家庭、妇女儿童为主的服务群体基础上增加了婴幼儿、青少年，为社区居民提供贴心、专业的社工服务。该项目在近10年的公益服务中，得到了政府、社会的认可，需要继续的延续该品牌服务。"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54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项目申报的必要性</w:t>
            </w:r>
          </w:p>
        </w:tc>
        <w:tc>
          <w:tcPr>
            <w:tcW w:w="6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根据辖区有关妇女、儿童及其家庭的服务需求调研，中心已有6000户会员家庭计2万人，辖区的居民在以下几个方面需求较大：1、儿童及青少年服务：日常来访与探访服务、儿童及青少年多元智能成长培养、咨询与辅导服务等。2、妇女服务：日常来访与探访服务、妇女维权与关爱、妇女互助团体孵化、妇女个人成长及素质提升等系列服务。3、家庭服务：协助单亲、贫困、空巢失独家庭争取资源，完善社会支持网络，提高生活信心，促进家庭和谐。区妇联结合盐田区妇女儿童发展规划的需要，该项目在推动和影响盐田区妇女社会工作的发展，以盐田区妇女儿童之家为平台，遵循“心系盐田，服务家庭”的服务理念，为盐田区妇女、儿童及其家庭提供公益早教、儿童成长、妇女增能，促进家庭功能的恢复与提升等专业服务，从而提升盐田区妇女、儿童、家庭的服务水平，促进家庭和谐及社会和谐。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54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项目申报的可行性</w:t>
            </w:r>
          </w:p>
        </w:tc>
        <w:tc>
          <w:tcPr>
            <w:tcW w:w="6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阳光家庭服务中心依托盐田区妇女儿童之家为服务阵地，服务场地占地面积约1378平方米，拥有七大功能室：阳光书吧、优优宝宝早教室、女性生活体验馆、家庭深度支援服务中心、形体训练室、多功能室、健身室。配备4名专业社工，其中3级社工1名、6级社工1名、7级社工2名。目前，中心共建立了6000多户会员家庭，总服务量达到14万人次。居民对社工开展服务的满意度达98%，服务受到居民极大的欢迎和认可。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项目中长期目标</w:t>
            </w:r>
          </w:p>
        </w:tc>
        <w:tc>
          <w:tcPr>
            <w:tcW w:w="8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1．针对不同服务对象的各层次需求，形成一套标准化的操作流程，并且形成一套全面、综合的中心运营管理制度和经验报告；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2．搭建辖区妇女、儿童及其家庭服务平台，成立家庭深度服务支援中心和家庭专业服务资源平台；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3．在中心原有的服务基础上有所创新，形成1－2个品牌服务项目或延伸项目，比如：优优宝宝早教项目、儿童友好型社区服务；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4．辖区居民参与度有所提高，提升家庭面对逆境的能力，巩固和强化家庭功能，成为盐田区妇女儿童之家服务的示范点。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项目年度目标</w:t>
            </w:r>
          </w:p>
        </w:tc>
        <w:tc>
          <w:tcPr>
            <w:tcW w:w="8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结合不同群体或子项目进行动态调研，形成服务动态调研报告；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2.形成一套适合中心使用的运营管理制度；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3.完善“会员管理模式”与婴幼儿早教理念推广服务项目；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4.提炼“家庭深度服务资源中心”服务个案深度需求， 结合该服务，拟定平台运营制度；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5.推动“优优宝宝”婴幼儿早教理念推广平台建设与发展，搭建辖区政府公益早教服务平台；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6.为打造“示范基地”，建立稳定的亲子义工队，建设亲子阅读示范点；</w:t>
            </w:r>
            <w:r>
              <w:rPr>
                <w:rFonts w:hint="eastAsia" w:ascii="宋体" w:hAnsi="宋体" w:cs="宋体"/>
                <w:sz w:val="20"/>
                <w:szCs w:val="20"/>
              </w:rPr>
              <w:cr/>
            </w:r>
            <w:r>
              <w:rPr>
                <w:rFonts w:hint="eastAsia" w:ascii="宋体" w:hAnsi="宋体" w:cs="宋体"/>
                <w:sz w:val="20"/>
                <w:szCs w:val="20"/>
              </w:rPr>
              <w:t>7.加强服务的宣传与推广工作，扩大中心的公益服务覆盖面与影响力。</w:t>
            </w:r>
          </w:p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一级指标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二级指标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投入指标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测算明细</w:t>
            </w:r>
          </w:p>
        </w:tc>
        <w:tc>
          <w:tcPr>
            <w:tcW w:w="5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1.项目包含4名社工人员经费54万元，定级分别约为：3级1名20万、6级1名12万、7级2名22万。2.项目运营经费在2.4万元。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投入指标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资金支出进度</w:t>
            </w:r>
          </w:p>
        </w:tc>
        <w:tc>
          <w:tcPr>
            <w:tcW w:w="5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第一季度支出70%； 第四季度支出30%。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项目管理制度、专业服务表格、上墙制度及流程；财务报告、工作总结报告、外展宣传活动；印制服务宣传资料；年刊、服务成长手册等。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各1套或一批次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常态化服务（含兴趣文体团队训练、周末影院、阳光书吧等）场次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每周至少5场次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专业化、主题性的社工服务场次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每月至少4场次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个案服务（咨询、辅导及治疗）人次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每月至少2人次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小组服务（专业性团体服务）节次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至少10节次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会员家庭户数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200户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妇女儿童家庭服务覆盖率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阳光妈妈合唱团水平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专业化、国际化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服务场地使用率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产出指标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工作时效</w:t>
            </w:r>
          </w:p>
        </w:tc>
        <w:tc>
          <w:tcPr>
            <w:tcW w:w="5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根据年度计划或者行事历进行开展，尤其是相关服务结合服务群体的特殊情况开展。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经济效益指标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不适用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不适用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社会效益指标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个案咨询及服务有效率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社会效益指标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公益早教理念推广覆盖率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社会效益指标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儿童友好空间使用率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生态效益指标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不适用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不适用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可持续影响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项目持续发挥作用的期限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3年及以上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可持续影响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对本行业未来可持续发展的影响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示范点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服务对象满意度指标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服务对象对中心工作的满意度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≥90%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服务对象满意度指标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利益相关方对中心工作的满意度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≥90%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403" w:hRule="atLeas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年度绩效指标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服务对象满意度指标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服务对象的投诉次数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>
      <w:pPr>
        <w:shd w:val="clear"/>
      </w:pPr>
    </w:p>
    <w:p/>
    <w:sectPr>
      <w:pgSz w:w="11906" w:h="16838"/>
      <w:pgMar w:top="1440" w:right="1800" w:bottom="1440" w:left="1800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1E17F"/>
    <w:multiLevelType w:val="singleLevel"/>
    <w:tmpl w:val="FD01E1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6023"/>
    <w:rsid w:val="6C49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2020-02-25T01:34:00Z</dcterms:created>
  <dc:creator>鄢玲</dc:creator>
  <cp:lastModifiedBy>鄢玲</cp:lastModifiedBy>
  <dcterms:modified xsi:type="dcterms:W3CDTF">2020-02-25T01:35:10Z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