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p>
    <w:p>
      <w:pPr>
        <w:spacing w:line="560" w:lineRule="exact"/>
        <w:rPr>
          <w:rFonts w:hint="eastAsia" w:ascii="黑体" w:hAnsi="黑体" w:eastAsia="黑体" w:cs="黑体"/>
          <w:sz w:val="32"/>
          <w:szCs w:val="32"/>
          <w:lang w:val="en-US" w:eastAsia="zh-CN"/>
        </w:rPr>
      </w:pPr>
    </w:p>
    <w:p>
      <w:pPr>
        <w:spacing w:line="590" w:lineRule="exact"/>
        <w:jc w:val="center"/>
        <w:rPr>
          <w:rFonts w:hint="eastAsia" w:ascii="方正小标宋简体" w:eastAsia="方正小标宋简体"/>
          <w:sz w:val="44"/>
          <w:szCs w:val="44"/>
          <w:highlight w:val="none"/>
        </w:rPr>
      </w:pPr>
      <w:r>
        <w:rPr>
          <w:rFonts w:hint="eastAsia" w:ascii="方正小标宋简体" w:eastAsia="方正小标宋简体"/>
          <w:color w:val="auto"/>
          <w:sz w:val="44"/>
          <w:szCs w:val="44"/>
          <w:highlight w:val="none"/>
        </w:rPr>
        <w:t>深圳市盐田区</w:t>
      </w:r>
      <w:r>
        <w:rPr>
          <w:rFonts w:hint="eastAsia" w:ascii="方正小标宋简体" w:eastAsia="方正小标宋简体"/>
          <w:sz w:val="44"/>
          <w:szCs w:val="44"/>
          <w:highlight w:val="none"/>
        </w:rPr>
        <w:t>特定资金存放银行</w:t>
      </w:r>
    </w:p>
    <w:p>
      <w:pPr>
        <w:spacing w:line="590" w:lineRule="exact"/>
        <w:jc w:val="center"/>
        <w:rPr>
          <w:rFonts w:hint="eastAsia" w:ascii="方正小标宋简体" w:eastAsia="方正小标宋简体"/>
          <w:sz w:val="44"/>
          <w:szCs w:val="44"/>
          <w:highlight w:val="none"/>
        </w:rPr>
      </w:pPr>
      <w:r>
        <w:rPr>
          <w:rFonts w:hint="eastAsia" w:ascii="方正小标宋简体" w:eastAsia="方正小标宋简体"/>
          <w:sz w:val="44"/>
          <w:szCs w:val="44"/>
          <w:highlight w:val="none"/>
        </w:rPr>
        <w:t>遴选工作指引</w:t>
      </w:r>
    </w:p>
    <w:p>
      <w:pPr>
        <w:spacing w:line="590" w:lineRule="exact"/>
        <w:jc w:val="center"/>
        <w:rPr>
          <w:rFonts w:hint="eastAsia" w:ascii="楷体_GB2312" w:hAnsi="楷体_GB2312" w:eastAsia="楷体_GB2312" w:cs="楷体_GB2312"/>
          <w:sz w:val="32"/>
          <w:szCs w:val="32"/>
          <w:highlight w:val="none"/>
          <w:lang w:eastAsia="zh-CN"/>
        </w:rPr>
      </w:pPr>
    </w:p>
    <w:p>
      <w:pPr>
        <w:spacing w:line="560" w:lineRule="exact"/>
        <w:ind w:firstLine="0" w:firstLineChars="0"/>
        <w:jc w:val="center"/>
        <w:rPr>
          <w:rFonts w:ascii="黑体" w:hAnsi="黑体" w:eastAsia="黑体"/>
          <w:sz w:val="32"/>
          <w:szCs w:val="32"/>
          <w:highlight w:val="none"/>
        </w:rPr>
      </w:pPr>
      <w:r>
        <w:rPr>
          <w:rFonts w:hint="eastAsia" w:ascii="黑体" w:hAnsi="黑体" w:eastAsia="黑体"/>
          <w:sz w:val="32"/>
          <w:szCs w:val="32"/>
          <w:highlight w:val="none"/>
        </w:rPr>
        <w:t>第一章</w:t>
      </w:r>
      <w:r>
        <w:rPr>
          <w:rFonts w:ascii="黑体" w:hAnsi="黑体" w:eastAsia="黑体"/>
          <w:sz w:val="32"/>
          <w:szCs w:val="32"/>
          <w:highlight w:val="none"/>
        </w:rPr>
        <w:tab/>
      </w:r>
      <w:r>
        <w:rPr>
          <w:rFonts w:hint="eastAsia" w:ascii="黑体" w:hAnsi="黑体" w:eastAsia="黑体"/>
          <w:sz w:val="32"/>
          <w:szCs w:val="32"/>
          <w:highlight w:val="none"/>
        </w:rPr>
        <w:t>总则</w:t>
      </w:r>
    </w:p>
    <w:p>
      <w:pPr>
        <w:spacing w:line="560" w:lineRule="exact"/>
        <w:ind w:firstLine="640" w:firstLineChars="200"/>
        <w:rPr>
          <w:rFonts w:ascii="仿宋_GB2312" w:eastAsia="仿宋_GB2312"/>
          <w:sz w:val="32"/>
          <w:szCs w:val="32"/>
          <w:highlight w:val="none"/>
        </w:rPr>
      </w:pPr>
      <w:r>
        <w:rPr>
          <w:rFonts w:hint="eastAsia" w:ascii="黑体" w:hAnsi="黑体" w:eastAsia="黑体"/>
          <w:sz w:val="32"/>
          <w:szCs w:val="32"/>
          <w:highlight w:val="none"/>
        </w:rPr>
        <w:t>第一条</w:t>
      </w:r>
      <w:r>
        <w:rPr>
          <w:rFonts w:hint="eastAsia" w:ascii="仿宋_GB2312" w:eastAsia="仿宋_GB2312"/>
          <w:sz w:val="32"/>
          <w:szCs w:val="32"/>
          <w:highlight w:val="none"/>
        </w:rPr>
        <w:t xml:space="preserve">  为</w:t>
      </w:r>
      <w:r>
        <w:rPr>
          <w:rFonts w:hint="eastAsia" w:ascii="仿宋_GB2312" w:eastAsia="仿宋_GB2312"/>
          <w:sz w:val="32"/>
          <w:szCs w:val="32"/>
          <w:highlight w:val="none"/>
          <w:lang w:eastAsia="zh-CN"/>
        </w:rPr>
        <w:t>了</w:t>
      </w:r>
      <w:r>
        <w:rPr>
          <w:rFonts w:hint="eastAsia" w:ascii="仿宋_GB2312" w:eastAsia="仿宋_GB2312"/>
          <w:sz w:val="32"/>
          <w:szCs w:val="32"/>
          <w:highlight w:val="none"/>
        </w:rPr>
        <w:t>进一步</w:t>
      </w:r>
      <w:r>
        <w:rPr>
          <w:rFonts w:hint="eastAsia" w:ascii="仿宋_GB2312" w:eastAsia="仿宋_GB2312"/>
          <w:sz w:val="32"/>
          <w:szCs w:val="32"/>
          <w:highlight w:val="none"/>
          <w:lang w:eastAsia="zh-CN"/>
        </w:rPr>
        <w:t>发挥财政资金的引导和杠杆作用，加强相关资金管理，</w:t>
      </w:r>
      <w:r>
        <w:rPr>
          <w:rFonts w:hint="eastAsia" w:ascii="仿宋_GB2312" w:eastAsia="仿宋_GB2312"/>
          <w:sz w:val="32"/>
          <w:szCs w:val="32"/>
          <w:highlight w:val="none"/>
        </w:rPr>
        <w:t>促进盐田经济</w:t>
      </w:r>
      <w:r>
        <w:rPr>
          <w:rFonts w:hint="eastAsia" w:ascii="仿宋_GB2312" w:eastAsia="仿宋_GB2312"/>
          <w:sz w:val="32"/>
          <w:szCs w:val="32"/>
          <w:highlight w:val="none"/>
          <w:lang w:eastAsia="zh-CN"/>
        </w:rPr>
        <w:t>高质量</w:t>
      </w:r>
      <w:r>
        <w:rPr>
          <w:rFonts w:hint="eastAsia" w:ascii="仿宋_GB2312" w:eastAsia="仿宋_GB2312"/>
          <w:sz w:val="32"/>
          <w:szCs w:val="32"/>
          <w:highlight w:val="none"/>
        </w:rPr>
        <w:t>发展，根据《中华人民共和国预算法》等</w:t>
      </w:r>
      <w:r>
        <w:rPr>
          <w:rFonts w:hint="eastAsia" w:ascii="仿宋_GB2312" w:eastAsia="仿宋_GB2312"/>
          <w:sz w:val="32"/>
          <w:szCs w:val="32"/>
          <w:highlight w:val="none"/>
          <w:lang w:eastAsia="zh-CN"/>
        </w:rPr>
        <w:t>法律</w:t>
      </w:r>
      <w:r>
        <w:rPr>
          <w:rFonts w:hint="eastAsia" w:ascii="仿宋_GB2312" w:eastAsia="仿宋_GB2312"/>
          <w:sz w:val="32"/>
          <w:szCs w:val="32"/>
          <w:highlight w:val="none"/>
        </w:rPr>
        <w:t>规定，制定本指引。</w:t>
      </w:r>
    </w:p>
    <w:p>
      <w:pPr>
        <w:spacing w:line="560" w:lineRule="exact"/>
        <w:ind w:firstLine="640" w:firstLineChars="200"/>
        <w:rPr>
          <w:rFonts w:ascii="仿宋_GB2312" w:eastAsia="仿宋_GB2312"/>
          <w:sz w:val="32"/>
          <w:szCs w:val="32"/>
          <w:highlight w:val="none"/>
        </w:rPr>
      </w:pPr>
      <w:r>
        <w:rPr>
          <w:rFonts w:hint="eastAsia" w:ascii="黑体" w:hAnsi="黑体" w:eastAsia="黑体"/>
          <w:sz w:val="32"/>
          <w:szCs w:val="32"/>
          <w:highlight w:val="none"/>
        </w:rPr>
        <w:t>第二条</w:t>
      </w:r>
      <w:r>
        <w:rPr>
          <w:rFonts w:hint="eastAsia" w:ascii="仿宋_GB2312" w:eastAsia="仿宋_GB2312"/>
          <w:sz w:val="32"/>
          <w:szCs w:val="32"/>
          <w:highlight w:val="none"/>
        </w:rPr>
        <w:t xml:space="preserve">  本指引所称特定资金</w:t>
      </w:r>
      <w:r>
        <w:rPr>
          <w:rFonts w:hint="eastAsia" w:ascii="仿宋_GB2312" w:eastAsia="仿宋_GB2312"/>
          <w:sz w:val="32"/>
          <w:szCs w:val="32"/>
          <w:highlight w:val="none"/>
          <w:lang w:val="en-US" w:eastAsia="zh-CN"/>
        </w:rPr>
        <w:t>,是</w:t>
      </w:r>
      <w:r>
        <w:rPr>
          <w:rFonts w:hint="eastAsia" w:ascii="仿宋_GB2312" w:eastAsia="仿宋_GB2312"/>
          <w:sz w:val="32"/>
          <w:szCs w:val="32"/>
          <w:highlight w:val="none"/>
        </w:rPr>
        <w:t>指资金来源为财政资金，且已完成财政支出全链条流程，但仍需特殊管理的资金。包括:政府投资代建项目监管资金、政府投资引导基金、</w:t>
      </w:r>
      <w:r>
        <w:rPr>
          <w:rFonts w:hint="eastAsia" w:ascii="仿宋_GB2312" w:eastAsia="仿宋_GB2312"/>
          <w:sz w:val="32"/>
          <w:szCs w:val="32"/>
          <w:highlight w:val="none"/>
          <w:lang w:eastAsia="zh-CN"/>
        </w:rPr>
        <w:t>区财政</w:t>
      </w:r>
      <w:r>
        <w:rPr>
          <w:rFonts w:hint="eastAsia" w:ascii="仿宋_GB2312" w:eastAsia="仿宋_GB2312"/>
          <w:sz w:val="32"/>
          <w:szCs w:val="32"/>
          <w:highlight w:val="none"/>
        </w:rPr>
        <w:t>投向区属国企的资金等。</w:t>
      </w:r>
    </w:p>
    <w:p>
      <w:pPr>
        <w:spacing w:line="560" w:lineRule="exact"/>
        <w:ind w:firstLine="640" w:firstLineChars="200"/>
        <w:rPr>
          <w:rFonts w:ascii="仿宋_GB2312" w:eastAsia="仿宋_GB2312"/>
          <w:sz w:val="32"/>
          <w:szCs w:val="32"/>
          <w:highlight w:val="none"/>
        </w:rPr>
      </w:pPr>
      <w:r>
        <w:rPr>
          <w:rFonts w:hint="eastAsia" w:ascii="黑体" w:hAnsi="黑体" w:eastAsia="黑体"/>
          <w:sz w:val="32"/>
          <w:szCs w:val="32"/>
          <w:highlight w:val="none"/>
        </w:rPr>
        <w:t>第三条</w:t>
      </w:r>
      <w:r>
        <w:rPr>
          <w:rFonts w:hint="eastAsia" w:ascii="仿宋_GB2312" w:eastAsia="仿宋_GB2312"/>
          <w:sz w:val="32"/>
          <w:szCs w:val="32"/>
          <w:highlight w:val="none"/>
        </w:rPr>
        <w:t xml:space="preserve">  本指引用以规范特定资金的责任单位和特定资金主管部门的行为。</w:t>
      </w:r>
    </w:p>
    <w:p>
      <w:pPr>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特定资金的责任单位为特定资金存放银行的账户开设主体。</w:t>
      </w:r>
    </w:p>
    <w:p>
      <w:pPr>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特定资金的主管部门为向财政申请预算且进行支付的预算单位。政府投资代建项目监管资金的主管部门为委托单位，政府投资引导基金的主管部门为区财政局，</w:t>
      </w:r>
      <w:r>
        <w:rPr>
          <w:rFonts w:hint="eastAsia" w:ascii="仿宋_GB2312" w:eastAsia="仿宋_GB2312"/>
          <w:sz w:val="32"/>
          <w:szCs w:val="32"/>
          <w:highlight w:val="none"/>
          <w:lang w:eastAsia="zh-CN"/>
        </w:rPr>
        <w:t>区财政</w:t>
      </w:r>
      <w:r>
        <w:rPr>
          <w:rFonts w:hint="eastAsia" w:ascii="仿宋_GB2312" w:eastAsia="仿宋_GB2312"/>
          <w:sz w:val="32"/>
          <w:szCs w:val="32"/>
          <w:highlight w:val="none"/>
        </w:rPr>
        <w:t>投向区属国企的资金主管部门为区国资局。</w:t>
      </w:r>
    </w:p>
    <w:p>
      <w:pPr>
        <w:spacing w:line="560" w:lineRule="exact"/>
        <w:ind w:firstLine="640" w:firstLineChars="200"/>
        <w:rPr>
          <w:rFonts w:ascii="仿宋_GB2312" w:eastAsia="仿宋_GB2312"/>
          <w:sz w:val="32"/>
          <w:szCs w:val="32"/>
          <w:highlight w:val="none"/>
        </w:rPr>
      </w:pPr>
      <w:r>
        <w:rPr>
          <w:rFonts w:hint="eastAsia" w:ascii="黑体" w:hAnsi="黑体" w:eastAsia="黑体"/>
          <w:sz w:val="32"/>
          <w:szCs w:val="32"/>
          <w:highlight w:val="none"/>
        </w:rPr>
        <w:t>第</w:t>
      </w:r>
      <w:r>
        <w:rPr>
          <w:rFonts w:hint="eastAsia" w:ascii="黑体" w:hAnsi="黑体" w:eastAsia="黑体"/>
          <w:sz w:val="32"/>
          <w:szCs w:val="32"/>
          <w:highlight w:val="none"/>
          <w:lang w:eastAsia="zh-CN"/>
        </w:rPr>
        <w:t>四</w:t>
      </w:r>
      <w:r>
        <w:rPr>
          <w:rFonts w:hint="eastAsia" w:ascii="黑体" w:hAnsi="黑体" w:eastAsia="黑体"/>
          <w:sz w:val="32"/>
          <w:szCs w:val="32"/>
          <w:highlight w:val="none"/>
        </w:rPr>
        <w:t>条</w:t>
      </w:r>
      <w:r>
        <w:rPr>
          <w:rFonts w:hint="eastAsia" w:ascii="仿宋_GB2312" w:eastAsia="仿宋_GB2312"/>
          <w:sz w:val="32"/>
          <w:szCs w:val="32"/>
          <w:highlight w:val="none"/>
        </w:rPr>
        <w:t xml:space="preserve">  特定资金存放银行遴选，应遵循“规范、公平、透明、效益”的原则。</w:t>
      </w:r>
    </w:p>
    <w:p>
      <w:pPr>
        <w:spacing w:line="560" w:lineRule="exact"/>
        <w:ind w:firstLine="0" w:firstLineChars="0"/>
        <w:jc w:val="center"/>
        <w:rPr>
          <w:rFonts w:ascii="黑体" w:hAnsi="黑体" w:eastAsia="黑体"/>
          <w:sz w:val="32"/>
          <w:szCs w:val="32"/>
          <w:highlight w:val="none"/>
        </w:rPr>
      </w:pPr>
      <w:r>
        <w:rPr>
          <w:rFonts w:hint="eastAsia" w:ascii="黑体" w:hAnsi="黑体" w:eastAsia="黑体"/>
          <w:sz w:val="32"/>
          <w:szCs w:val="32"/>
          <w:highlight w:val="none"/>
        </w:rPr>
        <w:t>第二章</w:t>
      </w:r>
      <w:r>
        <w:rPr>
          <w:rFonts w:ascii="黑体" w:hAnsi="黑体" w:eastAsia="黑体"/>
          <w:sz w:val="32"/>
          <w:szCs w:val="32"/>
          <w:highlight w:val="none"/>
        </w:rPr>
        <w:tab/>
      </w:r>
      <w:r>
        <w:rPr>
          <w:rFonts w:hint="eastAsia" w:ascii="黑体" w:hAnsi="黑体" w:eastAsia="黑体"/>
          <w:sz w:val="32"/>
          <w:szCs w:val="32"/>
          <w:highlight w:val="none"/>
        </w:rPr>
        <w:t>组织实施</w:t>
      </w:r>
    </w:p>
    <w:p>
      <w:pPr>
        <w:spacing w:line="560" w:lineRule="exact"/>
        <w:ind w:firstLine="640" w:firstLineChars="200"/>
        <w:rPr>
          <w:rFonts w:ascii="黑体" w:hAnsi="黑体" w:eastAsia="黑体"/>
          <w:sz w:val="32"/>
          <w:szCs w:val="32"/>
          <w:highlight w:val="none"/>
        </w:rPr>
      </w:pPr>
      <w:r>
        <w:rPr>
          <w:rFonts w:hint="eastAsia" w:ascii="黑体" w:hAnsi="黑体" w:eastAsia="黑体"/>
          <w:sz w:val="32"/>
          <w:szCs w:val="32"/>
          <w:highlight w:val="none"/>
        </w:rPr>
        <w:t>第</w:t>
      </w:r>
      <w:r>
        <w:rPr>
          <w:rFonts w:hint="eastAsia" w:ascii="黑体" w:hAnsi="黑体" w:eastAsia="黑体"/>
          <w:sz w:val="32"/>
          <w:szCs w:val="32"/>
          <w:highlight w:val="none"/>
          <w:lang w:eastAsia="zh-CN"/>
        </w:rPr>
        <w:t>五</w:t>
      </w:r>
      <w:r>
        <w:rPr>
          <w:rFonts w:hint="eastAsia" w:ascii="黑体" w:hAnsi="黑体" w:eastAsia="黑体"/>
          <w:sz w:val="32"/>
          <w:szCs w:val="32"/>
          <w:highlight w:val="none"/>
        </w:rPr>
        <w:t>条</w:t>
      </w:r>
      <w:r>
        <w:rPr>
          <w:rFonts w:hint="eastAsia" w:ascii="仿宋_GB2312" w:eastAsia="仿宋_GB2312"/>
          <w:sz w:val="32"/>
          <w:szCs w:val="32"/>
          <w:highlight w:val="none"/>
        </w:rPr>
        <w:t xml:space="preserve">  </w:t>
      </w:r>
      <w:r>
        <w:rPr>
          <w:rFonts w:hint="eastAsia" w:ascii="仿宋_GB2312" w:hAnsi="黑体" w:eastAsia="仿宋_GB2312"/>
          <w:sz w:val="32"/>
          <w:szCs w:val="32"/>
          <w:highlight w:val="none"/>
        </w:rPr>
        <w:t>特定资金的责任单位应选择同城银行经办机构（包含深汕合作区）作为特定资金存放银行，不得在非银行业金融机构、异地银行经办机构存放特定资金。</w:t>
      </w:r>
    </w:p>
    <w:p>
      <w:pPr>
        <w:spacing w:line="560" w:lineRule="exact"/>
        <w:ind w:firstLine="640" w:firstLineChars="200"/>
        <w:rPr>
          <w:rFonts w:ascii="仿宋_GB2312" w:eastAsia="仿宋_GB2312"/>
          <w:sz w:val="32"/>
          <w:szCs w:val="32"/>
          <w:highlight w:val="none"/>
        </w:rPr>
      </w:pPr>
      <w:r>
        <w:rPr>
          <w:rFonts w:hint="eastAsia" w:ascii="黑体" w:hAnsi="黑体" w:eastAsia="黑体"/>
          <w:sz w:val="32"/>
          <w:szCs w:val="32"/>
          <w:highlight w:val="none"/>
        </w:rPr>
        <w:t>第</w:t>
      </w:r>
      <w:r>
        <w:rPr>
          <w:rFonts w:hint="eastAsia" w:ascii="黑体" w:hAnsi="黑体" w:eastAsia="黑体"/>
          <w:sz w:val="32"/>
          <w:szCs w:val="32"/>
          <w:highlight w:val="none"/>
          <w:lang w:eastAsia="zh-CN"/>
        </w:rPr>
        <w:t>六</w:t>
      </w:r>
      <w:r>
        <w:rPr>
          <w:rFonts w:hint="eastAsia" w:ascii="黑体" w:hAnsi="黑体" w:eastAsia="黑体"/>
          <w:sz w:val="32"/>
          <w:szCs w:val="32"/>
          <w:highlight w:val="none"/>
        </w:rPr>
        <w:t>条</w:t>
      </w:r>
      <w:r>
        <w:rPr>
          <w:rFonts w:hint="eastAsia" w:ascii="仿宋_GB2312" w:eastAsia="仿宋_GB2312"/>
          <w:sz w:val="32"/>
          <w:szCs w:val="32"/>
          <w:highlight w:val="none"/>
        </w:rPr>
        <w:t xml:space="preserve">  盐田区特定资金存放选择的银行应同时符合下列条件：</w:t>
      </w:r>
    </w:p>
    <w:p>
      <w:pPr>
        <w:spacing w:line="560" w:lineRule="exact"/>
        <w:ind w:firstLine="640" w:firstLineChars="200"/>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rPr>
        <w:t>（一）系国有商业银行、股份制商业银行、城市商业银行、农村商业银行在深分行级以上（含分行）营业机构</w:t>
      </w:r>
      <w:r>
        <w:rPr>
          <w:rFonts w:hint="eastAsia" w:ascii="仿宋_GB2312" w:eastAsia="仿宋_GB2312"/>
          <w:color w:val="auto"/>
          <w:sz w:val="32"/>
          <w:szCs w:val="32"/>
          <w:highlight w:val="none"/>
          <w:lang w:val="en-US" w:eastAsia="zh-CN"/>
        </w:rPr>
        <w:t>;</w:t>
      </w:r>
    </w:p>
    <w:p>
      <w:pPr>
        <w:spacing w:line="560" w:lineRule="exact"/>
        <w:ind w:firstLine="640" w:firstLineChars="200"/>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 xml:space="preserve">（二）在中国银行保险监督管理委员会深圳监管局发布的关于各银行年度监管评级的通报中，综合评估结果评定等级为二级及以上，具体通报年份由遴选方根据实际情况确定。 </w:t>
      </w:r>
    </w:p>
    <w:p>
      <w:pPr>
        <w:spacing w:line="560" w:lineRule="exact"/>
        <w:ind w:firstLine="640" w:firstLineChars="200"/>
        <w:rPr>
          <w:rFonts w:ascii="仿宋_GB2312" w:eastAsia="仿宋_GB2312"/>
          <w:sz w:val="32"/>
          <w:szCs w:val="32"/>
          <w:highlight w:val="none"/>
        </w:rPr>
      </w:pPr>
      <w:r>
        <w:rPr>
          <w:rFonts w:hint="eastAsia" w:ascii="黑体" w:hAnsi="黑体" w:eastAsia="黑体"/>
          <w:sz w:val="32"/>
          <w:szCs w:val="32"/>
          <w:highlight w:val="none"/>
        </w:rPr>
        <w:t>第</w:t>
      </w:r>
      <w:r>
        <w:rPr>
          <w:rFonts w:hint="eastAsia" w:ascii="黑体" w:hAnsi="黑体" w:eastAsia="黑体"/>
          <w:sz w:val="32"/>
          <w:szCs w:val="32"/>
          <w:highlight w:val="none"/>
          <w:lang w:eastAsia="zh-CN"/>
        </w:rPr>
        <w:t>七</w:t>
      </w:r>
      <w:r>
        <w:rPr>
          <w:rFonts w:hint="eastAsia" w:ascii="黑体" w:hAnsi="黑体" w:eastAsia="黑体"/>
          <w:sz w:val="32"/>
          <w:szCs w:val="32"/>
          <w:highlight w:val="none"/>
        </w:rPr>
        <w:t>条</w:t>
      </w:r>
      <w:r>
        <w:rPr>
          <w:rFonts w:hint="eastAsia" w:ascii="仿宋_GB2312" w:eastAsia="仿宋_GB2312"/>
          <w:sz w:val="32"/>
          <w:szCs w:val="32"/>
          <w:highlight w:val="none"/>
        </w:rPr>
        <w:t xml:space="preserve">  特定资金存放银行遴选工作由区财政局负责开展，与主管部门、责任单位共同组成评审小组。</w:t>
      </w:r>
    </w:p>
    <w:p>
      <w:pPr>
        <w:spacing w:line="560" w:lineRule="exact"/>
        <w:ind w:firstLine="640" w:firstLineChars="200"/>
        <w:rPr>
          <w:rFonts w:ascii="仿宋_GB2312" w:eastAsia="仿宋_GB2312"/>
          <w:sz w:val="32"/>
          <w:szCs w:val="32"/>
          <w:highlight w:val="none"/>
        </w:rPr>
      </w:pPr>
      <w:r>
        <w:rPr>
          <w:rFonts w:hint="eastAsia" w:ascii="黑体" w:hAnsi="黑体" w:eastAsia="黑体"/>
          <w:sz w:val="32"/>
          <w:szCs w:val="32"/>
          <w:highlight w:val="none"/>
        </w:rPr>
        <w:t>第</w:t>
      </w:r>
      <w:r>
        <w:rPr>
          <w:rFonts w:hint="eastAsia" w:ascii="黑体" w:hAnsi="黑体" w:eastAsia="黑体"/>
          <w:sz w:val="32"/>
          <w:szCs w:val="32"/>
          <w:highlight w:val="none"/>
          <w:lang w:eastAsia="zh-CN"/>
        </w:rPr>
        <w:t>八</w:t>
      </w:r>
      <w:r>
        <w:rPr>
          <w:rFonts w:hint="eastAsia" w:ascii="黑体" w:hAnsi="黑体" w:eastAsia="黑体"/>
          <w:sz w:val="32"/>
          <w:szCs w:val="32"/>
          <w:highlight w:val="none"/>
        </w:rPr>
        <w:t>条</w:t>
      </w:r>
      <w:r>
        <w:rPr>
          <w:rFonts w:hint="eastAsia" w:ascii="仿宋_GB2312" w:eastAsia="仿宋_GB2312"/>
          <w:sz w:val="32"/>
          <w:szCs w:val="32"/>
          <w:highlight w:val="none"/>
        </w:rPr>
        <w:t xml:space="preserve">  特定资金存放银行的遴选原则上由区财政局</w:t>
      </w:r>
      <w:r>
        <w:rPr>
          <w:rFonts w:hint="eastAsia" w:ascii="仿宋_GB2312" w:eastAsia="仿宋_GB2312"/>
          <w:color w:val="auto"/>
          <w:sz w:val="32"/>
          <w:szCs w:val="32"/>
          <w:highlight w:val="none"/>
        </w:rPr>
        <w:t>采取</w:t>
      </w:r>
      <w:r>
        <w:rPr>
          <w:rFonts w:hint="eastAsia" w:ascii="仿宋_GB2312" w:eastAsia="仿宋_GB2312"/>
          <w:color w:val="auto"/>
          <w:sz w:val="32"/>
          <w:szCs w:val="32"/>
          <w:highlight w:val="none"/>
          <w:lang w:eastAsia="zh-CN"/>
        </w:rPr>
        <w:t>竞争性</w:t>
      </w:r>
      <w:r>
        <w:rPr>
          <w:rFonts w:hint="eastAsia" w:ascii="仿宋_GB2312" w:eastAsia="仿宋_GB2312"/>
          <w:color w:val="auto"/>
          <w:sz w:val="32"/>
          <w:szCs w:val="32"/>
          <w:highlight w:val="none"/>
        </w:rPr>
        <w:t>方式</w:t>
      </w:r>
      <w:r>
        <w:rPr>
          <w:rFonts w:hint="eastAsia" w:ascii="仿宋_GB2312" w:eastAsia="仿宋_GB2312"/>
          <w:sz w:val="32"/>
          <w:szCs w:val="32"/>
          <w:highlight w:val="none"/>
        </w:rPr>
        <w:t>进行</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有下列情形之一的，由主管部门会同责任单位，通过集体决策的方式</w:t>
      </w:r>
      <w:r>
        <w:rPr>
          <w:rFonts w:hint="eastAsia" w:ascii="仿宋_GB2312" w:eastAsia="仿宋_GB2312"/>
          <w:sz w:val="32"/>
          <w:szCs w:val="32"/>
          <w:highlight w:val="none"/>
          <w:lang w:eastAsia="zh-CN"/>
        </w:rPr>
        <w:t>进行</w:t>
      </w:r>
      <w:r>
        <w:rPr>
          <w:rFonts w:hint="eastAsia" w:ascii="仿宋_GB2312" w:eastAsia="仿宋_GB2312"/>
          <w:sz w:val="32"/>
          <w:szCs w:val="32"/>
          <w:highlight w:val="none"/>
        </w:rPr>
        <w:t>：</w:t>
      </w:r>
    </w:p>
    <w:p>
      <w:pPr>
        <w:spacing w:line="560" w:lineRule="exact"/>
        <w:ind w:firstLine="640" w:firstLineChars="200"/>
        <w:rPr>
          <w:rFonts w:hint="eastAsia" w:ascii="仿宋_GB2312" w:eastAsia="仿宋_GB2312"/>
          <w:sz w:val="32"/>
          <w:szCs w:val="32"/>
          <w:highlight w:val="none"/>
          <w:lang w:eastAsia="zh-CN"/>
        </w:rPr>
      </w:pPr>
      <w:r>
        <w:rPr>
          <w:rFonts w:hint="eastAsia" w:ascii="仿宋_GB2312" w:eastAsia="仿宋_GB2312"/>
          <w:sz w:val="32"/>
          <w:szCs w:val="32"/>
          <w:highlight w:val="none"/>
        </w:rPr>
        <w:t>（一）预计特定资金</w:t>
      </w:r>
      <w:r>
        <w:rPr>
          <w:rFonts w:hint="eastAsia" w:ascii="仿宋_GB2312" w:eastAsia="仿宋_GB2312"/>
          <w:sz w:val="32"/>
          <w:szCs w:val="32"/>
          <w:highlight w:val="none"/>
          <w:lang w:eastAsia="zh-CN"/>
        </w:rPr>
        <w:t>总</w:t>
      </w:r>
      <w:r>
        <w:rPr>
          <w:rFonts w:hint="eastAsia" w:ascii="仿宋_GB2312" w:eastAsia="仿宋_GB2312"/>
          <w:sz w:val="32"/>
          <w:szCs w:val="32"/>
          <w:highlight w:val="none"/>
        </w:rPr>
        <w:t>额</w:t>
      </w:r>
      <w:r>
        <w:rPr>
          <w:rFonts w:hint="eastAsia" w:ascii="仿宋_GB2312" w:eastAsia="仿宋_GB2312"/>
          <w:sz w:val="32"/>
          <w:szCs w:val="32"/>
          <w:highlight w:val="none"/>
          <w:lang w:eastAsia="zh-CN"/>
        </w:rPr>
        <w:t>在五千</w:t>
      </w:r>
      <w:r>
        <w:rPr>
          <w:rFonts w:hint="eastAsia" w:ascii="仿宋_GB2312" w:eastAsia="仿宋_GB2312"/>
          <w:sz w:val="32"/>
          <w:szCs w:val="32"/>
          <w:highlight w:val="none"/>
        </w:rPr>
        <w:t>万元</w:t>
      </w:r>
      <w:r>
        <w:rPr>
          <w:rFonts w:hint="eastAsia" w:ascii="仿宋_GB2312" w:eastAsia="仿宋_GB2312"/>
          <w:sz w:val="32"/>
          <w:szCs w:val="32"/>
          <w:highlight w:val="none"/>
          <w:lang w:eastAsia="zh-CN"/>
        </w:rPr>
        <w:t>以下的；</w:t>
      </w:r>
    </w:p>
    <w:p>
      <w:pPr>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（二）因时间急迫，采用</w:t>
      </w:r>
      <w:r>
        <w:rPr>
          <w:rFonts w:hint="eastAsia" w:ascii="仿宋_GB2312" w:eastAsia="仿宋_GB2312"/>
          <w:sz w:val="32"/>
          <w:szCs w:val="32"/>
          <w:highlight w:val="none"/>
          <w:lang w:eastAsia="zh-CN"/>
        </w:rPr>
        <w:t>竞争性</w:t>
      </w:r>
      <w:r>
        <w:rPr>
          <w:rFonts w:hint="eastAsia" w:ascii="仿宋_GB2312" w:eastAsia="仿宋_GB2312"/>
          <w:sz w:val="32"/>
          <w:szCs w:val="32"/>
          <w:highlight w:val="none"/>
        </w:rPr>
        <w:t>方式不能满足急需的</w:t>
      </w:r>
      <w:r>
        <w:rPr>
          <w:rFonts w:hint="eastAsia" w:ascii="仿宋_GB2312" w:eastAsia="仿宋_GB2312"/>
          <w:sz w:val="32"/>
          <w:szCs w:val="32"/>
          <w:highlight w:val="none"/>
          <w:lang w:eastAsia="zh-CN"/>
        </w:rPr>
        <w:t>，此种情形，需先</w:t>
      </w:r>
      <w:r>
        <w:rPr>
          <w:rFonts w:hint="eastAsia" w:ascii="仿宋_GB2312" w:eastAsia="仿宋_GB2312"/>
          <w:sz w:val="32"/>
          <w:szCs w:val="32"/>
          <w:highlight w:val="none"/>
        </w:rPr>
        <w:t>报区政府</w:t>
      </w:r>
      <w:r>
        <w:rPr>
          <w:rFonts w:hint="eastAsia" w:ascii="仿宋_GB2312" w:eastAsia="仿宋_GB2312"/>
          <w:sz w:val="32"/>
          <w:szCs w:val="32"/>
          <w:highlight w:val="none"/>
          <w:lang w:eastAsia="zh-CN"/>
        </w:rPr>
        <w:t>审议批准</w:t>
      </w:r>
      <w:r>
        <w:rPr>
          <w:rFonts w:hint="eastAsia" w:ascii="仿宋_GB2312" w:eastAsia="仿宋_GB2312"/>
          <w:sz w:val="32"/>
          <w:szCs w:val="32"/>
          <w:highlight w:val="none"/>
        </w:rPr>
        <w:t>后</w:t>
      </w:r>
      <w:r>
        <w:rPr>
          <w:rFonts w:hint="eastAsia" w:ascii="仿宋_GB2312" w:eastAsia="仿宋_GB2312"/>
          <w:sz w:val="32"/>
          <w:szCs w:val="32"/>
          <w:highlight w:val="none"/>
          <w:lang w:eastAsia="zh-CN"/>
        </w:rPr>
        <w:t>开展</w:t>
      </w:r>
      <w:r>
        <w:rPr>
          <w:rFonts w:hint="eastAsia" w:ascii="仿宋_GB2312" w:eastAsia="仿宋_GB2312"/>
          <w:sz w:val="32"/>
          <w:szCs w:val="32"/>
          <w:highlight w:val="none"/>
        </w:rPr>
        <w:t>。</w:t>
      </w:r>
    </w:p>
    <w:p>
      <w:pPr>
        <w:spacing w:line="560" w:lineRule="exact"/>
        <w:ind w:firstLine="640" w:firstLineChars="200"/>
        <w:rPr>
          <w:rFonts w:ascii="仿宋_GB2312" w:hAnsi="黑体" w:eastAsia="仿宋_GB2312"/>
          <w:sz w:val="32"/>
          <w:szCs w:val="32"/>
          <w:highlight w:val="none"/>
        </w:rPr>
      </w:pPr>
      <w:r>
        <w:rPr>
          <w:rFonts w:hint="eastAsia" w:ascii="黑体" w:hAnsi="黑体" w:eastAsia="黑体"/>
          <w:sz w:val="32"/>
          <w:szCs w:val="32"/>
          <w:highlight w:val="none"/>
        </w:rPr>
        <w:t>第</w:t>
      </w:r>
      <w:r>
        <w:rPr>
          <w:rFonts w:hint="eastAsia" w:ascii="黑体" w:hAnsi="黑体" w:eastAsia="黑体"/>
          <w:sz w:val="32"/>
          <w:szCs w:val="32"/>
          <w:highlight w:val="none"/>
          <w:lang w:eastAsia="zh-CN"/>
        </w:rPr>
        <w:t>九</w:t>
      </w:r>
      <w:r>
        <w:rPr>
          <w:rFonts w:hint="eastAsia" w:ascii="黑体" w:hAnsi="黑体" w:eastAsia="黑体"/>
          <w:sz w:val="32"/>
          <w:szCs w:val="32"/>
          <w:highlight w:val="none"/>
        </w:rPr>
        <w:t>条</w:t>
      </w:r>
      <w:r>
        <w:rPr>
          <w:rFonts w:hint="eastAsia" w:ascii="仿宋_GB2312" w:eastAsia="仿宋_GB2312"/>
          <w:sz w:val="32"/>
          <w:szCs w:val="32"/>
          <w:highlight w:val="none"/>
        </w:rPr>
        <w:t xml:space="preserve">  </w:t>
      </w:r>
      <w:r>
        <w:rPr>
          <w:rFonts w:hint="eastAsia" w:ascii="仿宋_GB2312" w:hAnsi="黑体" w:eastAsia="仿宋_GB2312"/>
          <w:sz w:val="32"/>
          <w:szCs w:val="32"/>
          <w:highlight w:val="none"/>
        </w:rPr>
        <w:t>采取集体决策方式遴选特定资金存放银行的，应通过主管部门领导办公会议讨论确定</w:t>
      </w:r>
      <w:r>
        <w:rPr>
          <w:rFonts w:hint="eastAsia" w:ascii="仿宋_GB2312" w:hAnsi="黑体" w:eastAsia="仿宋_GB2312"/>
          <w:sz w:val="32"/>
          <w:szCs w:val="32"/>
          <w:highlight w:val="none"/>
          <w:lang w:eastAsia="zh-CN"/>
        </w:rPr>
        <w:t>。会议应根据银行的经营状况、服务水平、利率水平等方面进行审定，</w:t>
      </w:r>
      <w:r>
        <w:rPr>
          <w:rFonts w:hint="eastAsia" w:ascii="仿宋_GB2312" w:hAnsi="黑体" w:eastAsia="仿宋_GB2312"/>
          <w:sz w:val="32"/>
          <w:szCs w:val="32"/>
          <w:highlight w:val="none"/>
        </w:rPr>
        <w:t>并在会议记录中反映采用集体决策方式的原因、对备选银行的评比情况、会议表决情况和最后决定等。</w:t>
      </w:r>
    </w:p>
    <w:p>
      <w:pPr>
        <w:spacing w:line="560" w:lineRule="exact"/>
        <w:ind w:firstLine="640" w:firstLineChars="200"/>
        <w:rPr>
          <w:rFonts w:hint="eastAsia" w:ascii="仿宋_GB2312" w:eastAsia="仿宋_GB2312"/>
          <w:sz w:val="32"/>
          <w:szCs w:val="32"/>
          <w:highlight w:val="none"/>
        </w:rPr>
      </w:pPr>
      <w:r>
        <w:rPr>
          <w:rFonts w:hint="eastAsia" w:ascii="黑体" w:hAnsi="黑体" w:eastAsia="黑体"/>
          <w:sz w:val="32"/>
          <w:szCs w:val="32"/>
          <w:highlight w:val="none"/>
        </w:rPr>
        <w:t>第十条</w:t>
      </w:r>
      <w:r>
        <w:rPr>
          <w:rFonts w:hint="eastAsia" w:ascii="仿宋_GB2312" w:eastAsia="仿宋_GB2312"/>
          <w:sz w:val="32"/>
          <w:szCs w:val="32"/>
          <w:highlight w:val="none"/>
        </w:rPr>
        <w:t xml:space="preserve">  采取</w:t>
      </w:r>
      <w:r>
        <w:rPr>
          <w:rFonts w:hint="eastAsia" w:ascii="仿宋_GB2312" w:eastAsia="仿宋_GB2312"/>
          <w:sz w:val="32"/>
          <w:szCs w:val="32"/>
          <w:highlight w:val="none"/>
          <w:lang w:eastAsia="zh-CN"/>
        </w:rPr>
        <w:t>竞争性</w:t>
      </w:r>
      <w:r>
        <w:rPr>
          <w:rFonts w:hint="eastAsia" w:ascii="仿宋_GB2312" w:eastAsia="仿宋_GB2312"/>
          <w:sz w:val="32"/>
          <w:szCs w:val="32"/>
          <w:highlight w:val="none"/>
        </w:rPr>
        <w:t>方式遴选特定资金存放银行的，由区财政局选择部分符合条件的银行，邀请参</w:t>
      </w:r>
      <w:r>
        <w:rPr>
          <w:rFonts w:hint="eastAsia" w:ascii="仿宋_GB2312" w:eastAsia="仿宋_GB2312"/>
          <w:sz w:val="32"/>
          <w:szCs w:val="32"/>
          <w:highlight w:val="none"/>
          <w:lang w:eastAsia="zh-CN"/>
        </w:rPr>
        <w:t>与</w:t>
      </w:r>
      <w:r>
        <w:rPr>
          <w:rFonts w:hint="eastAsia" w:ascii="仿宋_GB2312" w:eastAsia="仿宋_GB2312"/>
          <w:sz w:val="32"/>
          <w:szCs w:val="32"/>
          <w:highlight w:val="none"/>
        </w:rPr>
        <w:t>竞争。</w:t>
      </w:r>
    </w:p>
    <w:p>
      <w:pPr>
        <w:spacing w:line="560" w:lineRule="exact"/>
        <w:ind w:firstLine="0" w:firstLineChars="0"/>
        <w:jc w:val="center"/>
        <w:rPr>
          <w:rFonts w:ascii="黑体" w:hAnsi="黑体" w:eastAsia="黑体"/>
          <w:sz w:val="32"/>
          <w:szCs w:val="32"/>
          <w:highlight w:val="none"/>
        </w:rPr>
      </w:pPr>
      <w:r>
        <w:rPr>
          <w:rFonts w:hint="eastAsia" w:ascii="黑体" w:hAnsi="黑体" w:eastAsia="黑体"/>
          <w:sz w:val="32"/>
          <w:szCs w:val="32"/>
          <w:highlight w:val="none"/>
        </w:rPr>
        <w:t>第三章</w:t>
      </w:r>
      <w:r>
        <w:rPr>
          <w:rFonts w:ascii="黑体" w:hAnsi="黑体" w:eastAsia="黑体"/>
          <w:sz w:val="32"/>
          <w:szCs w:val="32"/>
          <w:highlight w:val="none"/>
        </w:rPr>
        <w:tab/>
      </w:r>
      <w:r>
        <w:rPr>
          <w:rFonts w:hint="eastAsia" w:ascii="黑体" w:hAnsi="黑体" w:eastAsia="黑体"/>
          <w:sz w:val="32"/>
          <w:szCs w:val="32"/>
          <w:highlight w:val="none"/>
        </w:rPr>
        <w:t>指标设置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highlight w:val="none"/>
        </w:rPr>
      </w:pPr>
      <w:r>
        <w:rPr>
          <w:rFonts w:hint="eastAsia" w:ascii="黑体" w:hAnsi="黑体" w:eastAsia="黑体"/>
          <w:sz w:val="32"/>
          <w:szCs w:val="32"/>
          <w:highlight w:val="none"/>
        </w:rPr>
        <w:t>第十</w:t>
      </w:r>
      <w:r>
        <w:rPr>
          <w:rFonts w:hint="eastAsia" w:ascii="黑体" w:hAnsi="黑体" w:eastAsia="黑体"/>
          <w:sz w:val="32"/>
          <w:szCs w:val="32"/>
          <w:highlight w:val="none"/>
          <w:lang w:eastAsia="zh-CN"/>
        </w:rPr>
        <w:t>一</w:t>
      </w:r>
      <w:r>
        <w:rPr>
          <w:rFonts w:hint="eastAsia" w:ascii="黑体" w:hAnsi="黑体" w:eastAsia="黑体"/>
          <w:sz w:val="32"/>
          <w:szCs w:val="32"/>
          <w:highlight w:val="none"/>
        </w:rPr>
        <w:t>条</w:t>
      </w:r>
      <w:r>
        <w:rPr>
          <w:rFonts w:hint="eastAsia" w:ascii="仿宋_GB2312" w:eastAsia="仿宋_GB2312"/>
          <w:sz w:val="32"/>
          <w:szCs w:val="32"/>
          <w:highlight w:val="none"/>
        </w:rPr>
        <w:t xml:space="preserve">  </w:t>
      </w:r>
      <w:r>
        <w:rPr>
          <w:rFonts w:hint="eastAsia" w:ascii="仿宋_GB2312" w:eastAsia="仿宋_GB2312"/>
          <w:sz w:val="32"/>
          <w:szCs w:val="32"/>
          <w:highlight w:val="none"/>
          <w:lang w:eastAsia="zh-CN"/>
        </w:rPr>
        <w:t>竞争性方式遴选存放银行，由</w:t>
      </w:r>
      <w:r>
        <w:rPr>
          <w:rFonts w:hint="eastAsia" w:ascii="仿宋_GB2312" w:eastAsia="仿宋_GB2312" w:cs="仿宋_GB2312" w:hAnsiTheme="minorHAnsi"/>
          <w:kern w:val="0"/>
          <w:sz w:val="32"/>
          <w:szCs w:val="32"/>
          <w:highlight w:val="none"/>
          <w:lang w:eastAsia="zh-CN"/>
        </w:rPr>
        <w:t>评审小组</w:t>
      </w:r>
      <w:r>
        <w:rPr>
          <w:rFonts w:hint="eastAsia" w:ascii="仿宋_GB2312" w:eastAsia="仿宋_GB2312" w:cs="仿宋_GB2312" w:hAnsiTheme="minorHAnsi"/>
          <w:kern w:val="0"/>
          <w:sz w:val="32"/>
          <w:szCs w:val="32"/>
          <w:highlight w:val="none"/>
        </w:rPr>
        <w:t>采用</w:t>
      </w:r>
      <w:r>
        <w:rPr>
          <w:rFonts w:hint="eastAsia" w:ascii="仿宋_GB2312" w:eastAsia="仿宋_GB2312"/>
          <w:sz w:val="32"/>
          <w:szCs w:val="32"/>
          <w:highlight w:val="none"/>
        </w:rPr>
        <w:t>综合评分法进行评分</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综合评分法由评分指标和评分标准组成。根据评分结果</w:t>
      </w:r>
      <w:r>
        <w:rPr>
          <w:rFonts w:hint="eastAsia" w:ascii="仿宋_GB2312" w:eastAsia="仿宋_GB2312" w:cs="仿宋_GB2312" w:hAnsiTheme="minorHAnsi"/>
          <w:kern w:val="0"/>
          <w:sz w:val="32"/>
          <w:szCs w:val="32"/>
          <w:highlight w:val="none"/>
        </w:rPr>
        <w:t>确定</w:t>
      </w:r>
      <w:r>
        <w:rPr>
          <w:rFonts w:hint="eastAsia" w:ascii="仿宋_GB2312" w:eastAsia="仿宋_GB2312"/>
          <w:sz w:val="32"/>
          <w:szCs w:val="32"/>
          <w:highlight w:val="none"/>
        </w:rPr>
        <w:t>特定资金存放银行。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highlight w:val="none"/>
        </w:rPr>
      </w:pPr>
      <w:r>
        <w:rPr>
          <w:rFonts w:hint="eastAsia" w:ascii="黑体" w:hAnsi="黑体" w:eastAsia="黑体"/>
          <w:sz w:val="32"/>
          <w:szCs w:val="32"/>
          <w:highlight w:val="none"/>
        </w:rPr>
        <w:t>第十</w:t>
      </w:r>
      <w:r>
        <w:rPr>
          <w:rFonts w:hint="eastAsia" w:ascii="黑体" w:hAnsi="黑体" w:eastAsia="黑体"/>
          <w:sz w:val="32"/>
          <w:szCs w:val="32"/>
          <w:highlight w:val="none"/>
          <w:lang w:eastAsia="zh-CN"/>
        </w:rPr>
        <w:t>二</w:t>
      </w:r>
      <w:r>
        <w:rPr>
          <w:rFonts w:hint="eastAsia" w:ascii="黑体" w:hAnsi="黑体" w:eastAsia="黑体"/>
          <w:sz w:val="32"/>
          <w:szCs w:val="32"/>
          <w:highlight w:val="none"/>
        </w:rPr>
        <w:t>条</w:t>
      </w:r>
      <w:r>
        <w:rPr>
          <w:rFonts w:hint="eastAsia" w:ascii="仿宋_GB2312" w:eastAsia="仿宋_GB2312"/>
          <w:sz w:val="32"/>
          <w:szCs w:val="32"/>
          <w:highlight w:val="none"/>
        </w:rPr>
        <w:t xml:space="preserve">  综合评分法评分指标主要包括银行的经营状况指标、报价情况、对</w:t>
      </w:r>
      <w:r>
        <w:rPr>
          <w:rFonts w:hint="eastAsia" w:ascii="仿宋_GB2312" w:eastAsia="仿宋_GB2312"/>
          <w:sz w:val="32"/>
          <w:szCs w:val="32"/>
          <w:highlight w:val="none"/>
          <w:lang w:eastAsia="zh-CN"/>
        </w:rPr>
        <w:t>盐田区</w:t>
      </w:r>
      <w:r>
        <w:rPr>
          <w:rFonts w:hint="eastAsia" w:ascii="仿宋_GB2312" w:eastAsia="仿宋_GB2312"/>
          <w:sz w:val="32"/>
          <w:szCs w:val="32"/>
          <w:highlight w:val="none"/>
        </w:rPr>
        <w:t>的支持度、其他四个方面（评分标准详见附</w:t>
      </w:r>
      <w:r>
        <w:rPr>
          <w:rFonts w:hint="eastAsia" w:ascii="仿宋_GB2312" w:eastAsia="仿宋_GB2312"/>
          <w:sz w:val="32"/>
          <w:szCs w:val="32"/>
          <w:highlight w:val="none"/>
          <w:lang w:eastAsia="zh-CN"/>
        </w:rPr>
        <w:t>表</w:t>
      </w:r>
      <w:r>
        <w:rPr>
          <w:rFonts w:hint="eastAsia" w:ascii="仿宋_GB2312" w:eastAsia="仿宋_GB2312"/>
          <w:sz w:val="32"/>
          <w:szCs w:val="32"/>
          <w:highlight w:val="none"/>
        </w:rPr>
        <w:t>）。其中，经营状况指标包含个人存款规模</w:t>
      </w:r>
      <w:r>
        <w:rPr>
          <w:rFonts w:hint="eastAsia" w:ascii="仿宋_GB2312" w:eastAsia="仿宋_GB2312"/>
          <w:sz w:val="32"/>
          <w:szCs w:val="32"/>
          <w:highlight w:val="none"/>
          <w:lang w:eastAsia="zh-CN"/>
        </w:rPr>
        <w:t>、对公存款规模</w:t>
      </w:r>
      <w:r>
        <w:rPr>
          <w:rFonts w:hint="eastAsia" w:ascii="仿宋_GB2312" w:eastAsia="仿宋_GB2312"/>
          <w:sz w:val="32"/>
          <w:szCs w:val="32"/>
          <w:highlight w:val="none"/>
        </w:rPr>
        <w:t>、个人贷款规模</w:t>
      </w:r>
      <w:r>
        <w:rPr>
          <w:rFonts w:hint="eastAsia" w:ascii="仿宋_GB2312" w:eastAsia="仿宋_GB2312"/>
          <w:sz w:val="32"/>
          <w:szCs w:val="32"/>
          <w:highlight w:val="none"/>
          <w:lang w:eastAsia="zh-CN"/>
        </w:rPr>
        <w:t>、对公贷款规模</w:t>
      </w:r>
      <w:r>
        <w:rPr>
          <w:rFonts w:hint="eastAsia" w:ascii="仿宋_GB2312" w:eastAsia="仿宋_GB2312"/>
          <w:sz w:val="32"/>
          <w:szCs w:val="32"/>
          <w:highlight w:val="none"/>
        </w:rPr>
        <w:t>，报价情况为银行承诺的利率情况，对</w:t>
      </w:r>
      <w:r>
        <w:rPr>
          <w:rFonts w:hint="eastAsia" w:ascii="仿宋_GB2312" w:eastAsia="仿宋_GB2312"/>
          <w:sz w:val="32"/>
          <w:szCs w:val="32"/>
          <w:highlight w:val="none"/>
          <w:lang w:eastAsia="zh-CN"/>
        </w:rPr>
        <w:t>盐田区</w:t>
      </w:r>
      <w:r>
        <w:rPr>
          <w:rFonts w:hint="eastAsia" w:ascii="仿宋_GB2312" w:eastAsia="仿宋_GB2312"/>
          <w:sz w:val="32"/>
          <w:szCs w:val="32"/>
          <w:highlight w:val="none"/>
        </w:rPr>
        <w:t>的支持度包含网点数量、引进重点项目情况和对辖区高新技术企业或中小科技型企业的支持情况，其他为特色工作情况。</w:t>
      </w:r>
    </w:p>
    <w:p>
      <w:pPr>
        <w:spacing w:line="590" w:lineRule="exact"/>
        <w:ind w:firstLine="640" w:firstLineChars="200"/>
        <w:rPr>
          <w:rFonts w:ascii="仿宋_GB2312" w:eastAsia="仿宋_GB2312"/>
          <w:sz w:val="32"/>
          <w:szCs w:val="32"/>
          <w:highlight w:val="none"/>
        </w:rPr>
      </w:pPr>
      <w:r>
        <w:rPr>
          <w:rFonts w:hint="eastAsia" w:ascii="黑体" w:hAnsi="黑体" w:eastAsia="黑体"/>
          <w:sz w:val="32"/>
          <w:szCs w:val="32"/>
          <w:highlight w:val="none"/>
        </w:rPr>
        <w:t>第十</w:t>
      </w:r>
      <w:r>
        <w:rPr>
          <w:rFonts w:hint="eastAsia" w:ascii="黑体" w:hAnsi="黑体" w:eastAsia="黑体"/>
          <w:sz w:val="32"/>
          <w:szCs w:val="32"/>
          <w:highlight w:val="none"/>
          <w:lang w:eastAsia="zh-CN"/>
        </w:rPr>
        <w:t>三</w:t>
      </w:r>
      <w:r>
        <w:rPr>
          <w:rFonts w:hint="eastAsia" w:ascii="黑体" w:hAnsi="黑体" w:eastAsia="黑体"/>
          <w:sz w:val="32"/>
          <w:szCs w:val="32"/>
          <w:highlight w:val="none"/>
        </w:rPr>
        <w:t>条</w:t>
      </w:r>
      <w:r>
        <w:rPr>
          <w:rFonts w:hint="eastAsia" w:ascii="仿宋_GB2312" w:eastAsia="仿宋_GB2312"/>
          <w:sz w:val="32"/>
          <w:szCs w:val="32"/>
          <w:highlight w:val="none"/>
        </w:rPr>
        <w:t xml:space="preserve">  在特定资金银行账户开设后</w:t>
      </w:r>
      <w:r>
        <w:rPr>
          <w:rFonts w:hint="eastAsia" w:ascii="仿宋_GB2312" w:eastAsia="仿宋_GB2312"/>
          <w:sz w:val="32"/>
          <w:szCs w:val="32"/>
          <w:highlight w:val="none"/>
          <w:lang w:eastAsia="zh-CN"/>
        </w:rPr>
        <w:t>五</w:t>
      </w:r>
      <w:r>
        <w:rPr>
          <w:rFonts w:hint="eastAsia" w:ascii="仿宋_GB2312" w:eastAsia="仿宋_GB2312"/>
          <w:sz w:val="32"/>
          <w:szCs w:val="32"/>
          <w:highlight w:val="none"/>
        </w:rPr>
        <w:t>个工作日内</w:t>
      </w:r>
      <w:r>
        <w:rPr>
          <w:rFonts w:hint="eastAsia" w:ascii="仿宋_GB2312" w:eastAsia="仿宋_GB2312"/>
          <w:sz w:val="32"/>
          <w:szCs w:val="32"/>
          <w:highlight w:val="none"/>
          <w:lang w:val="en-US" w:eastAsia="zh-CN"/>
        </w:rPr>
        <w:t>,</w:t>
      </w:r>
      <w:r>
        <w:rPr>
          <w:rFonts w:hint="eastAsia" w:ascii="仿宋_GB2312" w:eastAsia="仿宋_GB2312"/>
          <w:sz w:val="32"/>
          <w:szCs w:val="32"/>
          <w:highlight w:val="none"/>
        </w:rPr>
        <w:t>特定资金的主管部门应将开户许可证复印件及备案</w:t>
      </w:r>
      <w:r>
        <w:rPr>
          <w:rFonts w:hint="eastAsia" w:ascii="仿宋_GB2312" w:eastAsia="仿宋_GB2312"/>
          <w:sz w:val="32"/>
          <w:szCs w:val="32"/>
          <w:highlight w:val="none"/>
          <w:lang w:eastAsia="zh-CN"/>
        </w:rPr>
        <w:t>资料</w:t>
      </w:r>
      <w:r>
        <w:rPr>
          <w:rFonts w:hint="eastAsia" w:ascii="仿宋_GB2312" w:eastAsia="仿宋_GB2312"/>
          <w:sz w:val="32"/>
          <w:szCs w:val="32"/>
          <w:highlight w:val="none"/>
        </w:rPr>
        <w:t>报送至区财政局备案。</w:t>
      </w:r>
    </w:p>
    <w:p>
      <w:pPr>
        <w:spacing w:line="560" w:lineRule="exact"/>
        <w:ind w:firstLine="0" w:firstLineChars="0"/>
        <w:jc w:val="center"/>
        <w:rPr>
          <w:rFonts w:ascii="黑体" w:hAnsi="黑体" w:eastAsia="黑体"/>
          <w:sz w:val="32"/>
          <w:szCs w:val="32"/>
          <w:highlight w:val="none"/>
        </w:rPr>
      </w:pPr>
      <w:r>
        <w:rPr>
          <w:rFonts w:hint="eastAsia" w:ascii="黑体" w:hAnsi="黑体" w:eastAsia="黑体"/>
          <w:sz w:val="32"/>
          <w:szCs w:val="32"/>
          <w:highlight w:val="none"/>
        </w:rPr>
        <w:t>第四章</w:t>
      </w:r>
      <w:r>
        <w:rPr>
          <w:rFonts w:ascii="黑体" w:hAnsi="黑体" w:eastAsia="黑体"/>
          <w:sz w:val="32"/>
          <w:szCs w:val="32"/>
          <w:highlight w:val="none"/>
        </w:rPr>
        <w:t xml:space="preserve"> </w:t>
      </w:r>
      <w:r>
        <w:rPr>
          <w:rFonts w:hint="eastAsia" w:ascii="黑体" w:hAnsi="黑体" w:eastAsia="黑体"/>
          <w:sz w:val="32"/>
          <w:szCs w:val="32"/>
          <w:highlight w:val="none"/>
        </w:rPr>
        <w:t>履约责任</w:t>
      </w:r>
    </w:p>
    <w:p>
      <w:pPr>
        <w:spacing w:line="560" w:lineRule="exact"/>
        <w:ind w:firstLine="640" w:firstLineChars="200"/>
        <w:rPr>
          <w:sz w:val="32"/>
          <w:szCs w:val="32"/>
          <w:highlight w:val="none"/>
        </w:rPr>
      </w:pPr>
      <w:r>
        <w:rPr>
          <w:rFonts w:hint="eastAsia" w:ascii="黑体" w:hAnsi="黑体" w:eastAsia="黑体"/>
          <w:sz w:val="32"/>
          <w:szCs w:val="32"/>
          <w:highlight w:val="none"/>
        </w:rPr>
        <w:t>第十</w:t>
      </w:r>
      <w:r>
        <w:rPr>
          <w:rFonts w:hint="eastAsia" w:ascii="黑体" w:hAnsi="黑体" w:eastAsia="黑体"/>
          <w:sz w:val="32"/>
          <w:szCs w:val="32"/>
          <w:highlight w:val="none"/>
          <w:lang w:eastAsia="zh-CN"/>
        </w:rPr>
        <w:t>四</w:t>
      </w:r>
      <w:r>
        <w:rPr>
          <w:rFonts w:hint="eastAsia" w:ascii="黑体" w:hAnsi="黑体" w:eastAsia="黑体"/>
          <w:sz w:val="32"/>
          <w:szCs w:val="32"/>
          <w:highlight w:val="none"/>
        </w:rPr>
        <w:t>条</w:t>
      </w:r>
      <w:r>
        <w:rPr>
          <w:rFonts w:hint="eastAsia" w:ascii="仿宋_GB2312" w:eastAsia="仿宋_GB2312"/>
          <w:sz w:val="32"/>
          <w:szCs w:val="32"/>
          <w:highlight w:val="none"/>
        </w:rPr>
        <w:t xml:space="preserve">  特定资金责任单位及其工作人员不按协议或合同履行义务，给主管部门或第三方造成损失的，应按法律规定承担相应的责任；存在行政违法行为的，相关行政主管部门视情节轻重依法予以处理。</w:t>
      </w:r>
    </w:p>
    <w:p>
      <w:pPr>
        <w:spacing w:line="560" w:lineRule="exact"/>
        <w:ind w:firstLine="640" w:firstLineChars="200"/>
        <w:rPr>
          <w:rFonts w:hint="eastAsia" w:ascii="仿宋_GB2312" w:eastAsia="仿宋_GB2312"/>
          <w:sz w:val="32"/>
          <w:szCs w:val="32"/>
          <w:highlight w:val="none"/>
        </w:rPr>
      </w:pPr>
      <w:r>
        <w:rPr>
          <w:rFonts w:hint="eastAsia" w:ascii="黑体" w:hAnsi="黑体" w:eastAsia="黑体"/>
          <w:sz w:val="32"/>
          <w:szCs w:val="32"/>
          <w:highlight w:val="none"/>
        </w:rPr>
        <w:t>第十</w:t>
      </w:r>
      <w:r>
        <w:rPr>
          <w:rFonts w:hint="eastAsia" w:ascii="黑体" w:hAnsi="黑体" w:eastAsia="黑体"/>
          <w:sz w:val="32"/>
          <w:szCs w:val="32"/>
          <w:highlight w:val="none"/>
          <w:lang w:eastAsia="zh-CN"/>
        </w:rPr>
        <w:t>五</w:t>
      </w:r>
      <w:r>
        <w:rPr>
          <w:rFonts w:hint="eastAsia" w:ascii="黑体" w:hAnsi="黑体" w:eastAsia="黑体"/>
          <w:sz w:val="32"/>
          <w:szCs w:val="32"/>
          <w:highlight w:val="none"/>
        </w:rPr>
        <w:t>条</w:t>
      </w:r>
      <w:r>
        <w:rPr>
          <w:rFonts w:hint="eastAsia" w:ascii="仿宋_GB2312" w:eastAsia="仿宋_GB2312"/>
          <w:sz w:val="32"/>
          <w:szCs w:val="32"/>
          <w:highlight w:val="none"/>
        </w:rPr>
        <w:t xml:space="preserve">  特定资金的主管部门及其工作人员不履行法定职责、徇私舞弊、滥用职权、玩忽职守的，依法予以处理，</w:t>
      </w:r>
      <w:r>
        <w:rPr>
          <w:rFonts w:ascii="仿宋_GB2312" w:eastAsia="仿宋_GB2312"/>
          <w:sz w:val="32"/>
          <w:szCs w:val="32"/>
          <w:highlight w:val="none"/>
        </w:rPr>
        <w:t>并追究相应的民事责任、行政责任。</w:t>
      </w:r>
      <w:r>
        <w:rPr>
          <w:rFonts w:hint="eastAsia" w:ascii="仿宋_GB2312" w:eastAsia="仿宋_GB2312"/>
          <w:sz w:val="32"/>
          <w:szCs w:val="32"/>
          <w:highlight w:val="none"/>
          <w:lang w:val="en-US" w:eastAsia="zh-CN"/>
        </w:rPr>
        <w:t>构成</w:t>
      </w:r>
      <w:r>
        <w:rPr>
          <w:rFonts w:ascii="仿宋_GB2312" w:eastAsia="仿宋_GB2312"/>
          <w:sz w:val="32"/>
          <w:szCs w:val="32"/>
          <w:highlight w:val="none"/>
        </w:rPr>
        <w:t>犯罪的，依法追究刑事责任</w:t>
      </w:r>
      <w:r>
        <w:rPr>
          <w:rFonts w:hint="eastAsia" w:ascii="仿宋_GB2312" w:eastAsia="仿宋_GB2312"/>
          <w:sz w:val="32"/>
          <w:szCs w:val="32"/>
          <w:highlight w:val="none"/>
        </w:rPr>
        <w:t>。</w:t>
      </w:r>
    </w:p>
    <w:p>
      <w:pPr>
        <w:spacing w:line="560" w:lineRule="exact"/>
        <w:ind w:firstLine="640" w:firstLineChars="200"/>
        <w:rPr>
          <w:rFonts w:hint="eastAsia" w:ascii="仿宋_GB2312" w:eastAsia="仿宋_GB2312"/>
          <w:sz w:val="32"/>
          <w:szCs w:val="32"/>
          <w:highlight w:val="none"/>
          <w:lang w:eastAsia="zh-CN"/>
        </w:rPr>
      </w:pPr>
      <w:r>
        <w:rPr>
          <w:rFonts w:hint="eastAsia" w:ascii="黑体" w:hAnsi="黑体" w:eastAsia="黑体"/>
          <w:sz w:val="32"/>
          <w:szCs w:val="32"/>
          <w:highlight w:val="none"/>
        </w:rPr>
        <w:t>第十</w:t>
      </w:r>
      <w:r>
        <w:rPr>
          <w:rFonts w:hint="eastAsia" w:ascii="黑体" w:hAnsi="黑体" w:eastAsia="黑体"/>
          <w:sz w:val="32"/>
          <w:szCs w:val="32"/>
          <w:highlight w:val="none"/>
          <w:lang w:eastAsia="zh-CN"/>
        </w:rPr>
        <w:t>六</w:t>
      </w:r>
      <w:r>
        <w:rPr>
          <w:rFonts w:hint="eastAsia" w:ascii="黑体" w:hAnsi="黑体" w:eastAsia="黑体"/>
          <w:sz w:val="32"/>
          <w:szCs w:val="32"/>
          <w:highlight w:val="none"/>
        </w:rPr>
        <w:t>条</w:t>
      </w:r>
      <w:r>
        <w:rPr>
          <w:rFonts w:hint="eastAsia" w:ascii="仿宋_GB2312" w:eastAsia="仿宋_GB2312"/>
          <w:sz w:val="32"/>
          <w:szCs w:val="32"/>
          <w:highlight w:val="none"/>
        </w:rPr>
        <w:t xml:space="preserve">  特定资金存放银行在参加竞争过程中提供虚假证明或资料的，评审小组可单方面无条件取消该银行当期特定资金存放资格，且该银行三年内不得参与</w:t>
      </w:r>
      <w:r>
        <w:rPr>
          <w:rFonts w:hint="eastAsia" w:ascii="仿宋_GB2312" w:eastAsia="仿宋_GB2312"/>
          <w:sz w:val="32"/>
          <w:szCs w:val="32"/>
          <w:highlight w:val="none"/>
          <w:lang w:eastAsia="zh-CN"/>
        </w:rPr>
        <w:t>盐田</w:t>
      </w:r>
      <w:r>
        <w:rPr>
          <w:rFonts w:hint="eastAsia" w:ascii="仿宋_GB2312" w:eastAsia="仿宋_GB2312"/>
          <w:sz w:val="32"/>
          <w:szCs w:val="32"/>
          <w:highlight w:val="none"/>
        </w:rPr>
        <w:t>区特定资金存放工作。</w:t>
      </w:r>
    </w:p>
    <w:p>
      <w:pPr>
        <w:spacing w:line="560" w:lineRule="exact"/>
        <w:ind w:firstLine="640" w:firstLineChars="200"/>
        <w:rPr>
          <w:rFonts w:hint="eastAsia" w:ascii="仿宋_GB2312" w:eastAsia="仿宋_GB2312"/>
          <w:sz w:val="32"/>
          <w:szCs w:val="32"/>
          <w:highlight w:val="none"/>
        </w:rPr>
      </w:pPr>
      <w:r>
        <w:rPr>
          <w:rFonts w:hint="eastAsia" w:ascii="黑体" w:hAnsi="黑体" w:eastAsia="黑体"/>
          <w:sz w:val="32"/>
          <w:szCs w:val="32"/>
          <w:highlight w:val="none"/>
        </w:rPr>
        <w:t>第十</w:t>
      </w:r>
      <w:r>
        <w:rPr>
          <w:rFonts w:hint="eastAsia" w:ascii="黑体" w:hAnsi="黑体" w:eastAsia="黑体"/>
          <w:sz w:val="32"/>
          <w:szCs w:val="32"/>
          <w:highlight w:val="none"/>
          <w:lang w:eastAsia="zh-CN"/>
        </w:rPr>
        <w:t>七</w:t>
      </w:r>
      <w:r>
        <w:rPr>
          <w:rFonts w:hint="eastAsia" w:ascii="黑体" w:hAnsi="黑体" w:eastAsia="黑体"/>
          <w:sz w:val="32"/>
          <w:szCs w:val="32"/>
          <w:highlight w:val="none"/>
        </w:rPr>
        <w:t>条</w:t>
      </w:r>
      <w:r>
        <w:rPr>
          <w:rFonts w:hint="eastAsia" w:ascii="仿宋_GB2312" w:eastAsia="仿宋_GB2312"/>
          <w:sz w:val="32"/>
          <w:szCs w:val="32"/>
          <w:highlight w:val="none"/>
        </w:rPr>
        <w:t xml:space="preserve">  </w:t>
      </w:r>
      <w:r>
        <w:rPr>
          <w:rFonts w:hint="eastAsia" w:ascii="仿宋_GB2312" w:eastAsia="仿宋_GB2312"/>
          <w:sz w:val="32"/>
          <w:szCs w:val="32"/>
          <w:highlight w:val="none"/>
          <w:lang w:eastAsia="zh-CN"/>
        </w:rPr>
        <w:t>特定资金的责任单位应与遴选特定资金存放银行签订规范的银行账户管理协议，全面、清晰界定双方的权利义务关系。</w:t>
      </w:r>
    </w:p>
    <w:p>
      <w:pPr>
        <w:numPr>
          <w:ilvl w:val="-1"/>
          <w:numId w:val="0"/>
        </w:numPr>
        <w:spacing w:line="560" w:lineRule="exact"/>
        <w:ind w:firstLine="640" w:firstLineChars="200"/>
        <w:rPr>
          <w:rFonts w:hint="eastAsia" w:ascii="仿宋_GB2312" w:eastAsia="仿宋_GB2312"/>
          <w:sz w:val="32"/>
          <w:szCs w:val="32"/>
          <w:highlight w:val="none"/>
        </w:rPr>
      </w:pPr>
      <w:r>
        <w:rPr>
          <w:rFonts w:hint="eastAsia" w:ascii="黑体" w:hAnsi="黑体" w:eastAsia="黑体"/>
          <w:sz w:val="32"/>
          <w:szCs w:val="32"/>
          <w:highlight w:val="none"/>
        </w:rPr>
        <w:t>第十</w:t>
      </w:r>
      <w:r>
        <w:rPr>
          <w:rFonts w:hint="eastAsia" w:ascii="黑体" w:hAnsi="黑体" w:eastAsia="黑体"/>
          <w:sz w:val="32"/>
          <w:szCs w:val="32"/>
          <w:highlight w:val="none"/>
          <w:lang w:eastAsia="zh-CN"/>
        </w:rPr>
        <w:t>八</w:t>
      </w:r>
      <w:r>
        <w:rPr>
          <w:rFonts w:hint="eastAsia" w:ascii="黑体" w:hAnsi="黑体" w:eastAsia="黑体"/>
          <w:sz w:val="32"/>
          <w:szCs w:val="32"/>
          <w:highlight w:val="none"/>
        </w:rPr>
        <w:t>条</w:t>
      </w:r>
      <w:r>
        <w:rPr>
          <w:rFonts w:hint="eastAsia" w:ascii="黑体" w:hAnsi="黑体" w:eastAsia="黑体"/>
          <w:sz w:val="32"/>
          <w:szCs w:val="32"/>
          <w:highlight w:val="none"/>
          <w:lang w:val="en-US" w:eastAsia="zh-CN"/>
        </w:rPr>
        <w:t xml:space="preserve"> </w:t>
      </w:r>
      <w:r>
        <w:rPr>
          <w:rFonts w:hint="eastAsia" w:ascii="仿宋_GB2312" w:eastAsia="仿宋_GB2312"/>
          <w:sz w:val="32"/>
          <w:szCs w:val="32"/>
          <w:highlight w:val="none"/>
        </w:rPr>
        <w:t xml:space="preserve"> 特定资金存放银行在履约过程中，若出现</w:t>
      </w:r>
      <w:r>
        <w:rPr>
          <w:rFonts w:hint="eastAsia" w:ascii="仿宋_GB2312" w:eastAsia="仿宋_GB2312"/>
          <w:sz w:val="32"/>
          <w:szCs w:val="32"/>
          <w:highlight w:val="none"/>
          <w:lang w:eastAsia="zh-CN"/>
        </w:rPr>
        <w:t>严重信用风险、</w:t>
      </w:r>
      <w:r>
        <w:rPr>
          <w:rFonts w:hint="eastAsia" w:ascii="仿宋_GB2312" w:eastAsia="仿宋_GB2312"/>
          <w:sz w:val="32"/>
          <w:szCs w:val="32"/>
          <w:highlight w:val="none"/>
        </w:rPr>
        <w:t>违法违规行为、无法按照承诺签订协议或合同，不履行协议或合同约定义务或者履行义务不符合约定要求的，特定资金主管部门或责任单位可单方面无条件取消该银行当期特定资金存放资格，且该银行三年内不得参与</w:t>
      </w:r>
      <w:r>
        <w:rPr>
          <w:rFonts w:hint="eastAsia" w:ascii="仿宋_GB2312" w:eastAsia="仿宋_GB2312"/>
          <w:sz w:val="32"/>
          <w:szCs w:val="32"/>
          <w:highlight w:val="none"/>
          <w:lang w:eastAsia="zh-CN"/>
        </w:rPr>
        <w:t>盐田</w:t>
      </w:r>
      <w:r>
        <w:rPr>
          <w:rFonts w:hint="eastAsia" w:ascii="仿宋_GB2312" w:eastAsia="仿宋_GB2312"/>
          <w:sz w:val="32"/>
          <w:szCs w:val="32"/>
          <w:highlight w:val="none"/>
        </w:rPr>
        <w:t>区特定资金存放工作</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该项特定资金的责任单位应</w:t>
      </w:r>
      <w:r>
        <w:rPr>
          <w:rFonts w:hint="eastAsia" w:ascii="仿宋_GB2312" w:eastAsia="仿宋_GB2312"/>
          <w:sz w:val="32"/>
          <w:szCs w:val="32"/>
          <w:highlight w:val="none"/>
          <w:lang w:eastAsia="zh-CN"/>
        </w:rPr>
        <w:t>及时更换</w:t>
      </w:r>
      <w:r>
        <w:rPr>
          <w:rFonts w:hint="eastAsia" w:ascii="仿宋_GB2312" w:eastAsia="仿宋_GB2312"/>
          <w:sz w:val="32"/>
          <w:szCs w:val="32"/>
          <w:highlight w:val="none"/>
        </w:rPr>
        <w:t>存放银行，在涉事银行</w:t>
      </w:r>
      <w:r>
        <w:rPr>
          <w:rFonts w:hint="eastAsia" w:ascii="仿宋_GB2312" w:eastAsia="仿宋_GB2312"/>
          <w:sz w:val="32"/>
          <w:szCs w:val="32"/>
          <w:highlight w:val="none"/>
          <w:lang w:eastAsia="zh-CN"/>
        </w:rPr>
        <w:t>存放</w:t>
      </w:r>
      <w:r>
        <w:rPr>
          <w:rFonts w:hint="eastAsia" w:ascii="仿宋_GB2312" w:eastAsia="仿宋_GB2312"/>
          <w:sz w:val="32"/>
          <w:szCs w:val="32"/>
          <w:highlight w:val="none"/>
        </w:rPr>
        <w:t>的其他特定资金的责任单位也应尽快评估资金安全情况，必要时应</w:t>
      </w:r>
      <w:r>
        <w:rPr>
          <w:rFonts w:hint="eastAsia" w:ascii="仿宋_GB2312" w:eastAsia="仿宋_GB2312"/>
          <w:sz w:val="32"/>
          <w:szCs w:val="32"/>
          <w:highlight w:val="none"/>
          <w:lang w:eastAsia="zh-CN"/>
        </w:rPr>
        <w:t>更换</w:t>
      </w:r>
      <w:r>
        <w:rPr>
          <w:rFonts w:hint="eastAsia" w:ascii="仿宋_GB2312" w:eastAsia="仿宋_GB2312"/>
          <w:sz w:val="32"/>
          <w:szCs w:val="32"/>
          <w:highlight w:val="none"/>
        </w:rPr>
        <w:t>存放</w:t>
      </w:r>
      <w:r>
        <w:rPr>
          <w:rFonts w:hint="eastAsia" w:ascii="仿宋_GB2312" w:eastAsia="仿宋_GB2312"/>
          <w:sz w:val="32"/>
          <w:szCs w:val="32"/>
          <w:highlight w:val="none"/>
          <w:lang w:eastAsia="zh-CN"/>
        </w:rPr>
        <w:t>银行</w:t>
      </w:r>
      <w:r>
        <w:rPr>
          <w:rFonts w:hint="eastAsia" w:ascii="仿宋_GB2312" w:eastAsia="仿宋_GB2312"/>
          <w:sz w:val="32"/>
          <w:szCs w:val="32"/>
          <w:highlight w:val="none"/>
        </w:rPr>
        <w:t>，以确保资金安全。</w:t>
      </w:r>
    </w:p>
    <w:p>
      <w:pPr>
        <w:spacing w:line="560" w:lineRule="exact"/>
        <w:ind w:firstLine="640" w:firstLineChars="200"/>
        <w:jc w:val="both"/>
        <w:rPr>
          <w:rFonts w:hint="eastAsia" w:ascii="仿宋_GB2312" w:eastAsia="仿宋_GB2312"/>
          <w:sz w:val="32"/>
          <w:szCs w:val="32"/>
          <w:highlight w:val="none"/>
          <w:lang w:eastAsia="zh-CN"/>
        </w:rPr>
      </w:pPr>
      <w:r>
        <w:rPr>
          <w:rFonts w:hint="eastAsia" w:ascii="黑体" w:hAnsi="黑体" w:eastAsia="黑体"/>
          <w:sz w:val="32"/>
          <w:szCs w:val="32"/>
          <w:highlight w:val="none"/>
        </w:rPr>
        <w:t>第</w:t>
      </w:r>
      <w:r>
        <w:rPr>
          <w:rFonts w:hint="eastAsia" w:ascii="黑体" w:hAnsi="黑体" w:eastAsia="黑体"/>
          <w:sz w:val="32"/>
          <w:szCs w:val="32"/>
          <w:highlight w:val="none"/>
          <w:lang w:eastAsia="zh-CN"/>
        </w:rPr>
        <w:t>十九</w:t>
      </w:r>
      <w:r>
        <w:rPr>
          <w:rFonts w:hint="eastAsia" w:ascii="黑体" w:hAnsi="黑体" w:eastAsia="黑体"/>
          <w:sz w:val="32"/>
          <w:szCs w:val="32"/>
          <w:highlight w:val="none"/>
        </w:rPr>
        <w:t>条</w:t>
      </w:r>
      <w:r>
        <w:rPr>
          <w:rFonts w:hint="eastAsia" w:ascii="仿宋_GB2312" w:eastAsia="仿宋_GB2312"/>
          <w:sz w:val="32"/>
          <w:szCs w:val="32"/>
          <w:highlight w:val="none"/>
        </w:rPr>
        <w:t xml:space="preserve">  </w:t>
      </w:r>
      <w:r>
        <w:rPr>
          <w:rFonts w:hint="eastAsia" w:ascii="仿宋_GB2312" w:eastAsia="仿宋_GB2312"/>
          <w:sz w:val="32"/>
          <w:szCs w:val="32"/>
          <w:highlight w:val="none"/>
          <w:lang w:eastAsia="zh-CN"/>
        </w:rPr>
        <w:t>区财政局建立特定资金存放银行业务综合考评机制。定期对银行进行评估，对于评分结果不合格的银行，</w:t>
      </w:r>
      <w:r>
        <w:rPr>
          <w:rFonts w:hint="eastAsia" w:ascii="仿宋_GB2312" w:eastAsia="仿宋_GB2312"/>
          <w:sz w:val="32"/>
          <w:szCs w:val="32"/>
          <w:highlight w:val="none"/>
        </w:rPr>
        <w:t>该项特定资金的责任单位</w:t>
      </w:r>
      <w:r>
        <w:rPr>
          <w:rFonts w:hint="eastAsia" w:ascii="仿宋_GB2312" w:eastAsia="仿宋_GB2312"/>
          <w:sz w:val="32"/>
          <w:szCs w:val="32"/>
          <w:highlight w:val="none"/>
          <w:lang w:eastAsia="zh-CN"/>
        </w:rPr>
        <w:t>应及时更换。</w:t>
      </w:r>
    </w:p>
    <w:p>
      <w:pPr>
        <w:pStyle w:val="4"/>
        <w:ind w:firstLine="640" w:firstLineChars="200"/>
        <w:jc w:val="both"/>
        <w:rPr>
          <w:rFonts w:hint="eastAsia" w:ascii="仿宋_GB2312" w:eastAsia="仿宋_GB2312"/>
          <w:sz w:val="32"/>
          <w:szCs w:val="32"/>
          <w:highlight w:val="none"/>
          <w:lang w:eastAsia="zh-CN"/>
        </w:rPr>
      </w:pPr>
      <w:r>
        <w:rPr>
          <w:rFonts w:hint="eastAsia" w:ascii="黑体" w:hAnsi="黑体" w:eastAsia="黑体"/>
          <w:sz w:val="32"/>
          <w:szCs w:val="32"/>
          <w:highlight w:val="none"/>
        </w:rPr>
        <w:t>第</w:t>
      </w:r>
      <w:r>
        <w:rPr>
          <w:rFonts w:hint="eastAsia" w:ascii="黑体" w:hAnsi="黑体" w:eastAsia="黑体"/>
          <w:sz w:val="32"/>
          <w:szCs w:val="32"/>
          <w:highlight w:val="none"/>
          <w:lang w:eastAsia="zh-CN"/>
        </w:rPr>
        <w:t>二十</w:t>
      </w:r>
      <w:r>
        <w:rPr>
          <w:rFonts w:hint="eastAsia" w:ascii="黑体" w:hAnsi="黑体" w:eastAsia="黑体"/>
          <w:sz w:val="32"/>
          <w:szCs w:val="32"/>
          <w:highlight w:val="none"/>
        </w:rPr>
        <w:t>条</w:t>
      </w:r>
      <w:r>
        <w:rPr>
          <w:rFonts w:hint="eastAsia" w:ascii="仿宋_GB2312" w:eastAsia="仿宋_GB2312"/>
          <w:sz w:val="32"/>
          <w:szCs w:val="32"/>
          <w:highlight w:val="none"/>
        </w:rPr>
        <w:t xml:space="preserve">  因银行违约</w:t>
      </w:r>
      <w:r>
        <w:rPr>
          <w:rFonts w:hint="eastAsia" w:ascii="仿宋_GB2312" w:eastAsia="仿宋_GB2312"/>
          <w:sz w:val="32"/>
          <w:szCs w:val="32"/>
          <w:highlight w:val="none"/>
          <w:lang w:eastAsia="zh-CN"/>
        </w:rPr>
        <w:t>或评估不合格</w:t>
      </w:r>
      <w:r>
        <w:rPr>
          <w:rFonts w:hint="eastAsia" w:ascii="仿宋_GB2312" w:eastAsia="仿宋_GB2312"/>
          <w:sz w:val="32"/>
          <w:szCs w:val="32"/>
          <w:highlight w:val="none"/>
        </w:rPr>
        <w:t>等原因导致的</w:t>
      </w:r>
      <w:r>
        <w:rPr>
          <w:rFonts w:hint="eastAsia" w:ascii="仿宋_GB2312" w:eastAsia="仿宋_GB2312"/>
          <w:sz w:val="32"/>
          <w:szCs w:val="32"/>
          <w:highlight w:val="none"/>
          <w:lang w:eastAsia="zh-CN"/>
        </w:rPr>
        <w:t>更换</w:t>
      </w:r>
      <w:r>
        <w:rPr>
          <w:rFonts w:hint="eastAsia" w:ascii="仿宋_GB2312" w:eastAsia="仿宋_GB2312"/>
          <w:sz w:val="32"/>
          <w:szCs w:val="32"/>
          <w:highlight w:val="none"/>
        </w:rPr>
        <w:t>特定资金存放银</w:t>
      </w:r>
      <w:r>
        <w:rPr>
          <w:rFonts w:hint="eastAsia" w:ascii="仿宋_GB2312" w:eastAsia="仿宋_GB2312"/>
          <w:sz w:val="32"/>
          <w:szCs w:val="32"/>
          <w:highlight w:val="none"/>
          <w:lang w:eastAsia="zh-CN"/>
        </w:rPr>
        <w:t>的</w:t>
      </w:r>
      <w:r>
        <w:rPr>
          <w:rFonts w:hint="eastAsia" w:ascii="仿宋_GB2312" w:eastAsia="仿宋_GB2312"/>
          <w:sz w:val="32"/>
          <w:szCs w:val="32"/>
          <w:highlight w:val="none"/>
        </w:rPr>
        <w:t>，</w:t>
      </w:r>
      <w:r>
        <w:rPr>
          <w:rFonts w:hint="eastAsia" w:ascii="仿宋_GB2312" w:eastAsia="仿宋_GB2312"/>
          <w:sz w:val="32"/>
          <w:szCs w:val="32"/>
          <w:highlight w:val="none"/>
          <w:lang w:eastAsia="zh-CN"/>
        </w:rPr>
        <w:t>依</w:t>
      </w:r>
      <w:r>
        <w:rPr>
          <w:rFonts w:hint="eastAsia" w:ascii="仿宋_GB2312" w:eastAsia="仿宋_GB2312"/>
          <w:sz w:val="32"/>
          <w:szCs w:val="32"/>
          <w:highlight w:val="none"/>
        </w:rPr>
        <w:t>照本指引第九条进行遴选。</w:t>
      </w:r>
    </w:p>
    <w:p>
      <w:pPr>
        <w:spacing w:line="560" w:lineRule="exact"/>
        <w:ind w:firstLine="0" w:firstLineChars="0"/>
        <w:jc w:val="center"/>
        <w:rPr>
          <w:rFonts w:ascii="黑体" w:hAnsi="黑体" w:eastAsia="黑体"/>
          <w:sz w:val="32"/>
          <w:szCs w:val="32"/>
          <w:highlight w:val="none"/>
        </w:rPr>
      </w:pPr>
      <w:r>
        <w:rPr>
          <w:rFonts w:hint="eastAsia" w:ascii="黑体" w:hAnsi="黑体" w:eastAsia="黑体"/>
          <w:sz w:val="32"/>
          <w:szCs w:val="32"/>
          <w:highlight w:val="none"/>
        </w:rPr>
        <w:t>第五章</w:t>
      </w:r>
      <w:r>
        <w:rPr>
          <w:rFonts w:ascii="黑体" w:hAnsi="黑体" w:eastAsia="黑体"/>
          <w:sz w:val="32"/>
          <w:szCs w:val="32"/>
          <w:highlight w:val="none"/>
        </w:rPr>
        <w:tab/>
      </w:r>
      <w:r>
        <w:rPr>
          <w:rFonts w:hint="eastAsia" w:ascii="黑体" w:hAnsi="黑体" w:eastAsia="黑体"/>
          <w:sz w:val="32"/>
          <w:szCs w:val="32"/>
          <w:highlight w:val="none"/>
        </w:rPr>
        <w:t>附则</w:t>
      </w:r>
    </w:p>
    <w:p>
      <w:pPr>
        <w:spacing w:line="560" w:lineRule="exact"/>
        <w:ind w:firstLine="640" w:firstLineChars="200"/>
        <w:rPr>
          <w:rFonts w:hint="eastAsia" w:ascii="仿宋_GB2312" w:eastAsia="仿宋_GB2312"/>
          <w:sz w:val="32"/>
          <w:szCs w:val="32"/>
          <w:highlight w:val="none"/>
          <w:lang w:val="en-US" w:eastAsia="zh-CN"/>
        </w:rPr>
      </w:pPr>
      <w:r>
        <w:rPr>
          <w:rFonts w:hint="eastAsia" w:ascii="黑体" w:hAnsi="黑体" w:eastAsia="黑体"/>
          <w:sz w:val="32"/>
          <w:szCs w:val="32"/>
          <w:highlight w:val="none"/>
        </w:rPr>
        <w:t>第</w:t>
      </w:r>
      <w:r>
        <w:rPr>
          <w:rFonts w:hint="eastAsia" w:ascii="黑体" w:hAnsi="黑体" w:eastAsia="黑体"/>
          <w:sz w:val="32"/>
          <w:szCs w:val="32"/>
          <w:highlight w:val="none"/>
          <w:lang w:eastAsia="zh-CN"/>
        </w:rPr>
        <w:t>二十一</w:t>
      </w:r>
      <w:r>
        <w:rPr>
          <w:rFonts w:hint="eastAsia" w:ascii="黑体" w:hAnsi="黑体" w:eastAsia="黑体"/>
          <w:sz w:val="32"/>
          <w:szCs w:val="32"/>
          <w:highlight w:val="none"/>
        </w:rPr>
        <w:t>条</w:t>
      </w:r>
      <w:r>
        <w:rPr>
          <w:rFonts w:hint="eastAsia" w:ascii="仿宋_GB2312" w:eastAsia="仿宋_GB2312"/>
          <w:sz w:val="32"/>
          <w:szCs w:val="32"/>
          <w:highlight w:val="none"/>
        </w:rPr>
        <w:t xml:space="preserve"> </w:t>
      </w:r>
      <w:r>
        <w:rPr>
          <w:rFonts w:hint="eastAsia" w:ascii="仿宋_GB2312" w:eastAsia="仿宋_GB2312"/>
          <w:sz w:val="32"/>
          <w:szCs w:val="32"/>
          <w:highlight w:val="none"/>
          <w:lang w:val="en-US" w:eastAsia="zh-CN"/>
        </w:rPr>
        <w:t xml:space="preserve"> 本指引所称“以下”均包含本数，“超过”均不包含本数。</w:t>
      </w:r>
    </w:p>
    <w:p>
      <w:pPr>
        <w:spacing w:line="560" w:lineRule="exact"/>
        <w:ind w:firstLine="640" w:firstLineChars="200"/>
        <w:rPr>
          <w:rFonts w:ascii="仿宋_GB2312" w:eastAsia="仿宋_GB2312"/>
          <w:sz w:val="32"/>
          <w:szCs w:val="32"/>
          <w:highlight w:val="none"/>
        </w:rPr>
      </w:pPr>
      <w:r>
        <w:rPr>
          <w:rFonts w:hint="eastAsia" w:ascii="黑体" w:hAnsi="黑体" w:eastAsia="黑体"/>
          <w:sz w:val="32"/>
          <w:szCs w:val="32"/>
          <w:highlight w:val="none"/>
        </w:rPr>
        <w:t>第</w:t>
      </w:r>
      <w:r>
        <w:rPr>
          <w:rFonts w:hint="eastAsia" w:ascii="黑体" w:hAnsi="黑体" w:eastAsia="黑体"/>
          <w:sz w:val="32"/>
          <w:szCs w:val="32"/>
          <w:highlight w:val="none"/>
          <w:lang w:eastAsia="zh-CN"/>
        </w:rPr>
        <w:t>二十二</w:t>
      </w:r>
      <w:r>
        <w:rPr>
          <w:rFonts w:hint="eastAsia" w:ascii="黑体" w:hAnsi="黑体" w:eastAsia="黑体"/>
          <w:sz w:val="32"/>
          <w:szCs w:val="32"/>
          <w:highlight w:val="none"/>
        </w:rPr>
        <w:t>条</w:t>
      </w:r>
      <w:r>
        <w:rPr>
          <w:rFonts w:hint="eastAsia" w:ascii="仿宋_GB2312" w:eastAsia="仿宋_GB2312"/>
          <w:sz w:val="32"/>
          <w:szCs w:val="32"/>
          <w:highlight w:val="none"/>
        </w:rPr>
        <w:t xml:space="preserve"> </w:t>
      </w:r>
      <w:r>
        <w:rPr>
          <w:rFonts w:hint="eastAsia" w:ascii="仿宋_GB2312" w:eastAsia="仿宋_GB2312"/>
          <w:sz w:val="32"/>
          <w:szCs w:val="32"/>
          <w:highlight w:val="none"/>
          <w:lang w:val="en-US" w:eastAsia="zh-CN"/>
        </w:rPr>
        <w:t xml:space="preserve"> </w:t>
      </w:r>
      <w:r>
        <w:rPr>
          <w:rFonts w:hint="eastAsia" w:ascii="仿宋_GB2312" w:eastAsia="仿宋_GB2312"/>
          <w:sz w:val="32"/>
          <w:szCs w:val="32"/>
          <w:highlight w:val="none"/>
        </w:rPr>
        <w:t>本指引由</w:t>
      </w:r>
      <w:r>
        <w:rPr>
          <w:rFonts w:hint="eastAsia" w:ascii="仿宋_GB2312" w:eastAsia="仿宋_GB2312"/>
          <w:sz w:val="32"/>
          <w:szCs w:val="32"/>
          <w:highlight w:val="none"/>
          <w:lang w:eastAsia="zh-CN"/>
        </w:rPr>
        <w:t>盐田区政府授权</w:t>
      </w:r>
      <w:r>
        <w:rPr>
          <w:rFonts w:hint="eastAsia" w:ascii="仿宋_GB2312" w:eastAsia="仿宋_GB2312"/>
          <w:sz w:val="32"/>
          <w:szCs w:val="32"/>
          <w:highlight w:val="none"/>
        </w:rPr>
        <w:t>区财政局负责解释。</w:t>
      </w:r>
    </w:p>
    <w:p>
      <w:pPr>
        <w:spacing w:line="560" w:lineRule="exact"/>
        <w:ind w:firstLine="640" w:firstLineChars="200"/>
        <w:rPr>
          <w:rFonts w:ascii="仿宋_GB2312" w:eastAsia="仿宋_GB2312"/>
          <w:sz w:val="32"/>
          <w:szCs w:val="32"/>
          <w:highlight w:val="none"/>
        </w:rPr>
        <w:sectPr>
          <w:pgSz w:w="11906" w:h="16838"/>
          <w:pgMar w:top="1440" w:right="1800" w:bottom="1440" w:left="1800" w:header="851" w:footer="992" w:gutter="0"/>
          <w:cols w:space="425" w:num="1"/>
          <w:docGrid w:type="lines" w:linePitch="312" w:charSpace="0"/>
        </w:sectPr>
      </w:pPr>
      <w:r>
        <w:rPr>
          <w:rFonts w:hint="eastAsia" w:ascii="黑体" w:hAnsi="黑体" w:eastAsia="黑体"/>
          <w:sz w:val="32"/>
          <w:szCs w:val="32"/>
          <w:highlight w:val="none"/>
          <w:lang w:eastAsia="zh-CN"/>
        </w:rPr>
        <w:t>第二十三条</w:t>
      </w:r>
      <w:r>
        <w:rPr>
          <w:rFonts w:hint="eastAsia" w:ascii="仿宋_GB2312" w:eastAsia="仿宋_GB2312"/>
          <w:sz w:val="32"/>
          <w:szCs w:val="32"/>
          <w:highlight w:val="none"/>
          <w:lang w:val="en-US" w:eastAsia="zh-CN"/>
        </w:rPr>
        <w:t xml:space="preserve">  </w:t>
      </w:r>
      <w:r>
        <w:rPr>
          <w:rFonts w:hint="eastAsia" w:ascii="仿宋_GB2312" w:eastAsia="仿宋_GB2312"/>
          <w:sz w:val="32"/>
          <w:szCs w:val="32"/>
          <w:highlight w:val="none"/>
        </w:rPr>
        <w:t>本指引自</w:t>
      </w:r>
      <w:r>
        <w:rPr>
          <w:rFonts w:hint="eastAsia" w:ascii="仿宋_GB2312" w:eastAsia="仿宋_GB2312"/>
          <w:sz w:val="32"/>
          <w:szCs w:val="32"/>
          <w:highlight w:val="none"/>
          <w:lang w:val="en-US" w:eastAsia="zh-CN"/>
        </w:rPr>
        <w:t>2020年3月20</w:t>
      </w:r>
      <w:r>
        <w:rPr>
          <w:rFonts w:hint="eastAsia" w:ascii="仿宋_GB2312" w:eastAsia="仿宋_GB2312"/>
          <w:sz w:val="32"/>
          <w:szCs w:val="32"/>
          <w:highlight w:val="none"/>
          <w:lang w:eastAsia="zh-CN"/>
        </w:rPr>
        <w:t>日</w:t>
      </w:r>
      <w:r>
        <w:rPr>
          <w:rFonts w:hint="eastAsia" w:ascii="仿宋_GB2312" w:eastAsia="仿宋_GB2312"/>
          <w:sz w:val="32"/>
          <w:szCs w:val="32"/>
          <w:highlight w:val="none"/>
        </w:rPr>
        <w:t>起实施，有效期3年。</w:t>
      </w:r>
    </w:p>
    <w:tbl>
      <w:tblPr>
        <w:tblStyle w:val="9"/>
        <w:tblW w:w="11017" w:type="dxa"/>
        <w:tblInd w:w="0" w:type="dxa"/>
        <w:tblLayout w:type="fixed"/>
        <w:tblCellMar>
          <w:top w:w="15" w:type="dxa"/>
          <w:left w:w="15" w:type="dxa"/>
          <w:bottom w:w="15" w:type="dxa"/>
          <w:right w:w="15" w:type="dxa"/>
        </w:tblCellMar>
      </w:tblPr>
      <w:tblGrid>
        <w:gridCol w:w="759"/>
        <w:gridCol w:w="1260"/>
        <w:gridCol w:w="7741"/>
        <w:gridCol w:w="619"/>
        <w:gridCol w:w="638"/>
      </w:tblGrid>
      <w:tr>
        <w:tblPrEx>
          <w:tblCellMar>
            <w:top w:w="15" w:type="dxa"/>
            <w:left w:w="15" w:type="dxa"/>
            <w:bottom w:w="15" w:type="dxa"/>
            <w:right w:w="15" w:type="dxa"/>
          </w:tblCellMar>
        </w:tblPrEx>
        <w:trPr>
          <w:trHeight w:val="554" w:hRule="atLeast"/>
        </w:trPr>
        <w:tc>
          <w:tcPr>
            <w:tcW w:w="11017" w:type="dxa"/>
            <w:gridSpan w:val="5"/>
            <w:tcBorders>
              <w:bottom w:val="single" w:color="auto" w:sz="4" w:space="0"/>
            </w:tcBorders>
            <w:shd w:val="clear" w:color="auto" w:fill="auto"/>
            <w:vAlign w:val="center"/>
          </w:tcPr>
          <w:p>
            <w:pPr>
              <w:widowControl/>
              <w:jc w:val="left"/>
              <w:textAlignment w:val="center"/>
              <w:rPr>
                <w:rFonts w:hint="eastAsia" w:ascii="黑体" w:hAnsi="黑体" w:eastAsia="黑体" w:cs="黑体"/>
                <w:kern w:val="0"/>
                <w:sz w:val="32"/>
                <w:szCs w:val="32"/>
                <w:highlight w:val="none"/>
                <w:lang w:val="en-US" w:eastAsia="zh-CN"/>
              </w:rPr>
            </w:pPr>
            <w:r>
              <w:rPr>
                <w:rFonts w:hint="eastAsia" w:ascii="黑体" w:hAnsi="黑体" w:eastAsia="黑体" w:cs="黑体"/>
                <w:kern w:val="0"/>
                <w:sz w:val="32"/>
                <w:szCs w:val="32"/>
                <w:highlight w:val="none"/>
                <w:lang w:eastAsia="zh-CN"/>
              </w:rPr>
              <w:t>附表</w:t>
            </w:r>
            <w:r>
              <w:rPr>
                <w:rFonts w:hint="eastAsia" w:ascii="黑体" w:hAnsi="黑体" w:eastAsia="黑体" w:cs="黑体"/>
                <w:kern w:val="0"/>
                <w:sz w:val="32"/>
                <w:szCs w:val="32"/>
                <w:highlight w:val="none"/>
                <w:lang w:val="en-US" w:eastAsia="zh-CN"/>
              </w:rPr>
              <w:t>1</w:t>
            </w:r>
          </w:p>
          <w:p>
            <w:pPr>
              <w:widowControl/>
              <w:jc w:val="center"/>
              <w:textAlignment w:val="center"/>
              <w:rPr>
                <w:rFonts w:ascii="宋体" w:hAnsi="宋体" w:cs="宋体"/>
                <w:sz w:val="36"/>
                <w:szCs w:val="36"/>
                <w:highlight w:val="none"/>
              </w:rPr>
            </w:pPr>
            <w:r>
              <w:rPr>
                <w:rFonts w:hint="eastAsia" w:ascii="方正小标宋简体" w:hAnsi="方正小标宋简体" w:eastAsia="方正小标宋简体" w:cs="方正小标宋简体"/>
                <w:kern w:val="0"/>
                <w:sz w:val="44"/>
                <w:szCs w:val="44"/>
                <w:highlight w:val="none"/>
              </w:rPr>
              <w:t>深圳市盐田区特定资金存放银行评选标准</w:t>
            </w:r>
          </w:p>
        </w:tc>
      </w:tr>
      <w:tr>
        <w:tblPrEx>
          <w:tblCellMar>
            <w:top w:w="15" w:type="dxa"/>
            <w:left w:w="15" w:type="dxa"/>
            <w:bottom w:w="15" w:type="dxa"/>
            <w:right w:w="15" w:type="dxa"/>
          </w:tblCellMar>
        </w:tblPrEx>
        <w:trPr>
          <w:trHeight w:val="568" w:hRule="atLeast"/>
        </w:trPr>
        <w:tc>
          <w:tcPr>
            <w:tcW w:w="759"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kern w:val="0"/>
                <w:sz w:val="24"/>
                <w:szCs w:val="24"/>
                <w:highlight w:val="none"/>
              </w:rPr>
              <w:t>类别</w:t>
            </w:r>
          </w:p>
        </w:tc>
        <w:tc>
          <w:tcPr>
            <w:tcW w:w="1260"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kern w:val="0"/>
                <w:sz w:val="24"/>
                <w:szCs w:val="24"/>
                <w:highlight w:val="none"/>
              </w:rPr>
              <w:t>指标名称</w:t>
            </w:r>
          </w:p>
        </w:tc>
        <w:tc>
          <w:tcPr>
            <w:tcW w:w="7741"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kern w:val="0"/>
                <w:sz w:val="24"/>
                <w:szCs w:val="24"/>
                <w:highlight w:val="none"/>
              </w:rPr>
              <w:t>评选标准</w:t>
            </w:r>
          </w:p>
        </w:tc>
        <w:tc>
          <w:tcPr>
            <w:tcW w:w="619"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kern w:val="0"/>
                <w:sz w:val="24"/>
                <w:szCs w:val="24"/>
                <w:highlight w:val="none"/>
              </w:rPr>
              <w:t>总分</w:t>
            </w:r>
          </w:p>
        </w:tc>
        <w:tc>
          <w:tcPr>
            <w:tcW w:w="638"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kern w:val="0"/>
                <w:sz w:val="24"/>
                <w:szCs w:val="24"/>
                <w:highlight w:val="none"/>
              </w:rPr>
              <w:t>评分</w:t>
            </w:r>
          </w:p>
        </w:tc>
      </w:tr>
      <w:tr>
        <w:tblPrEx>
          <w:tblCellMar>
            <w:top w:w="15" w:type="dxa"/>
            <w:left w:w="15" w:type="dxa"/>
            <w:bottom w:w="15" w:type="dxa"/>
            <w:right w:w="15" w:type="dxa"/>
          </w:tblCellMar>
        </w:tblPrEx>
        <w:trPr>
          <w:trHeight w:val="2974" w:hRule="atLeast"/>
        </w:trPr>
        <w:tc>
          <w:tcPr>
            <w:tcW w:w="759" w:type="dxa"/>
            <w:vMerge w:val="restart"/>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sz w:val="22"/>
                <w:szCs w:val="22"/>
                <w:highlight w:val="none"/>
              </w:rPr>
            </w:pPr>
            <w:r>
              <w:rPr>
                <w:rFonts w:hint="eastAsia" w:ascii="仿宋_GB2312" w:hAnsi="仿宋_GB2312" w:eastAsia="仿宋_GB2312" w:cs="仿宋_GB2312"/>
                <w:kern w:val="0"/>
                <w:sz w:val="22"/>
                <w:szCs w:val="22"/>
                <w:highlight w:val="none"/>
              </w:rPr>
              <w:t>经营状况指标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hint="eastAsia" w:ascii="仿宋_GB2312" w:hAnsi="仿宋_GB2312" w:eastAsia="仿宋_GB2312" w:cs="仿宋_GB2312"/>
                <w:sz w:val="24"/>
                <w:highlight w:val="none"/>
              </w:rPr>
            </w:pPr>
            <w:r>
              <w:rPr>
                <w:rFonts w:hint="eastAsia" w:ascii="仿宋_GB2312" w:hAnsi="仿宋_GB2312" w:eastAsia="仿宋_GB2312" w:cs="仿宋_GB2312"/>
                <w:kern w:val="0"/>
                <w:sz w:val="24"/>
                <w:highlight w:val="none"/>
              </w:rPr>
              <w:t>个人存款规模</w:t>
            </w:r>
          </w:p>
        </w:tc>
        <w:tc>
          <w:tcPr>
            <w:tcW w:w="77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textAlignment w:val="center"/>
              <w:rPr>
                <w:rFonts w:hint="eastAsia" w:ascii="仿宋_GB2312" w:hAnsi="仿宋_GB2312" w:eastAsia="仿宋_GB2312" w:cs="仿宋_GB2312"/>
                <w:sz w:val="24"/>
                <w:highlight w:val="none"/>
              </w:rPr>
            </w:pPr>
            <w:r>
              <w:rPr>
                <w:rFonts w:hint="eastAsia" w:ascii="仿宋_GB2312" w:hAnsi="仿宋_GB2312" w:eastAsia="仿宋_GB2312" w:cs="仿宋_GB2312"/>
                <w:kern w:val="0"/>
                <w:sz w:val="24"/>
                <w:highlight w:val="none"/>
              </w:rPr>
              <w:t>指定的时间节点，银行在盐田区内支行本部及盐田区内下属机构的人民币个人存款规模，评审小组根据银行提供的数据进行打分，由高至低进行排名，第一名得10分，第二及以后名次依次分别递减2分，排名第六及以后得0分，排名并列时取同一位次分值。</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kern w:val="0"/>
                <w:sz w:val="28"/>
                <w:szCs w:val="28"/>
                <w:highlight w:val="none"/>
              </w:rPr>
              <w:t>10</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Autospacing="1" w:afterAutospacing="1"/>
              <w:outlineLvl w:val="0"/>
              <w:rPr>
                <w:rFonts w:hint="eastAsia" w:ascii="仿宋_GB2312" w:hAnsi="仿宋_GB2312" w:eastAsia="仿宋_GB2312" w:cs="仿宋_GB2312"/>
                <w:sz w:val="28"/>
                <w:szCs w:val="28"/>
                <w:highlight w:val="none"/>
              </w:rPr>
            </w:pPr>
          </w:p>
        </w:tc>
      </w:tr>
      <w:tr>
        <w:tblPrEx>
          <w:tblCellMar>
            <w:top w:w="15" w:type="dxa"/>
            <w:left w:w="15" w:type="dxa"/>
            <w:bottom w:w="15" w:type="dxa"/>
            <w:right w:w="15" w:type="dxa"/>
          </w:tblCellMar>
        </w:tblPrEx>
        <w:trPr>
          <w:trHeight w:val="2974" w:hRule="atLeast"/>
        </w:trPr>
        <w:tc>
          <w:tcPr>
            <w:tcW w:w="759" w:type="dxa"/>
            <w:vMerge w:val="continue"/>
            <w:tcBorders>
              <w:left w:val="single" w:color="000000" w:sz="4" w:space="0"/>
              <w:right w:val="single" w:color="000000" w:sz="4" w:space="0"/>
            </w:tcBorders>
            <w:shd w:val="clear" w:color="auto" w:fill="auto"/>
            <w:vAlign w:val="center"/>
          </w:tcPr>
          <w:p>
            <w:pPr>
              <w:widowControl/>
              <w:spacing w:beforeAutospacing="1" w:afterAutospacing="1"/>
              <w:jc w:val="center"/>
              <w:textAlignment w:val="center"/>
              <w:outlineLvl w:val="0"/>
              <w:rPr>
                <w:rFonts w:hint="eastAsia" w:ascii="仿宋_GB2312" w:hAnsi="仿宋_GB2312" w:eastAsia="仿宋_GB2312" w:cs="仿宋_GB2312"/>
                <w:kern w:val="0"/>
                <w:sz w:val="22"/>
                <w:szCs w:val="22"/>
                <w:highlight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hint="eastAsia" w:ascii="仿宋_GB2312" w:hAnsi="仿宋_GB2312" w:eastAsia="仿宋_GB2312" w:cs="仿宋_GB2312"/>
                <w:sz w:val="24"/>
                <w:highlight w:val="none"/>
              </w:rPr>
            </w:pPr>
            <w:r>
              <w:rPr>
                <w:rFonts w:hint="eastAsia" w:ascii="仿宋_GB2312" w:hAnsi="仿宋_GB2312" w:eastAsia="仿宋_GB2312" w:cs="仿宋_GB2312"/>
                <w:kern w:val="0"/>
                <w:sz w:val="24"/>
                <w:highlight w:val="none"/>
              </w:rPr>
              <w:t>对公存款规模</w:t>
            </w:r>
          </w:p>
        </w:tc>
        <w:tc>
          <w:tcPr>
            <w:tcW w:w="77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textAlignment w:val="center"/>
              <w:rPr>
                <w:rFonts w:hint="eastAsia" w:ascii="仿宋_GB2312" w:hAnsi="仿宋_GB2312" w:eastAsia="仿宋_GB2312" w:cs="仿宋_GB2312"/>
                <w:sz w:val="24"/>
                <w:highlight w:val="none"/>
              </w:rPr>
            </w:pPr>
            <w:r>
              <w:rPr>
                <w:rFonts w:hint="eastAsia" w:ascii="仿宋_GB2312" w:hAnsi="仿宋_GB2312" w:eastAsia="仿宋_GB2312" w:cs="仿宋_GB2312"/>
                <w:kern w:val="0"/>
                <w:sz w:val="24"/>
                <w:highlight w:val="none"/>
              </w:rPr>
              <w:t>指定的时间节点，银行在盐田区内支行本部及盐田区内下属机构的人民币对公存款规模，评审小组根据银行提供的数据进行打分，由高至低进行排名，第一名得15分，第二及以后名次依次分别递减3分，排名第六及以后得0分，排名并列时取同一位次分值。</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15</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Autospacing="1" w:afterAutospacing="1"/>
              <w:outlineLvl w:val="0"/>
              <w:rPr>
                <w:rFonts w:hint="eastAsia" w:ascii="仿宋_GB2312" w:hAnsi="仿宋_GB2312" w:eastAsia="仿宋_GB2312" w:cs="仿宋_GB2312"/>
                <w:sz w:val="28"/>
                <w:szCs w:val="28"/>
                <w:highlight w:val="none"/>
              </w:rPr>
            </w:pPr>
          </w:p>
        </w:tc>
      </w:tr>
      <w:tr>
        <w:tblPrEx>
          <w:tblCellMar>
            <w:top w:w="15" w:type="dxa"/>
            <w:left w:w="15" w:type="dxa"/>
            <w:bottom w:w="15" w:type="dxa"/>
            <w:right w:w="15" w:type="dxa"/>
          </w:tblCellMar>
        </w:tblPrEx>
        <w:trPr>
          <w:trHeight w:val="2974" w:hRule="atLeast"/>
        </w:trPr>
        <w:tc>
          <w:tcPr>
            <w:tcW w:w="759" w:type="dxa"/>
            <w:vMerge w:val="continue"/>
            <w:tcBorders>
              <w:left w:val="single" w:color="000000" w:sz="4" w:space="0"/>
              <w:right w:val="single" w:color="000000" w:sz="4" w:space="0"/>
            </w:tcBorders>
            <w:shd w:val="clear" w:color="auto" w:fill="auto"/>
            <w:vAlign w:val="center"/>
          </w:tcPr>
          <w:p>
            <w:pPr>
              <w:spacing w:beforeAutospacing="1" w:afterAutospacing="1"/>
              <w:jc w:val="center"/>
              <w:outlineLvl w:val="0"/>
              <w:rPr>
                <w:rFonts w:hint="eastAsia" w:ascii="仿宋_GB2312" w:hAnsi="仿宋_GB2312" w:eastAsia="仿宋_GB2312" w:cs="仿宋_GB2312"/>
                <w:sz w:val="22"/>
                <w:szCs w:val="22"/>
                <w:highlight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hint="eastAsia" w:ascii="仿宋_GB2312" w:hAnsi="仿宋_GB2312" w:eastAsia="仿宋_GB2312" w:cs="仿宋_GB2312"/>
                <w:sz w:val="24"/>
                <w:highlight w:val="none"/>
              </w:rPr>
            </w:pPr>
            <w:r>
              <w:rPr>
                <w:rFonts w:hint="eastAsia" w:ascii="仿宋_GB2312" w:hAnsi="仿宋_GB2312" w:eastAsia="仿宋_GB2312" w:cs="仿宋_GB2312"/>
                <w:kern w:val="0"/>
                <w:sz w:val="24"/>
                <w:highlight w:val="none"/>
              </w:rPr>
              <w:t>个人贷款规模</w:t>
            </w:r>
          </w:p>
        </w:tc>
        <w:tc>
          <w:tcPr>
            <w:tcW w:w="77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textAlignment w:val="center"/>
              <w:rPr>
                <w:rFonts w:hint="eastAsia" w:ascii="仿宋_GB2312" w:hAnsi="仿宋_GB2312" w:eastAsia="仿宋_GB2312" w:cs="仿宋_GB2312"/>
                <w:sz w:val="24"/>
                <w:highlight w:val="none"/>
              </w:rPr>
            </w:pPr>
            <w:r>
              <w:rPr>
                <w:rFonts w:hint="eastAsia" w:ascii="仿宋_GB2312" w:hAnsi="仿宋_GB2312" w:eastAsia="仿宋_GB2312" w:cs="仿宋_GB2312"/>
                <w:kern w:val="0"/>
                <w:sz w:val="24"/>
                <w:highlight w:val="none"/>
              </w:rPr>
              <w:t>指定的时间节点，银行在盐田区内支行本部及盐田区内下属机构的人民币个人贷款规模，评审小组根据银行提供的数据进行打分，由高至低进行排名，第一名得10分，第二及以后名次依次分别递减2分，排名第六及以后得0分，排名并列时取同一位次分值。</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kern w:val="0"/>
                <w:sz w:val="28"/>
                <w:szCs w:val="28"/>
                <w:highlight w:val="none"/>
              </w:rPr>
              <w:t>10</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Autospacing="1" w:afterAutospacing="1"/>
              <w:outlineLvl w:val="0"/>
              <w:rPr>
                <w:rFonts w:hint="eastAsia" w:ascii="仿宋_GB2312" w:hAnsi="仿宋_GB2312" w:eastAsia="仿宋_GB2312" w:cs="仿宋_GB2312"/>
                <w:sz w:val="28"/>
                <w:szCs w:val="28"/>
                <w:highlight w:val="none"/>
              </w:rPr>
            </w:pPr>
          </w:p>
        </w:tc>
      </w:tr>
      <w:tr>
        <w:tblPrEx>
          <w:tblCellMar>
            <w:top w:w="15" w:type="dxa"/>
            <w:left w:w="15" w:type="dxa"/>
            <w:bottom w:w="15" w:type="dxa"/>
            <w:right w:w="15" w:type="dxa"/>
          </w:tblCellMar>
        </w:tblPrEx>
        <w:trPr>
          <w:trHeight w:val="2974" w:hRule="atLeast"/>
        </w:trPr>
        <w:tc>
          <w:tcPr>
            <w:tcW w:w="759" w:type="dxa"/>
            <w:vMerge w:val="continue"/>
            <w:tcBorders>
              <w:left w:val="single" w:color="000000" w:sz="4" w:space="0"/>
              <w:bottom w:val="single" w:color="000000" w:sz="4" w:space="0"/>
              <w:right w:val="single" w:color="000000" w:sz="4" w:space="0"/>
            </w:tcBorders>
            <w:shd w:val="clear" w:color="auto" w:fill="auto"/>
            <w:vAlign w:val="center"/>
          </w:tcPr>
          <w:p>
            <w:pPr>
              <w:spacing w:beforeAutospacing="1" w:afterAutospacing="1"/>
              <w:jc w:val="center"/>
              <w:outlineLvl w:val="0"/>
              <w:rPr>
                <w:rFonts w:hint="eastAsia" w:ascii="仿宋_GB2312" w:hAnsi="仿宋_GB2312" w:eastAsia="仿宋_GB2312" w:cs="仿宋_GB2312"/>
                <w:sz w:val="22"/>
                <w:szCs w:val="22"/>
                <w:highlight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hint="eastAsia" w:ascii="仿宋_GB2312" w:hAnsi="仿宋_GB2312" w:eastAsia="仿宋_GB2312" w:cs="仿宋_GB2312"/>
                <w:sz w:val="24"/>
                <w:highlight w:val="none"/>
              </w:rPr>
            </w:pPr>
            <w:r>
              <w:rPr>
                <w:rFonts w:hint="eastAsia" w:ascii="仿宋_GB2312" w:hAnsi="仿宋_GB2312" w:eastAsia="仿宋_GB2312" w:cs="仿宋_GB2312"/>
                <w:kern w:val="0"/>
                <w:sz w:val="24"/>
                <w:highlight w:val="none"/>
              </w:rPr>
              <w:t>对公贷款规模</w:t>
            </w:r>
          </w:p>
        </w:tc>
        <w:tc>
          <w:tcPr>
            <w:tcW w:w="77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textAlignment w:val="center"/>
              <w:rPr>
                <w:rFonts w:hint="eastAsia" w:ascii="仿宋_GB2312" w:hAnsi="仿宋_GB2312" w:eastAsia="仿宋_GB2312" w:cs="仿宋_GB2312"/>
                <w:sz w:val="24"/>
                <w:highlight w:val="none"/>
              </w:rPr>
            </w:pPr>
            <w:r>
              <w:rPr>
                <w:rFonts w:hint="eastAsia" w:ascii="仿宋_GB2312" w:hAnsi="仿宋_GB2312" w:eastAsia="仿宋_GB2312" w:cs="仿宋_GB2312"/>
                <w:kern w:val="0"/>
                <w:sz w:val="24"/>
                <w:highlight w:val="none"/>
              </w:rPr>
              <w:t>指定的时间节点，银行在盐田区内支行本部及盐田区内下属机构的人民币对公贷款规模，评审小组根据银行提供的数据进行打分，由高至低进行排名，第一名得15分，第二及以后名次依次分别递减3分，排名第六及以后得0分，排名并列时取同一位次分值。</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15</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Autospacing="1" w:afterAutospacing="1"/>
              <w:outlineLvl w:val="0"/>
              <w:rPr>
                <w:rFonts w:hint="eastAsia" w:ascii="仿宋_GB2312" w:hAnsi="仿宋_GB2312" w:eastAsia="仿宋_GB2312" w:cs="仿宋_GB2312"/>
                <w:sz w:val="28"/>
                <w:szCs w:val="28"/>
                <w:highlight w:val="none"/>
              </w:rPr>
            </w:pPr>
          </w:p>
        </w:tc>
      </w:tr>
      <w:tr>
        <w:tblPrEx>
          <w:tblCellMar>
            <w:top w:w="15" w:type="dxa"/>
            <w:left w:w="15" w:type="dxa"/>
            <w:bottom w:w="15" w:type="dxa"/>
            <w:right w:w="15" w:type="dxa"/>
          </w:tblCellMar>
        </w:tblPrEx>
        <w:trPr>
          <w:trHeight w:val="554" w:hRule="atLeast"/>
        </w:trPr>
        <w:tc>
          <w:tcPr>
            <w:tcW w:w="11017" w:type="dxa"/>
            <w:gridSpan w:val="5"/>
            <w:tcBorders>
              <w:bottom w:val="single" w:color="auto" w:sz="4" w:space="0"/>
            </w:tcBorders>
            <w:shd w:val="clear" w:color="auto" w:fill="auto"/>
            <w:vAlign w:val="center"/>
          </w:tcPr>
          <w:p>
            <w:pPr>
              <w:widowControl/>
              <w:jc w:val="center"/>
              <w:textAlignment w:val="center"/>
              <w:rPr>
                <w:rFonts w:hint="eastAsia" w:ascii="仿宋_GB2312" w:hAnsi="仿宋_GB2312" w:eastAsia="仿宋_GB2312" w:cs="仿宋_GB2312"/>
                <w:sz w:val="36"/>
                <w:szCs w:val="36"/>
                <w:highlight w:val="none"/>
              </w:rPr>
            </w:pPr>
            <w:r>
              <w:rPr>
                <w:rFonts w:hint="eastAsia" w:ascii="方正小标宋简体" w:hAnsi="方正小标宋简体" w:eastAsia="方正小标宋简体" w:cs="方正小标宋简体"/>
                <w:kern w:val="0"/>
                <w:sz w:val="44"/>
                <w:szCs w:val="44"/>
                <w:highlight w:val="none"/>
              </w:rPr>
              <w:t>深圳市盐田区特定资金存放银行评选标准</w:t>
            </w:r>
          </w:p>
        </w:tc>
      </w:tr>
      <w:tr>
        <w:tblPrEx>
          <w:tblCellMar>
            <w:top w:w="15" w:type="dxa"/>
            <w:left w:w="15" w:type="dxa"/>
            <w:bottom w:w="15" w:type="dxa"/>
            <w:right w:w="15" w:type="dxa"/>
          </w:tblCellMar>
        </w:tblPrEx>
        <w:trPr>
          <w:trHeight w:val="568" w:hRule="atLeast"/>
        </w:trPr>
        <w:tc>
          <w:tcPr>
            <w:tcW w:w="759"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sz w:val="24"/>
                <w:highlight w:val="none"/>
              </w:rPr>
            </w:pPr>
            <w:r>
              <w:rPr>
                <w:rFonts w:hint="eastAsia" w:ascii="仿宋_GB2312" w:hAnsi="仿宋_GB2312" w:eastAsia="仿宋_GB2312" w:cs="仿宋_GB2312"/>
                <w:kern w:val="0"/>
                <w:sz w:val="24"/>
                <w:highlight w:val="none"/>
              </w:rPr>
              <w:t>类别</w:t>
            </w:r>
          </w:p>
        </w:tc>
        <w:tc>
          <w:tcPr>
            <w:tcW w:w="1260"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sz w:val="24"/>
                <w:highlight w:val="none"/>
              </w:rPr>
            </w:pPr>
            <w:r>
              <w:rPr>
                <w:rFonts w:hint="eastAsia" w:ascii="仿宋_GB2312" w:hAnsi="仿宋_GB2312" w:eastAsia="仿宋_GB2312" w:cs="仿宋_GB2312"/>
                <w:kern w:val="0"/>
                <w:sz w:val="24"/>
                <w:highlight w:val="none"/>
              </w:rPr>
              <w:t>指标名称</w:t>
            </w:r>
          </w:p>
        </w:tc>
        <w:tc>
          <w:tcPr>
            <w:tcW w:w="7741"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sz w:val="24"/>
                <w:highlight w:val="none"/>
              </w:rPr>
            </w:pPr>
            <w:r>
              <w:rPr>
                <w:rFonts w:hint="eastAsia" w:ascii="仿宋_GB2312" w:hAnsi="仿宋_GB2312" w:eastAsia="仿宋_GB2312" w:cs="仿宋_GB2312"/>
                <w:kern w:val="0"/>
                <w:sz w:val="24"/>
                <w:highlight w:val="none"/>
              </w:rPr>
              <w:t>评选标准</w:t>
            </w:r>
          </w:p>
        </w:tc>
        <w:tc>
          <w:tcPr>
            <w:tcW w:w="619"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sz w:val="24"/>
                <w:highlight w:val="none"/>
              </w:rPr>
            </w:pPr>
            <w:r>
              <w:rPr>
                <w:rFonts w:hint="eastAsia" w:ascii="仿宋_GB2312" w:hAnsi="仿宋_GB2312" w:eastAsia="仿宋_GB2312" w:cs="仿宋_GB2312"/>
                <w:kern w:val="0"/>
                <w:sz w:val="24"/>
                <w:highlight w:val="none"/>
              </w:rPr>
              <w:t>总分</w:t>
            </w:r>
          </w:p>
        </w:tc>
        <w:tc>
          <w:tcPr>
            <w:tcW w:w="638"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sz w:val="24"/>
                <w:highlight w:val="none"/>
              </w:rPr>
            </w:pPr>
            <w:r>
              <w:rPr>
                <w:rFonts w:hint="eastAsia" w:ascii="仿宋_GB2312" w:hAnsi="仿宋_GB2312" w:eastAsia="仿宋_GB2312" w:cs="仿宋_GB2312"/>
                <w:kern w:val="0"/>
                <w:sz w:val="24"/>
                <w:highlight w:val="none"/>
              </w:rPr>
              <w:t>评分</w:t>
            </w:r>
          </w:p>
        </w:tc>
      </w:tr>
      <w:tr>
        <w:tblPrEx>
          <w:tblCellMar>
            <w:top w:w="15" w:type="dxa"/>
            <w:left w:w="15" w:type="dxa"/>
            <w:bottom w:w="15" w:type="dxa"/>
            <w:right w:w="15" w:type="dxa"/>
          </w:tblCellMar>
        </w:tblPrEx>
        <w:trPr>
          <w:trHeight w:val="2352" w:hRule="atLeast"/>
        </w:trPr>
        <w:tc>
          <w:tcPr>
            <w:tcW w:w="759" w:type="dxa"/>
            <w:tcBorders>
              <w:top w:val="nil"/>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_GB2312" w:hAnsi="仿宋_GB2312" w:eastAsia="仿宋_GB2312" w:cs="仿宋_GB2312"/>
                <w:sz w:val="24"/>
                <w:highlight w:val="none"/>
              </w:rPr>
            </w:pPr>
            <w:r>
              <w:rPr>
                <w:rFonts w:hint="eastAsia" w:ascii="仿宋_GB2312" w:hAnsi="仿宋_GB2312" w:eastAsia="仿宋_GB2312" w:cs="仿宋_GB2312"/>
                <w:kern w:val="0"/>
                <w:sz w:val="24"/>
                <w:highlight w:val="none"/>
              </w:rPr>
              <w:t>报价情况</w:t>
            </w:r>
          </w:p>
        </w:tc>
        <w:tc>
          <w:tcPr>
            <w:tcW w:w="1260" w:type="dxa"/>
            <w:tcBorders>
              <w:top w:val="nil"/>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hint="eastAsia" w:ascii="仿宋_GB2312" w:hAnsi="仿宋_GB2312" w:eastAsia="仿宋_GB2312" w:cs="仿宋_GB2312"/>
                <w:sz w:val="24"/>
                <w:highlight w:val="none"/>
              </w:rPr>
            </w:pPr>
            <w:r>
              <w:rPr>
                <w:rFonts w:hint="eastAsia" w:ascii="仿宋_GB2312" w:hAnsi="仿宋_GB2312" w:eastAsia="仿宋_GB2312" w:cs="仿宋_GB2312"/>
                <w:kern w:val="0"/>
                <w:sz w:val="24"/>
                <w:highlight w:val="none"/>
              </w:rPr>
              <w:t>利率情况</w:t>
            </w:r>
          </w:p>
        </w:tc>
        <w:tc>
          <w:tcPr>
            <w:tcW w:w="7741" w:type="dxa"/>
            <w:tcBorders>
              <w:top w:val="nil"/>
              <w:left w:val="single" w:color="000000" w:sz="4" w:space="0"/>
              <w:bottom w:val="single" w:color="000000" w:sz="4" w:space="0"/>
              <w:right w:val="single" w:color="000000" w:sz="4" w:space="0"/>
            </w:tcBorders>
            <w:shd w:val="clear" w:color="auto" w:fill="auto"/>
            <w:vAlign w:val="center"/>
          </w:tcPr>
          <w:p>
            <w:pPr>
              <w:widowControl/>
              <w:spacing w:line="400" w:lineRule="exact"/>
              <w:jc w:val="left"/>
              <w:textAlignment w:val="center"/>
              <w:rPr>
                <w:rFonts w:hint="eastAsia" w:ascii="仿宋_GB2312" w:hAnsi="仿宋_GB2312" w:eastAsia="仿宋_GB2312" w:cs="仿宋_GB2312"/>
                <w:sz w:val="24"/>
                <w:highlight w:val="none"/>
              </w:rPr>
            </w:pPr>
            <w:r>
              <w:rPr>
                <w:rFonts w:hint="eastAsia" w:ascii="仿宋_GB2312" w:hAnsi="仿宋_GB2312" w:eastAsia="仿宋_GB2312" w:cs="仿宋_GB2312"/>
                <w:kern w:val="0"/>
                <w:sz w:val="24"/>
                <w:highlight w:val="none"/>
              </w:rPr>
              <w:t>根据特定资金存放方式，各银行对存款利率水平进行承诺，银行对本银行拟提供的年利率进行报价，年利率的提供方式为X%（X精确至小数点后两位）。评审小组根据银行承诺的利率进行打分，由高至低进行排名，第一名得20分，第二及以后名次依次分别递减4分，排名第六及以后得0分，排名并列时取同一位次分值。</w:t>
            </w:r>
          </w:p>
        </w:tc>
        <w:tc>
          <w:tcPr>
            <w:tcW w:w="619" w:type="dxa"/>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kern w:val="0"/>
                <w:sz w:val="28"/>
                <w:szCs w:val="28"/>
                <w:highlight w:val="none"/>
              </w:rPr>
              <w:t>20</w:t>
            </w:r>
          </w:p>
        </w:tc>
        <w:tc>
          <w:tcPr>
            <w:tcW w:w="638" w:type="dxa"/>
            <w:tcBorders>
              <w:top w:val="nil"/>
              <w:left w:val="single" w:color="000000" w:sz="4" w:space="0"/>
              <w:bottom w:val="single" w:color="000000" w:sz="4" w:space="0"/>
              <w:right w:val="single" w:color="000000" w:sz="4" w:space="0"/>
            </w:tcBorders>
            <w:shd w:val="clear" w:color="auto" w:fill="auto"/>
            <w:vAlign w:val="center"/>
          </w:tcPr>
          <w:p>
            <w:pPr>
              <w:spacing w:beforeAutospacing="1" w:afterAutospacing="1"/>
              <w:outlineLvl w:val="0"/>
              <w:rPr>
                <w:rFonts w:hint="eastAsia" w:ascii="仿宋_GB2312" w:hAnsi="仿宋_GB2312" w:eastAsia="仿宋_GB2312" w:cs="仿宋_GB2312"/>
                <w:sz w:val="28"/>
                <w:szCs w:val="28"/>
                <w:highlight w:val="none"/>
              </w:rPr>
            </w:pPr>
          </w:p>
        </w:tc>
      </w:tr>
      <w:tr>
        <w:tblPrEx>
          <w:tblCellMar>
            <w:top w:w="15" w:type="dxa"/>
            <w:left w:w="15" w:type="dxa"/>
            <w:bottom w:w="15" w:type="dxa"/>
            <w:right w:w="15" w:type="dxa"/>
          </w:tblCellMar>
        </w:tblPrEx>
        <w:trPr>
          <w:trHeight w:val="2370" w:hRule="atLeast"/>
        </w:trPr>
        <w:tc>
          <w:tcPr>
            <w:tcW w:w="7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sz w:val="24"/>
                <w:highlight w:val="none"/>
              </w:rPr>
            </w:pPr>
            <w:r>
              <w:rPr>
                <w:rFonts w:hint="eastAsia" w:ascii="仿宋_GB2312" w:hAnsi="仿宋_GB2312" w:eastAsia="仿宋_GB2312" w:cs="仿宋_GB2312"/>
                <w:kern w:val="0"/>
                <w:sz w:val="24"/>
                <w:highlight w:val="none"/>
              </w:rPr>
              <w:t>对盐田区的支持度</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hint="eastAsia" w:ascii="仿宋_GB2312" w:hAnsi="仿宋_GB2312" w:eastAsia="仿宋_GB2312" w:cs="仿宋_GB2312"/>
                <w:sz w:val="24"/>
                <w:highlight w:val="none"/>
              </w:rPr>
            </w:pPr>
            <w:r>
              <w:rPr>
                <w:rFonts w:hint="eastAsia" w:ascii="仿宋_GB2312" w:hAnsi="仿宋_GB2312" w:eastAsia="仿宋_GB2312" w:cs="仿宋_GB2312"/>
                <w:kern w:val="0"/>
                <w:sz w:val="24"/>
                <w:highlight w:val="none"/>
              </w:rPr>
              <w:t>网点数量</w:t>
            </w:r>
          </w:p>
        </w:tc>
        <w:tc>
          <w:tcPr>
            <w:tcW w:w="77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textAlignment w:val="center"/>
              <w:rPr>
                <w:rFonts w:hint="eastAsia" w:ascii="仿宋_GB2312" w:hAnsi="仿宋_GB2312" w:eastAsia="仿宋_GB2312" w:cs="仿宋_GB2312"/>
                <w:sz w:val="24"/>
                <w:highlight w:val="none"/>
              </w:rPr>
            </w:pPr>
            <w:r>
              <w:rPr>
                <w:rFonts w:hint="eastAsia" w:ascii="仿宋_GB2312" w:hAnsi="仿宋_GB2312" w:eastAsia="仿宋_GB2312" w:cs="仿宋_GB2312"/>
                <w:kern w:val="0"/>
                <w:sz w:val="24"/>
                <w:highlight w:val="none"/>
              </w:rPr>
              <w:t>银行在盐田区内的网点数量，以中国人民银行深圳市中心支行颁发的在盐田区内的营业执照及银行监督部门出具的金融许可证为准。要求同时提供银行营业执照及金融许可证复印件（原件备查）作为评分参考。评审小组根据排名依次打分，第一名得10分，第二及以后名次依次分别扣减2分，排名第六及以后得0分，排名并列时取同一位次分值。</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kern w:val="0"/>
                <w:sz w:val="28"/>
                <w:szCs w:val="28"/>
                <w:highlight w:val="none"/>
              </w:rPr>
              <w:t>10</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Autospacing="1" w:afterAutospacing="1"/>
              <w:outlineLvl w:val="0"/>
              <w:rPr>
                <w:rFonts w:hint="eastAsia" w:ascii="仿宋_GB2312" w:hAnsi="仿宋_GB2312" w:eastAsia="仿宋_GB2312" w:cs="仿宋_GB2312"/>
                <w:sz w:val="28"/>
                <w:szCs w:val="28"/>
                <w:highlight w:val="none"/>
              </w:rPr>
            </w:pPr>
          </w:p>
        </w:tc>
      </w:tr>
      <w:tr>
        <w:tblPrEx>
          <w:tblCellMar>
            <w:top w:w="15" w:type="dxa"/>
            <w:left w:w="15" w:type="dxa"/>
            <w:bottom w:w="15" w:type="dxa"/>
            <w:right w:w="15" w:type="dxa"/>
          </w:tblCellMar>
        </w:tblPrEx>
        <w:trPr>
          <w:trHeight w:val="2104" w:hRule="atLeast"/>
        </w:trPr>
        <w:tc>
          <w:tcPr>
            <w:tcW w:w="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Autospacing="1" w:afterAutospacing="1"/>
              <w:jc w:val="center"/>
              <w:outlineLvl w:val="0"/>
              <w:rPr>
                <w:rFonts w:hint="eastAsia" w:ascii="仿宋_GB2312" w:hAnsi="仿宋_GB2312" w:eastAsia="仿宋_GB2312" w:cs="仿宋_GB2312"/>
                <w:sz w:val="22"/>
                <w:szCs w:val="22"/>
                <w:highlight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hint="eastAsia" w:ascii="仿宋_GB2312" w:hAnsi="仿宋_GB2312" w:eastAsia="仿宋_GB2312" w:cs="仿宋_GB2312"/>
                <w:sz w:val="24"/>
                <w:highlight w:val="none"/>
              </w:rPr>
            </w:pPr>
            <w:r>
              <w:rPr>
                <w:rFonts w:hint="eastAsia" w:ascii="仿宋_GB2312" w:hAnsi="仿宋_GB2312" w:eastAsia="仿宋_GB2312" w:cs="仿宋_GB2312"/>
                <w:kern w:val="0"/>
                <w:sz w:val="24"/>
                <w:highlight w:val="none"/>
              </w:rPr>
              <w:t>引进重点项目情况</w:t>
            </w:r>
          </w:p>
        </w:tc>
        <w:tc>
          <w:tcPr>
            <w:tcW w:w="77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textAlignment w:val="center"/>
              <w:rPr>
                <w:rFonts w:hint="eastAsia" w:ascii="仿宋_GB2312" w:hAnsi="仿宋_GB2312" w:eastAsia="仿宋_GB2312" w:cs="仿宋_GB2312"/>
                <w:sz w:val="24"/>
                <w:highlight w:val="none"/>
              </w:rPr>
            </w:pPr>
            <w:r>
              <w:rPr>
                <w:rFonts w:hint="eastAsia" w:ascii="仿宋_GB2312" w:hAnsi="仿宋_GB2312" w:eastAsia="仿宋_GB2312" w:cs="仿宋_GB2312"/>
                <w:kern w:val="0"/>
                <w:sz w:val="24"/>
                <w:highlight w:val="none"/>
                <w:lang w:eastAsia="zh-CN"/>
              </w:rPr>
              <w:t>报名截止</w:t>
            </w:r>
            <w:r>
              <w:rPr>
                <w:rFonts w:hint="eastAsia" w:ascii="仿宋_GB2312" w:hAnsi="仿宋_GB2312" w:eastAsia="仿宋_GB2312" w:cs="仿宋_GB2312"/>
                <w:kern w:val="0"/>
                <w:sz w:val="24"/>
                <w:highlight w:val="none"/>
              </w:rPr>
              <w:t>日3年内，银行引荐《深圳市盐田区人民政府关于印发盐田区招商引资促进办法的通知》（深盐府规〔2019〕6号）中第四条至第八条提到的重点引进项目，并经区工信局认定的，提供区工信局出具的证明材料。按引荐项目的数量进行打分，每引荐1家得5分，最多不超过</w:t>
            </w:r>
            <w:r>
              <w:rPr>
                <w:rFonts w:hint="eastAsia" w:ascii="仿宋_GB2312" w:hAnsi="仿宋_GB2312" w:eastAsia="仿宋_GB2312" w:cs="仿宋_GB2312"/>
                <w:kern w:val="0"/>
                <w:sz w:val="24"/>
                <w:highlight w:val="none"/>
                <w:lang w:val="en-US" w:eastAsia="zh-CN"/>
              </w:rPr>
              <w:t>5</w:t>
            </w:r>
            <w:r>
              <w:rPr>
                <w:rFonts w:hint="eastAsia" w:ascii="仿宋_GB2312" w:hAnsi="仿宋_GB2312" w:eastAsia="仿宋_GB2312" w:cs="仿宋_GB2312"/>
                <w:kern w:val="0"/>
                <w:sz w:val="24"/>
                <w:highlight w:val="none"/>
              </w:rPr>
              <w:t>分。</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kern w:val="0"/>
                <w:sz w:val="28"/>
                <w:szCs w:val="28"/>
                <w:highlight w:val="none"/>
              </w:rPr>
              <w:t>5</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Autospacing="1" w:afterAutospacing="1"/>
              <w:outlineLvl w:val="0"/>
              <w:rPr>
                <w:rFonts w:hint="eastAsia" w:ascii="仿宋_GB2312" w:hAnsi="仿宋_GB2312" w:eastAsia="仿宋_GB2312" w:cs="仿宋_GB2312"/>
                <w:sz w:val="28"/>
                <w:szCs w:val="28"/>
                <w:highlight w:val="none"/>
              </w:rPr>
            </w:pPr>
          </w:p>
        </w:tc>
      </w:tr>
      <w:tr>
        <w:tblPrEx>
          <w:tblCellMar>
            <w:top w:w="15" w:type="dxa"/>
            <w:left w:w="15" w:type="dxa"/>
            <w:bottom w:w="15" w:type="dxa"/>
            <w:right w:w="15" w:type="dxa"/>
          </w:tblCellMar>
        </w:tblPrEx>
        <w:trPr>
          <w:trHeight w:val="3144" w:hRule="atLeast"/>
        </w:trPr>
        <w:tc>
          <w:tcPr>
            <w:tcW w:w="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Autospacing="1" w:afterAutospacing="1"/>
              <w:jc w:val="center"/>
              <w:outlineLvl w:val="0"/>
              <w:rPr>
                <w:rFonts w:hint="eastAsia" w:ascii="仿宋_GB2312" w:hAnsi="仿宋_GB2312" w:eastAsia="仿宋_GB2312" w:cs="仿宋_GB2312"/>
                <w:sz w:val="22"/>
                <w:szCs w:val="22"/>
                <w:highlight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hint="eastAsia" w:ascii="仿宋_GB2312" w:hAnsi="仿宋_GB2312" w:eastAsia="仿宋_GB2312" w:cs="仿宋_GB2312"/>
                <w:sz w:val="24"/>
                <w:highlight w:val="none"/>
              </w:rPr>
            </w:pPr>
            <w:r>
              <w:rPr>
                <w:rFonts w:hint="eastAsia" w:ascii="仿宋_GB2312" w:hAnsi="仿宋_GB2312" w:eastAsia="仿宋_GB2312" w:cs="仿宋_GB2312"/>
                <w:kern w:val="0"/>
                <w:sz w:val="24"/>
                <w:highlight w:val="none"/>
              </w:rPr>
              <w:t>对辖区高新技术企业或中小科技型企业的支持情况</w:t>
            </w:r>
          </w:p>
        </w:tc>
        <w:tc>
          <w:tcPr>
            <w:tcW w:w="77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textAlignment w:val="center"/>
              <w:rPr>
                <w:rFonts w:hint="eastAsia" w:ascii="仿宋_GB2312" w:hAnsi="仿宋_GB2312" w:eastAsia="仿宋_GB2312" w:cs="仿宋_GB2312"/>
                <w:sz w:val="24"/>
                <w:highlight w:val="none"/>
              </w:rPr>
            </w:pPr>
            <w:r>
              <w:rPr>
                <w:rFonts w:hint="eastAsia" w:ascii="仿宋_GB2312" w:hAnsi="仿宋_GB2312" w:eastAsia="仿宋_GB2312" w:cs="仿宋_GB2312"/>
                <w:kern w:val="0"/>
                <w:sz w:val="24"/>
                <w:highlight w:val="none"/>
              </w:rPr>
              <w:t>银行为盐田区高新技术企业或中小科技型企业（具体企业名单以区科创局提供的为准）提供信用贷款，且截至</w:t>
            </w:r>
            <w:r>
              <w:rPr>
                <w:rFonts w:hint="eastAsia" w:ascii="仿宋_GB2312" w:hAnsi="仿宋_GB2312" w:eastAsia="仿宋_GB2312" w:cs="仿宋_GB2312"/>
                <w:kern w:val="0"/>
                <w:sz w:val="24"/>
                <w:highlight w:val="none"/>
                <w:lang w:eastAsia="zh-CN"/>
              </w:rPr>
              <w:t>报名截止日</w:t>
            </w:r>
            <w:r>
              <w:rPr>
                <w:rFonts w:hint="eastAsia" w:ascii="仿宋_GB2312" w:hAnsi="仿宋_GB2312" w:eastAsia="仿宋_GB2312" w:cs="仿宋_GB2312"/>
                <w:kern w:val="0"/>
                <w:sz w:val="24"/>
                <w:highlight w:val="none"/>
              </w:rPr>
              <w:t>仍在还款期内的，需提供贷款合同或加盖企业公章的贷款证明（包含：贷款类型、贷款时间、还款期等）。评审小组根据银行为盐田区高新技术企业或中小科技型企业提供信用贷款的累计金额进行打分，由高至低进行排名，第一名得10分，第二及以后名次依次分别扣减2分，排名第六及以后得0分，排名并列时取同一位次分值。</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kern w:val="0"/>
                <w:sz w:val="28"/>
                <w:szCs w:val="28"/>
                <w:highlight w:val="none"/>
              </w:rPr>
              <w:t>10</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Autospacing="1" w:afterAutospacing="1"/>
              <w:outlineLvl w:val="0"/>
              <w:rPr>
                <w:rFonts w:hint="eastAsia" w:ascii="仿宋_GB2312" w:hAnsi="仿宋_GB2312" w:eastAsia="仿宋_GB2312" w:cs="仿宋_GB2312"/>
                <w:sz w:val="28"/>
                <w:szCs w:val="28"/>
                <w:highlight w:val="none"/>
              </w:rPr>
            </w:pPr>
          </w:p>
        </w:tc>
      </w:tr>
      <w:tr>
        <w:tblPrEx>
          <w:tblCellMar>
            <w:top w:w="15" w:type="dxa"/>
            <w:left w:w="15" w:type="dxa"/>
            <w:bottom w:w="15" w:type="dxa"/>
            <w:right w:w="15" w:type="dxa"/>
          </w:tblCellMar>
        </w:tblPrEx>
        <w:trPr>
          <w:trHeight w:val="1673"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22"/>
                <w:szCs w:val="22"/>
                <w:highlight w:val="none"/>
              </w:rPr>
            </w:pPr>
            <w:r>
              <w:rPr>
                <w:rFonts w:hint="eastAsia" w:ascii="仿宋_GB2312" w:hAnsi="仿宋_GB2312" w:eastAsia="仿宋_GB2312" w:cs="仿宋_GB2312"/>
                <w:sz w:val="22"/>
                <w:szCs w:val="22"/>
                <w:highlight w:val="none"/>
              </w:rPr>
              <w:t xml:space="preserve">其他 </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特色工作情况</w:t>
            </w:r>
          </w:p>
        </w:tc>
        <w:tc>
          <w:tcPr>
            <w:tcW w:w="77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textAlignment w:val="center"/>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由银行申报其特色业务工作，并由区相关部门进行书面认定。根据认定情况给予相应加分，最多可加5分。</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5</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Autospacing="1" w:afterAutospacing="1"/>
              <w:outlineLvl w:val="0"/>
              <w:rPr>
                <w:rFonts w:hint="eastAsia" w:ascii="仿宋_GB2312" w:hAnsi="仿宋_GB2312" w:eastAsia="仿宋_GB2312" w:cs="仿宋_GB2312"/>
                <w:sz w:val="28"/>
                <w:szCs w:val="28"/>
                <w:highlight w:val="none"/>
              </w:rPr>
            </w:pPr>
          </w:p>
        </w:tc>
      </w:tr>
      <w:tr>
        <w:tblPrEx>
          <w:tblCellMar>
            <w:top w:w="15" w:type="dxa"/>
            <w:left w:w="15" w:type="dxa"/>
            <w:bottom w:w="15" w:type="dxa"/>
            <w:right w:w="15" w:type="dxa"/>
          </w:tblCellMar>
        </w:tblPrEx>
        <w:trPr>
          <w:trHeight w:val="735" w:hRule="atLeast"/>
        </w:trPr>
        <w:tc>
          <w:tcPr>
            <w:tcW w:w="97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b/>
                <w:sz w:val="24"/>
                <w:highlight w:val="none"/>
              </w:rPr>
            </w:pPr>
            <w:r>
              <w:rPr>
                <w:rFonts w:hint="eastAsia" w:ascii="仿宋_GB2312" w:hAnsi="仿宋_GB2312" w:eastAsia="仿宋_GB2312" w:cs="仿宋_GB2312"/>
                <w:b/>
                <w:kern w:val="0"/>
                <w:sz w:val="24"/>
                <w:highlight w:val="none"/>
              </w:rPr>
              <w:t>小计</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b/>
                <w:sz w:val="24"/>
                <w:highlight w:val="none"/>
              </w:rPr>
            </w:pPr>
            <w:r>
              <w:rPr>
                <w:rFonts w:hint="eastAsia" w:ascii="仿宋_GB2312" w:hAnsi="仿宋_GB2312" w:eastAsia="仿宋_GB2312" w:cs="仿宋_GB2312"/>
                <w:b/>
                <w:kern w:val="0"/>
                <w:sz w:val="24"/>
                <w:highlight w:val="none"/>
              </w:rPr>
              <w:t>100</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Autospacing="1" w:afterAutospacing="1"/>
              <w:outlineLvl w:val="0"/>
              <w:rPr>
                <w:rFonts w:hint="eastAsia" w:ascii="仿宋_GB2312" w:hAnsi="仿宋_GB2312" w:eastAsia="仿宋_GB2312" w:cs="仿宋_GB2312"/>
                <w:b/>
                <w:sz w:val="22"/>
                <w:szCs w:val="22"/>
                <w:highlight w:val="none"/>
              </w:rPr>
            </w:pPr>
          </w:p>
        </w:tc>
      </w:tr>
    </w:tbl>
    <w:p>
      <w:pPr>
        <w:spacing w:line="560" w:lineRule="exact"/>
        <w:rPr>
          <w:rFonts w:ascii="仿宋_GB2312" w:eastAsia="仿宋_GB2312"/>
          <w:sz w:val="32"/>
          <w:szCs w:val="32"/>
          <w:highlight w:val="none"/>
        </w:rPr>
        <w:sectPr>
          <w:pgSz w:w="11906" w:h="16838"/>
          <w:pgMar w:top="600" w:right="446" w:bottom="1440" w:left="540" w:header="851" w:footer="992" w:gutter="0"/>
          <w:cols w:space="425" w:num="1"/>
          <w:docGrid w:type="lines" w:linePitch="312" w:charSpace="0"/>
        </w:sectPr>
      </w:pPr>
    </w:p>
    <w:tbl>
      <w:tblPr>
        <w:tblStyle w:val="9"/>
        <w:tblW w:w="15060" w:type="dxa"/>
        <w:tblInd w:w="-469" w:type="dxa"/>
        <w:tblLayout w:type="fixed"/>
        <w:tblCellMar>
          <w:top w:w="15" w:type="dxa"/>
          <w:left w:w="15" w:type="dxa"/>
          <w:bottom w:w="15" w:type="dxa"/>
          <w:right w:w="15" w:type="dxa"/>
        </w:tblCellMar>
      </w:tblPr>
      <w:tblGrid>
        <w:gridCol w:w="1605"/>
        <w:gridCol w:w="2205"/>
        <w:gridCol w:w="2310"/>
        <w:gridCol w:w="2565"/>
        <w:gridCol w:w="2055"/>
        <w:gridCol w:w="2370"/>
        <w:gridCol w:w="1950"/>
      </w:tblGrid>
      <w:tr>
        <w:tblPrEx>
          <w:tblCellMar>
            <w:top w:w="15" w:type="dxa"/>
            <w:left w:w="15" w:type="dxa"/>
            <w:bottom w:w="15" w:type="dxa"/>
            <w:right w:w="15" w:type="dxa"/>
          </w:tblCellMar>
        </w:tblPrEx>
        <w:trPr>
          <w:trHeight w:val="286" w:hRule="atLeast"/>
        </w:trPr>
        <w:tc>
          <w:tcPr>
            <w:tcW w:w="1605" w:type="dxa"/>
            <w:shd w:val="clear" w:color="auto" w:fill="auto"/>
            <w:vAlign w:val="center"/>
          </w:tcPr>
          <w:p>
            <w:pPr>
              <w:widowControl/>
              <w:jc w:val="left"/>
              <w:textAlignment w:val="center"/>
              <w:rPr>
                <w:rFonts w:hint="default" w:ascii="仿宋_GB2312" w:hAnsi="仿宋_GB2312" w:eastAsia="仿宋_GB2312" w:cs="仿宋_GB2312"/>
                <w:sz w:val="32"/>
                <w:szCs w:val="32"/>
                <w:highlight w:val="none"/>
                <w:lang w:val="en-US" w:eastAsia="zh-CN"/>
              </w:rPr>
            </w:pPr>
            <w:bookmarkStart w:id="0" w:name="_GoBack"/>
            <w:r>
              <w:rPr>
                <w:rFonts w:hint="eastAsia" w:ascii="黑体" w:hAnsi="黑体" w:eastAsia="黑体" w:cs="黑体"/>
                <w:sz w:val="32"/>
                <w:szCs w:val="32"/>
                <w:highlight w:val="none"/>
                <w:lang w:eastAsia="zh-CN"/>
              </w:rPr>
              <w:t>附表</w:t>
            </w:r>
            <w:r>
              <w:rPr>
                <w:rFonts w:hint="eastAsia" w:ascii="黑体" w:hAnsi="黑体" w:eastAsia="黑体" w:cs="黑体"/>
                <w:sz w:val="32"/>
                <w:szCs w:val="32"/>
                <w:highlight w:val="none"/>
                <w:lang w:val="en-US" w:eastAsia="zh-CN"/>
              </w:rPr>
              <w:t>2</w:t>
            </w:r>
          </w:p>
        </w:tc>
        <w:tc>
          <w:tcPr>
            <w:tcW w:w="2205" w:type="dxa"/>
            <w:shd w:val="clear" w:color="auto" w:fill="auto"/>
            <w:vAlign w:val="center"/>
          </w:tcPr>
          <w:p>
            <w:pPr>
              <w:rPr>
                <w:rFonts w:ascii="仿宋_GB2312" w:hAnsi="仿宋_GB2312" w:eastAsia="仿宋_GB2312" w:cs="仿宋_GB2312"/>
                <w:sz w:val="32"/>
                <w:szCs w:val="32"/>
                <w:highlight w:val="none"/>
              </w:rPr>
            </w:pPr>
          </w:p>
        </w:tc>
        <w:tc>
          <w:tcPr>
            <w:tcW w:w="2310" w:type="dxa"/>
            <w:shd w:val="clear" w:color="auto" w:fill="auto"/>
            <w:vAlign w:val="center"/>
          </w:tcPr>
          <w:p>
            <w:pPr>
              <w:rPr>
                <w:rFonts w:ascii="仿宋_GB2312" w:hAnsi="仿宋_GB2312" w:eastAsia="仿宋_GB2312" w:cs="仿宋_GB2312"/>
                <w:sz w:val="32"/>
                <w:szCs w:val="32"/>
                <w:highlight w:val="none"/>
              </w:rPr>
            </w:pPr>
          </w:p>
        </w:tc>
        <w:tc>
          <w:tcPr>
            <w:tcW w:w="2565" w:type="dxa"/>
            <w:shd w:val="clear" w:color="auto" w:fill="auto"/>
            <w:vAlign w:val="center"/>
          </w:tcPr>
          <w:p>
            <w:pPr>
              <w:rPr>
                <w:rFonts w:ascii="仿宋_GB2312" w:hAnsi="仿宋_GB2312" w:eastAsia="仿宋_GB2312" w:cs="仿宋_GB2312"/>
                <w:sz w:val="32"/>
                <w:szCs w:val="32"/>
                <w:highlight w:val="none"/>
              </w:rPr>
            </w:pPr>
          </w:p>
        </w:tc>
        <w:tc>
          <w:tcPr>
            <w:tcW w:w="2055" w:type="dxa"/>
            <w:shd w:val="clear" w:color="auto" w:fill="auto"/>
            <w:vAlign w:val="center"/>
          </w:tcPr>
          <w:p>
            <w:pPr>
              <w:rPr>
                <w:rFonts w:ascii="仿宋_GB2312" w:hAnsi="仿宋_GB2312" w:eastAsia="仿宋_GB2312" w:cs="仿宋_GB2312"/>
                <w:sz w:val="32"/>
                <w:szCs w:val="32"/>
                <w:highlight w:val="none"/>
              </w:rPr>
            </w:pPr>
          </w:p>
        </w:tc>
        <w:tc>
          <w:tcPr>
            <w:tcW w:w="2370" w:type="dxa"/>
            <w:shd w:val="clear" w:color="auto" w:fill="auto"/>
            <w:vAlign w:val="center"/>
          </w:tcPr>
          <w:p>
            <w:pPr>
              <w:rPr>
                <w:rFonts w:ascii="仿宋_GB2312" w:hAnsi="仿宋_GB2312" w:eastAsia="仿宋_GB2312" w:cs="仿宋_GB2312"/>
                <w:sz w:val="32"/>
                <w:szCs w:val="32"/>
                <w:highlight w:val="none"/>
              </w:rPr>
            </w:pPr>
          </w:p>
        </w:tc>
        <w:tc>
          <w:tcPr>
            <w:tcW w:w="1950" w:type="dxa"/>
            <w:shd w:val="clear" w:color="auto" w:fill="auto"/>
            <w:vAlign w:val="center"/>
          </w:tcPr>
          <w:p>
            <w:pPr>
              <w:rPr>
                <w:rFonts w:ascii="仿宋_GB2312" w:hAnsi="仿宋_GB2312" w:eastAsia="仿宋_GB2312" w:cs="仿宋_GB2312"/>
                <w:sz w:val="32"/>
                <w:szCs w:val="32"/>
                <w:highlight w:val="none"/>
              </w:rPr>
            </w:pPr>
          </w:p>
        </w:tc>
      </w:tr>
      <w:tr>
        <w:tblPrEx>
          <w:tblCellMar>
            <w:top w:w="15" w:type="dxa"/>
            <w:left w:w="15" w:type="dxa"/>
            <w:bottom w:w="15" w:type="dxa"/>
            <w:right w:w="15" w:type="dxa"/>
          </w:tblCellMar>
        </w:tblPrEx>
        <w:trPr>
          <w:trHeight w:val="495" w:hRule="atLeast"/>
        </w:trPr>
        <w:tc>
          <w:tcPr>
            <w:tcW w:w="15060" w:type="dxa"/>
            <w:gridSpan w:val="7"/>
            <w:shd w:val="clear" w:color="auto" w:fill="auto"/>
            <w:vAlign w:val="center"/>
          </w:tcPr>
          <w:p>
            <w:pPr>
              <w:widowControl/>
              <w:jc w:val="center"/>
              <w:textAlignment w:val="center"/>
              <w:rPr>
                <w:rFonts w:ascii="方正小标宋简体" w:hAnsi="方正小标宋简体" w:eastAsia="方正小标宋简体" w:cs="方正小标宋简体"/>
                <w:sz w:val="32"/>
                <w:szCs w:val="32"/>
                <w:highlight w:val="none"/>
              </w:rPr>
            </w:pPr>
            <w:r>
              <w:rPr>
                <w:rFonts w:hint="eastAsia" w:ascii="方正小标宋简体" w:hAnsi="方正小标宋简体" w:eastAsia="方正小标宋简体" w:cs="方正小标宋简体"/>
                <w:kern w:val="0"/>
                <w:sz w:val="44"/>
                <w:szCs w:val="44"/>
                <w:highlight w:val="none"/>
              </w:rPr>
              <w:t>深圳市盐田区特定资金存放银行备案表</w:t>
            </w:r>
          </w:p>
        </w:tc>
      </w:tr>
      <w:tr>
        <w:tblPrEx>
          <w:tblCellMar>
            <w:top w:w="15" w:type="dxa"/>
            <w:left w:w="15" w:type="dxa"/>
            <w:bottom w:w="15" w:type="dxa"/>
            <w:right w:w="15" w:type="dxa"/>
          </w:tblCellMar>
        </w:tblPrEx>
        <w:trPr>
          <w:trHeight w:val="495" w:hRule="atLeast"/>
        </w:trPr>
        <w:tc>
          <w:tcPr>
            <w:tcW w:w="1605" w:type="dxa"/>
            <w:shd w:val="clear" w:color="auto" w:fill="auto"/>
            <w:vAlign w:val="center"/>
          </w:tcPr>
          <w:p>
            <w:pPr>
              <w:widowControl/>
              <w:jc w:val="left"/>
              <w:textAlignment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kern w:val="0"/>
                <w:sz w:val="24"/>
                <w:szCs w:val="24"/>
                <w:highlight w:val="none"/>
              </w:rPr>
              <w:t>主管部门盖章：</w:t>
            </w:r>
          </w:p>
        </w:tc>
        <w:tc>
          <w:tcPr>
            <w:tcW w:w="2205" w:type="dxa"/>
            <w:shd w:val="clear" w:color="auto" w:fill="auto"/>
            <w:vAlign w:val="center"/>
          </w:tcPr>
          <w:p>
            <w:pPr>
              <w:jc w:val="center"/>
              <w:rPr>
                <w:rFonts w:hint="eastAsia" w:ascii="仿宋_GB2312" w:hAnsi="仿宋_GB2312" w:eastAsia="仿宋_GB2312" w:cs="仿宋_GB2312"/>
                <w:sz w:val="24"/>
                <w:szCs w:val="24"/>
                <w:highlight w:val="none"/>
              </w:rPr>
            </w:pPr>
          </w:p>
        </w:tc>
        <w:tc>
          <w:tcPr>
            <w:tcW w:w="2310" w:type="dxa"/>
            <w:shd w:val="clear" w:color="auto" w:fill="auto"/>
            <w:vAlign w:val="center"/>
          </w:tcPr>
          <w:p>
            <w:pPr>
              <w:jc w:val="center"/>
              <w:rPr>
                <w:rFonts w:hint="eastAsia" w:ascii="仿宋_GB2312" w:hAnsi="仿宋_GB2312" w:eastAsia="仿宋_GB2312" w:cs="仿宋_GB2312"/>
                <w:sz w:val="24"/>
                <w:szCs w:val="24"/>
                <w:highlight w:val="none"/>
              </w:rPr>
            </w:pPr>
          </w:p>
        </w:tc>
        <w:tc>
          <w:tcPr>
            <w:tcW w:w="2565" w:type="dxa"/>
            <w:shd w:val="clear" w:color="auto" w:fill="auto"/>
            <w:vAlign w:val="center"/>
          </w:tcPr>
          <w:p>
            <w:pPr>
              <w:jc w:val="center"/>
              <w:rPr>
                <w:rFonts w:hint="eastAsia" w:ascii="仿宋_GB2312" w:hAnsi="仿宋_GB2312" w:eastAsia="仿宋_GB2312" w:cs="仿宋_GB2312"/>
                <w:sz w:val="24"/>
                <w:szCs w:val="24"/>
                <w:highlight w:val="none"/>
              </w:rPr>
            </w:pPr>
          </w:p>
        </w:tc>
        <w:tc>
          <w:tcPr>
            <w:tcW w:w="2055" w:type="dxa"/>
            <w:shd w:val="clear" w:color="auto" w:fill="auto"/>
            <w:vAlign w:val="center"/>
          </w:tcPr>
          <w:p>
            <w:pPr>
              <w:jc w:val="center"/>
              <w:rPr>
                <w:rFonts w:hint="eastAsia" w:ascii="仿宋_GB2312" w:hAnsi="仿宋_GB2312" w:eastAsia="仿宋_GB2312" w:cs="仿宋_GB2312"/>
                <w:sz w:val="24"/>
                <w:szCs w:val="24"/>
                <w:highlight w:val="none"/>
              </w:rPr>
            </w:pPr>
          </w:p>
        </w:tc>
        <w:tc>
          <w:tcPr>
            <w:tcW w:w="2370" w:type="dxa"/>
            <w:shd w:val="clear" w:color="auto" w:fill="auto"/>
            <w:vAlign w:val="center"/>
          </w:tcPr>
          <w:p>
            <w:pPr>
              <w:jc w:val="center"/>
              <w:rPr>
                <w:rFonts w:hint="eastAsia" w:ascii="仿宋_GB2312" w:hAnsi="仿宋_GB2312" w:eastAsia="仿宋_GB2312" w:cs="仿宋_GB2312"/>
                <w:sz w:val="24"/>
                <w:szCs w:val="24"/>
                <w:highlight w:val="none"/>
              </w:rPr>
            </w:pPr>
          </w:p>
        </w:tc>
        <w:tc>
          <w:tcPr>
            <w:tcW w:w="1950" w:type="dxa"/>
            <w:shd w:val="clear" w:color="auto" w:fill="auto"/>
            <w:vAlign w:val="center"/>
          </w:tcPr>
          <w:p>
            <w:pPr>
              <w:jc w:val="center"/>
              <w:rPr>
                <w:rFonts w:hint="eastAsia" w:ascii="仿宋_GB2312" w:hAnsi="仿宋_GB2312" w:eastAsia="仿宋_GB2312" w:cs="仿宋_GB2312"/>
                <w:sz w:val="24"/>
                <w:szCs w:val="24"/>
                <w:highlight w:val="none"/>
              </w:rPr>
            </w:pPr>
          </w:p>
        </w:tc>
      </w:tr>
      <w:tr>
        <w:tblPrEx>
          <w:tblCellMar>
            <w:top w:w="15" w:type="dxa"/>
            <w:left w:w="15" w:type="dxa"/>
            <w:bottom w:w="15" w:type="dxa"/>
            <w:right w:w="15" w:type="dxa"/>
          </w:tblCellMar>
        </w:tblPrEx>
        <w:trPr>
          <w:trHeight w:val="540" w:hRule="atLeast"/>
        </w:trPr>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b/>
                <w:sz w:val="24"/>
                <w:szCs w:val="24"/>
                <w:highlight w:val="none"/>
              </w:rPr>
            </w:pPr>
            <w:r>
              <w:rPr>
                <w:rFonts w:hint="eastAsia" w:ascii="仿宋_GB2312" w:hAnsi="仿宋_GB2312" w:eastAsia="仿宋_GB2312" w:cs="仿宋_GB2312"/>
                <w:b/>
                <w:kern w:val="0"/>
                <w:sz w:val="24"/>
                <w:szCs w:val="24"/>
                <w:highlight w:val="none"/>
              </w:rPr>
              <w:t>主管部门</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b/>
                <w:sz w:val="24"/>
                <w:szCs w:val="24"/>
                <w:highlight w:val="none"/>
              </w:rPr>
            </w:pPr>
            <w:r>
              <w:rPr>
                <w:rFonts w:hint="eastAsia" w:ascii="仿宋_GB2312" w:hAnsi="仿宋_GB2312" w:eastAsia="仿宋_GB2312" w:cs="仿宋_GB2312"/>
                <w:b/>
                <w:kern w:val="0"/>
                <w:sz w:val="24"/>
                <w:szCs w:val="24"/>
                <w:highlight w:val="none"/>
              </w:rPr>
              <w:t>存放资金类别</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b/>
                <w:sz w:val="24"/>
                <w:szCs w:val="24"/>
                <w:highlight w:val="none"/>
              </w:rPr>
            </w:pPr>
            <w:r>
              <w:rPr>
                <w:rFonts w:hint="eastAsia" w:ascii="仿宋_GB2312" w:hAnsi="仿宋_GB2312" w:eastAsia="仿宋_GB2312" w:cs="仿宋_GB2312"/>
                <w:b/>
                <w:kern w:val="0"/>
                <w:sz w:val="24"/>
                <w:szCs w:val="24"/>
                <w:highlight w:val="none"/>
              </w:rPr>
              <w:t>项目名称</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b/>
                <w:sz w:val="24"/>
                <w:szCs w:val="24"/>
                <w:highlight w:val="none"/>
              </w:rPr>
            </w:pPr>
            <w:r>
              <w:rPr>
                <w:rFonts w:hint="eastAsia" w:ascii="仿宋_GB2312" w:hAnsi="仿宋_GB2312" w:eastAsia="仿宋_GB2312" w:cs="仿宋_GB2312"/>
                <w:b/>
                <w:kern w:val="0"/>
                <w:sz w:val="24"/>
                <w:szCs w:val="24"/>
                <w:highlight w:val="none"/>
              </w:rPr>
              <w:t>账户名称</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b/>
                <w:sz w:val="24"/>
                <w:szCs w:val="24"/>
                <w:highlight w:val="none"/>
              </w:rPr>
            </w:pPr>
            <w:r>
              <w:rPr>
                <w:rFonts w:hint="eastAsia" w:ascii="仿宋_GB2312" w:hAnsi="仿宋_GB2312" w:eastAsia="仿宋_GB2312" w:cs="仿宋_GB2312"/>
                <w:b/>
                <w:kern w:val="0"/>
                <w:sz w:val="24"/>
                <w:szCs w:val="24"/>
                <w:highlight w:val="none"/>
              </w:rPr>
              <w:t>开户行</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b/>
                <w:sz w:val="24"/>
                <w:szCs w:val="24"/>
                <w:highlight w:val="none"/>
              </w:rPr>
            </w:pPr>
            <w:r>
              <w:rPr>
                <w:rFonts w:hint="eastAsia" w:ascii="仿宋_GB2312" w:hAnsi="仿宋_GB2312" w:eastAsia="仿宋_GB2312" w:cs="仿宋_GB2312"/>
                <w:b/>
                <w:kern w:val="0"/>
                <w:sz w:val="24"/>
                <w:szCs w:val="24"/>
                <w:highlight w:val="none"/>
              </w:rPr>
              <w:t>账号</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b/>
                <w:sz w:val="24"/>
                <w:szCs w:val="24"/>
                <w:highlight w:val="none"/>
              </w:rPr>
            </w:pPr>
            <w:r>
              <w:rPr>
                <w:rFonts w:hint="eastAsia" w:ascii="仿宋_GB2312" w:hAnsi="仿宋_GB2312" w:eastAsia="仿宋_GB2312" w:cs="仿宋_GB2312"/>
                <w:b/>
                <w:kern w:val="0"/>
                <w:sz w:val="24"/>
                <w:szCs w:val="24"/>
                <w:highlight w:val="none"/>
              </w:rPr>
              <w:t>开户时间</w:t>
            </w:r>
          </w:p>
        </w:tc>
      </w:tr>
      <w:tr>
        <w:tblPrEx>
          <w:tblCellMar>
            <w:top w:w="15" w:type="dxa"/>
            <w:left w:w="15" w:type="dxa"/>
            <w:bottom w:w="15" w:type="dxa"/>
            <w:right w:w="15" w:type="dxa"/>
          </w:tblCellMar>
        </w:tblPrEx>
        <w:trPr>
          <w:trHeight w:val="780" w:hRule="atLeast"/>
        </w:trPr>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kern w:val="0"/>
                <w:sz w:val="24"/>
                <w:szCs w:val="24"/>
                <w:highlight w:val="none"/>
              </w:rPr>
              <w:t>xxxxx</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kern w:val="0"/>
                <w:sz w:val="24"/>
                <w:szCs w:val="24"/>
                <w:highlight w:val="none"/>
              </w:rPr>
              <w:t>政府投资代建项目监管资金</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kern w:val="0"/>
                <w:sz w:val="24"/>
                <w:szCs w:val="24"/>
                <w:highlight w:val="none"/>
              </w:rPr>
              <w:t>xxxxx</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kern w:val="0"/>
                <w:sz w:val="24"/>
                <w:szCs w:val="24"/>
                <w:highlight w:val="none"/>
              </w:rPr>
              <w:t>xxxxx</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kern w:val="0"/>
                <w:sz w:val="24"/>
                <w:szCs w:val="24"/>
                <w:highlight w:val="none"/>
              </w:rPr>
              <w:t>xx银行xx支行</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kern w:val="0"/>
                <w:sz w:val="24"/>
                <w:szCs w:val="24"/>
                <w:highlight w:val="none"/>
              </w:rPr>
              <w:t>xxxxx</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kern w:val="0"/>
                <w:sz w:val="24"/>
                <w:szCs w:val="24"/>
                <w:highlight w:val="none"/>
              </w:rPr>
              <w:t>xxxx年xx月xx日</w:t>
            </w:r>
          </w:p>
        </w:tc>
      </w:tr>
      <w:tr>
        <w:tblPrEx>
          <w:tblCellMar>
            <w:top w:w="15" w:type="dxa"/>
            <w:left w:w="15" w:type="dxa"/>
            <w:bottom w:w="15" w:type="dxa"/>
            <w:right w:w="15" w:type="dxa"/>
          </w:tblCellMar>
        </w:tblPrEx>
        <w:trPr>
          <w:trHeight w:val="780" w:hRule="atLeast"/>
        </w:trPr>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kern w:val="0"/>
                <w:sz w:val="24"/>
                <w:szCs w:val="24"/>
                <w:highlight w:val="none"/>
              </w:rPr>
              <w:t>...</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kern w:val="0"/>
                <w:sz w:val="24"/>
                <w:szCs w:val="24"/>
                <w:highlight w:val="none"/>
              </w:rPr>
              <w:t>政府投资引导基金</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kern w:val="0"/>
                <w:sz w:val="24"/>
                <w:szCs w:val="24"/>
                <w:highlight w:val="none"/>
              </w:rPr>
              <w:t>...</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kern w:val="0"/>
                <w:sz w:val="24"/>
                <w:szCs w:val="24"/>
                <w:highlight w:val="none"/>
              </w:rPr>
              <w:t>...</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kern w:val="0"/>
                <w:sz w:val="24"/>
                <w:szCs w:val="24"/>
                <w:highlight w:val="none"/>
              </w:rPr>
              <w:t>...</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kern w:val="0"/>
                <w:sz w:val="24"/>
                <w:szCs w:val="24"/>
                <w:highlight w:val="none"/>
              </w:rPr>
              <w:t>...</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kern w:val="0"/>
                <w:sz w:val="24"/>
                <w:szCs w:val="24"/>
                <w:highlight w:val="none"/>
              </w:rPr>
              <w:t>...</w:t>
            </w:r>
          </w:p>
        </w:tc>
      </w:tr>
      <w:tr>
        <w:tblPrEx>
          <w:tblCellMar>
            <w:top w:w="15" w:type="dxa"/>
            <w:left w:w="15" w:type="dxa"/>
            <w:bottom w:w="15" w:type="dxa"/>
            <w:right w:w="15" w:type="dxa"/>
          </w:tblCellMar>
        </w:tblPrEx>
        <w:trPr>
          <w:trHeight w:val="780" w:hRule="atLeast"/>
        </w:trPr>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kern w:val="0"/>
                <w:sz w:val="24"/>
                <w:szCs w:val="24"/>
                <w:highlight w:val="none"/>
              </w:rPr>
              <w:t>...</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区财政投向区属国企的资金</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kern w:val="0"/>
                <w:sz w:val="24"/>
                <w:szCs w:val="24"/>
                <w:highlight w:val="none"/>
              </w:rPr>
              <w:t>...</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kern w:val="0"/>
                <w:sz w:val="24"/>
                <w:szCs w:val="24"/>
                <w:highlight w:val="none"/>
              </w:rPr>
              <w:t>...</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kern w:val="0"/>
                <w:sz w:val="24"/>
                <w:szCs w:val="24"/>
                <w:highlight w:val="none"/>
              </w:rPr>
              <w:t>...</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kern w:val="0"/>
                <w:sz w:val="24"/>
                <w:szCs w:val="24"/>
                <w:highlight w:val="none"/>
              </w:rPr>
              <w:t>...</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kern w:val="0"/>
                <w:sz w:val="24"/>
                <w:szCs w:val="24"/>
                <w:highlight w:val="none"/>
              </w:rPr>
              <w:t>...</w:t>
            </w:r>
          </w:p>
        </w:tc>
      </w:tr>
      <w:tr>
        <w:tblPrEx>
          <w:tblCellMar>
            <w:top w:w="15" w:type="dxa"/>
            <w:left w:w="15" w:type="dxa"/>
            <w:bottom w:w="15" w:type="dxa"/>
            <w:right w:w="15" w:type="dxa"/>
          </w:tblCellMar>
        </w:tblPrEx>
        <w:trPr>
          <w:trHeight w:val="780" w:hRule="atLeast"/>
        </w:trPr>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kern w:val="0"/>
                <w:sz w:val="24"/>
                <w:szCs w:val="24"/>
                <w:highlight w:val="none"/>
              </w:rPr>
              <w:t>...</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kern w:val="0"/>
                <w:sz w:val="24"/>
                <w:szCs w:val="24"/>
                <w:highlight w:val="none"/>
              </w:rPr>
              <w:t>其他</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kern w:val="0"/>
                <w:sz w:val="24"/>
                <w:szCs w:val="24"/>
                <w:highlight w:val="none"/>
              </w:rPr>
              <w:t>...</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kern w:val="0"/>
                <w:sz w:val="24"/>
                <w:szCs w:val="24"/>
                <w:highlight w:val="none"/>
              </w:rPr>
              <w:t>...</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kern w:val="0"/>
                <w:sz w:val="24"/>
                <w:szCs w:val="24"/>
                <w:highlight w:val="none"/>
              </w:rPr>
              <w:t>...</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kern w:val="0"/>
                <w:sz w:val="24"/>
                <w:szCs w:val="24"/>
                <w:highlight w:val="none"/>
              </w:rPr>
              <w:t>...</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kern w:val="0"/>
                <w:sz w:val="24"/>
                <w:szCs w:val="24"/>
                <w:highlight w:val="none"/>
              </w:rPr>
              <w:t>...</w:t>
            </w:r>
          </w:p>
        </w:tc>
      </w:tr>
      <w:tr>
        <w:tblPrEx>
          <w:tblCellMar>
            <w:top w:w="15" w:type="dxa"/>
            <w:left w:w="15" w:type="dxa"/>
            <w:bottom w:w="15" w:type="dxa"/>
            <w:right w:w="15" w:type="dxa"/>
          </w:tblCellMar>
        </w:tblPrEx>
        <w:trPr>
          <w:trHeight w:val="780" w:hRule="atLeast"/>
        </w:trPr>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sz w:val="24"/>
                <w:szCs w:val="24"/>
                <w:highlight w:val="none"/>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sz w:val="24"/>
                <w:szCs w:val="24"/>
                <w:highlight w:val="none"/>
              </w:rPr>
            </w:pP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sz w:val="24"/>
                <w:szCs w:val="24"/>
                <w:highlight w:val="none"/>
              </w:rPr>
            </w:pP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sz w:val="24"/>
                <w:szCs w:val="24"/>
                <w:highlight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sz w:val="24"/>
                <w:szCs w:val="24"/>
                <w:highlight w:val="none"/>
              </w:rPr>
            </w:pP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sz w:val="24"/>
                <w:szCs w:val="24"/>
                <w:highlight w:val="none"/>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sz w:val="24"/>
                <w:szCs w:val="24"/>
                <w:highlight w:val="none"/>
              </w:rPr>
            </w:pPr>
          </w:p>
        </w:tc>
      </w:tr>
      <w:tr>
        <w:tblPrEx>
          <w:tblCellMar>
            <w:top w:w="15" w:type="dxa"/>
            <w:left w:w="15" w:type="dxa"/>
            <w:bottom w:w="15" w:type="dxa"/>
            <w:right w:w="15" w:type="dxa"/>
          </w:tblCellMar>
        </w:tblPrEx>
        <w:trPr>
          <w:trHeight w:val="780" w:hRule="atLeast"/>
        </w:trPr>
        <w:tc>
          <w:tcPr>
            <w:tcW w:w="15060" w:type="dxa"/>
            <w:gridSpan w:val="7"/>
            <w:shd w:val="clear" w:color="auto" w:fill="auto"/>
            <w:vAlign w:val="center"/>
          </w:tcPr>
          <w:p>
            <w:pPr>
              <w:widowControl/>
              <w:jc w:val="left"/>
              <w:textAlignment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kern w:val="0"/>
                <w:sz w:val="24"/>
                <w:szCs w:val="24"/>
                <w:highlight w:val="none"/>
              </w:rPr>
              <w:t>填表说明：“存放资金类别”根据存放资金的实际情况填写：政府投资代建项目监管资金、政府投资引导基金、区财政投向区属国企的资金或其他。</w:t>
            </w:r>
          </w:p>
        </w:tc>
      </w:tr>
      <w:bookmarkEnd w:id="0"/>
    </w:tbl>
    <w:p>
      <w:pPr>
        <w:spacing w:line="560" w:lineRule="exact"/>
        <w:rPr>
          <w:rFonts w:ascii="仿宋_GB2312" w:eastAsia="仿宋_GB2312"/>
          <w:sz w:val="32"/>
          <w:szCs w:val="32"/>
          <w:highlight w:val="none"/>
        </w:rPr>
      </w:pPr>
    </w:p>
    <w:sectPr>
      <w:pgSz w:w="16838" w:h="11906" w:orient="landscape"/>
      <w:pgMar w:top="540" w:right="600" w:bottom="446"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4EBD"/>
    <w:rsid w:val="000163FA"/>
    <w:rsid w:val="00024986"/>
    <w:rsid w:val="00037C31"/>
    <w:rsid w:val="0006376B"/>
    <w:rsid w:val="000726C0"/>
    <w:rsid w:val="000869E8"/>
    <w:rsid w:val="000A1FAE"/>
    <w:rsid w:val="000C09CC"/>
    <w:rsid w:val="000C2811"/>
    <w:rsid w:val="000F3115"/>
    <w:rsid w:val="00124CC4"/>
    <w:rsid w:val="00127F20"/>
    <w:rsid w:val="0013239B"/>
    <w:rsid w:val="001660CA"/>
    <w:rsid w:val="00167099"/>
    <w:rsid w:val="0019494C"/>
    <w:rsid w:val="001B1751"/>
    <w:rsid w:val="001C7B77"/>
    <w:rsid w:val="001D3060"/>
    <w:rsid w:val="001D6E40"/>
    <w:rsid w:val="001E5328"/>
    <w:rsid w:val="001E7F09"/>
    <w:rsid w:val="001F2948"/>
    <w:rsid w:val="001F4AB6"/>
    <w:rsid w:val="001F57D9"/>
    <w:rsid w:val="002108DF"/>
    <w:rsid w:val="00217422"/>
    <w:rsid w:val="00217FD9"/>
    <w:rsid w:val="00246956"/>
    <w:rsid w:val="00263979"/>
    <w:rsid w:val="00276E38"/>
    <w:rsid w:val="002C758F"/>
    <w:rsid w:val="002D5B30"/>
    <w:rsid w:val="00303455"/>
    <w:rsid w:val="00305E53"/>
    <w:rsid w:val="00312F8F"/>
    <w:rsid w:val="00316DC5"/>
    <w:rsid w:val="003269B7"/>
    <w:rsid w:val="0035116A"/>
    <w:rsid w:val="00357A6F"/>
    <w:rsid w:val="00362EE8"/>
    <w:rsid w:val="00364C5D"/>
    <w:rsid w:val="00382357"/>
    <w:rsid w:val="003B6BE0"/>
    <w:rsid w:val="003D0C6D"/>
    <w:rsid w:val="003D2CE5"/>
    <w:rsid w:val="003D64E3"/>
    <w:rsid w:val="00403578"/>
    <w:rsid w:val="00412C69"/>
    <w:rsid w:val="004148F0"/>
    <w:rsid w:val="00422A1A"/>
    <w:rsid w:val="004247BC"/>
    <w:rsid w:val="00433A3F"/>
    <w:rsid w:val="004352C7"/>
    <w:rsid w:val="00447E23"/>
    <w:rsid w:val="00465BCF"/>
    <w:rsid w:val="00477254"/>
    <w:rsid w:val="0049196F"/>
    <w:rsid w:val="004941D1"/>
    <w:rsid w:val="004965D4"/>
    <w:rsid w:val="004970E3"/>
    <w:rsid w:val="004A00E1"/>
    <w:rsid w:val="004A38F6"/>
    <w:rsid w:val="004E373A"/>
    <w:rsid w:val="004F1A16"/>
    <w:rsid w:val="004F49F1"/>
    <w:rsid w:val="004F7F25"/>
    <w:rsid w:val="00503314"/>
    <w:rsid w:val="00575042"/>
    <w:rsid w:val="00580F7C"/>
    <w:rsid w:val="00584759"/>
    <w:rsid w:val="00593FEF"/>
    <w:rsid w:val="005A1206"/>
    <w:rsid w:val="005A3173"/>
    <w:rsid w:val="005A4619"/>
    <w:rsid w:val="005D7D75"/>
    <w:rsid w:val="005D7FF5"/>
    <w:rsid w:val="005F4C78"/>
    <w:rsid w:val="00621D7B"/>
    <w:rsid w:val="00650858"/>
    <w:rsid w:val="00652E88"/>
    <w:rsid w:val="00654B7D"/>
    <w:rsid w:val="00661105"/>
    <w:rsid w:val="00693558"/>
    <w:rsid w:val="006A0288"/>
    <w:rsid w:val="006C305B"/>
    <w:rsid w:val="006E17AA"/>
    <w:rsid w:val="006F59EB"/>
    <w:rsid w:val="007563BF"/>
    <w:rsid w:val="00766DB4"/>
    <w:rsid w:val="0078366A"/>
    <w:rsid w:val="007B2113"/>
    <w:rsid w:val="007B4D4B"/>
    <w:rsid w:val="007D1B71"/>
    <w:rsid w:val="007E0671"/>
    <w:rsid w:val="007E492D"/>
    <w:rsid w:val="00800D11"/>
    <w:rsid w:val="00807B66"/>
    <w:rsid w:val="0084201E"/>
    <w:rsid w:val="008565A1"/>
    <w:rsid w:val="00872C83"/>
    <w:rsid w:val="0088257B"/>
    <w:rsid w:val="00892ED8"/>
    <w:rsid w:val="008A1F90"/>
    <w:rsid w:val="008B0DBA"/>
    <w:rsid w:val="008D3F0C"/>
    <w:rsid w:val="008E241C"/>
    <w:rsid w:val="008E3D6E"/>
    <w:rsid w:val="008E55CA"/>
    <w:rsid w:val="008F0681"/>
    <w:rsid w:val="00916250"/>
    <w:rsid w:val="00917C5B"/>
    <w:rsid w:val="00922E4E"/>
    <w:rsid w:val="00936193"/>
    <w:rsid w:val="00956611"/>
    <w:rsid w:val="00957C58"/>
    <w:rsid w:val="0097642C"/>
    <w:rsid w:val="00981C66"/>
    <w:rsid w:val="0098704D"/>
    <w:rsid w:val="0099031F"/>
    <w:rsid w:val="009B4747"/>
    <w:rsid w:val="009C4CB6"/>
    <w:rsid w:val="009E0773"/>
    <w:rsid w:val="009E678D"/>
    <w:rsid w:val="00A05E25"/>
    <w:rsid w:val="00A3521D"/>
    <w:rsid w:val="00A3594C"/>
    <w:rsid w:val="00A5019D"/>
    <w:rsid w:val="00A52427"/>
    <w:rsid w:val="00A64836"/>
    <w:rsid w:val="00A64A3F"/>
    <w:rsid w:val="00A841E7"/>
    <w:rsid w:val="00AA24CC"/>
    <w:rsid w:val="00AA27A8"/>
    <w:rsid w:val="00AD3BE3"/>
    <w:rsid w:val="00AD561D"/>
    <w:rsid w:val="00AE2106"/>
    <w:rsid w:val="00B173BE"/>
    <w:rsid w:val="00B37B44"/>
    <w:rsid w:val="00B74774"/>
    <w:rsid w:val="00B75577"/>
    <w:rsid w:val="00B92002"/>
    <w:rsid w:val="00BA094F"/>
    <w:rsid w:val="00BB0FED"/>
    <w:rsid w:val="00BD4356"/>
    <w:rsid w:val="00BD61DA"/>
    <w:rsid w:val="00BD6E0B"/>
    <w:rsid w:val="00BE172A"/>
    <w:rsid w:val="00BE44E2"/>
    <w:rsid w:val="00BE4A06"/>
    <w:rsid w:val="00C07F11"/>
    <w:rsid w:val="00C1061A"/>
    <w:rsid w:val="00C22080"/>
    <w:rsid w:val="00C27873"/>
    <w:rsid w:val="00C44D36"/>
    <w:rsid w:val="00C82915"/>
    <w:rsid w:val="00CB1882"/>
    <w:rsid w:val="00CB7AB0"/>
    <w:rsid w:val="00CC4AA0"/>
    <w:rsid w:val="00CC7E26"/>
    <w:rsid w:val="00CE41B8"/>
    <w:rsid w:val="00D05760"/>
    <w:rsid w:val="00D061B8"/>
    <w:rsid w:val="00D13A9B"/>
    <w:rsid w:val="00D13C0D"/>
    <w:rsid w:val="00D25FC8"/>
    <w:rsid w:val="00D26F87"/>
    <w:rsid w:val="00D45D49"/>
    <w:rsid w:val="00D466C5"/>
    <w:rsid w:val="00D54B01"/>
    <w:rsid w:val="00D57209"/>
    <w:rsid w:val="00D818E2"/>
    <w:rsid w:val="00D86BD7"/>
    <w:rsid w:val="00D9654F"/>
    <w:rsid w:val="00DB465F"/>
    <w:rsid w:val="00DC4C9A"/>
    <w:rsid w:val="00DE5560"/>
    <w:rsid w:val="00DF2ACE"/>
    <w:rsid w:val="00E11C5A"/>
    <w:rsid w:val="00E22736"/>
    <w:rsid w:val="00E305E3"/>
    <w:rsid w:val="00E37A8C"/>
    <w:rsid w:val="00E62442"/>
    <w:rsid w:val="00E83744"/>
    <w:rsid w:val="00E9310A"/>
    <w:rsid w:val="00EB17B3"/>
    <w:rsid w:val="00EB1A85"/>
    <w:rsid w:val="00ED30C2"/>
    <w:rsid w:val="00ED71F9"/>
    <w:rsid w:val="00EE5011"/>
    <w:rsid w:val="00F04397"/>
    <w:rsid w:val="00F24EBD"/>
    <w:rsid w:val="00F3003C"/>
    <w:rsid w:val="00F73C7C"/>
    <w:rsid w:val="00F83AC8"/>
    <w:rsid w:val="00F85D90"/>
    <w:rsid w:val="00F85FD4"/>
    <w:rsid w:val="00FA7BA3"/>
    <w:rsid w:val="00FB5F0D"/>
    <w:rsid w:val="00FD5A60"/>
    <w:rsid w:val="00FF7316"/>
    <w:rsid w:val="011F561E"/>
    <w:rsid w:val="0225428A"/>
    <w:rsid w:val="02AD37B2"/>
    <w:rsid w:val="036D28A1"/>
    <w:rsid w:val="04260576"/>
    <w:rsid w:val="07A77755"/>
    <w:rsid w:val="08C048CB"/>
    <w:rsid w:val="0967715C"/>
    <w:rsid w:val="0AD30F28"/>
    <w:rsid w:val="0BC060C6"/>
    <w:rsid w:val="0DA37918"/>
    <w:rsid w:val="0DC73C7B"/>
    <w:rsid w:val="0E4D7499"/>
    <w:rsid w:val="0E636B28"/>
    <w:rsid w:val="0EB45A53"/>
    <w:rsid w:val="0F483507"/>
    <w:rsid w:val="10B023B0"/>
    <w:rsid w:val="10B06C91"/>
    <w:rsid w:val="118073ED"/>
    <w:rsid w:val="14ED2BDA"/>
    <w:rsid w:val="17EE66CE"/>
    <w:rsid w:val="18D4012F"/>
    <w:rsid w:val="19752FFE"/>
    <w:rsid w:val="1AA95F44"/>
    <w:rsid w:val="1AB0477F"/>
    <w:rsid w:val="1B3B0905"/>
    <w:rsid w:val="1D0503DB"/>
    <w:rsid w:val="1D514A04"/>
    <w:rsid w:val="20E26ADF"/>
    <w:rsid w:val="213C16BD"/>
    <w:rsid w:val="21C65B73"/>
    <w:rsid w:val="222B6AAC"/>
    <w:rsid w:val="239B6C97"/>
    <w:rsid w:val="23AF61EF"/>
    <w:rsid w:val="241752DF"/>
    <w:rsid w:val="24BB3E11"/>
    <w:rsid w:val="26F6398E"/>
    <w:rsid w:val="2888517C"/>
    <w:rsid w:val="28FD6251"/>
    <w:rsid w:val="2A0B3B37"/>
    <w:rsid w:val="2A121CCB"/>
    <w:rsid w:val="2B8C7621"/>
    <w:rsid w:val="2BF61FF1"/>
    <w:rsid w:val="2F9346EB"/>
    <w:rsid w:val="30A92676"/>
    <w:rsid w:val="31903E69"/>
    <w:rsid w:val="32136288"/>
    <w:rsid w:val="326A7D4F"/>
    <w:rsid w:val="341F3B1D"/>
    <w:rsid w:val="346A3A56"/>
    <w:rsid w:val="35B739B3"/>
    <w:rsid w:val="36BE2FBB"/>
    <w:rsid w:val="3701685B"/>
    <w:rsid w:val="37235D9A"/>
    <w:rsid w:val="37E617E4"/>
    <w:rsid w:val="389550A2"/>
    <w:rsid w:val="3A1E49C4"/>
    <w:rsid w:val="3AA70317"/>
    <w:rsid w:val="3D3A24EA"/>
    <w:rsid w:val="3E450764"/>
    <w:rsid w:val="3F3F6F4D"/>
    <w:rsid w:val="3F5E5E87"/>
    <w:rsid w:val="3FC95778"/>
    <w:rsid w:val="408912FC"/>
    <w:rsid w:val="40BA1480"/>
    <w:rsid w:val="42732C5A"/>
    <w:rsid w:val="43A22EB7"/>
    <w:rsid w:val="44201E44"/>
    <w:rsid w:val="448657D5"/>
    <w:rsid w:val="451F3406"/>
    <w:rsid w:val="46887465"/>
    <w:rsid w:val="47D762BC"/>
    <w:rsid w:val="48F00CFF"/>
    <w:rsid w:val="491D5C4A"/>
    <w:rsid w:val="4CF30FB6"/>
    <w:rsid w:val="4D0A3C60"/>
    <w:rsid w:val="4F810861"/>
    <w:rsid w:val="510A2772"/>
    <w:rsid w:val="517666D8"/>
    <w:rsid w:val="51BC3272"/>
    <w:rsid w:val="51F562C5"/>
    <w:rsid w:val="520B29D3"/>
    <w:rsid w:val="527824DA"/>
    <w:rsid w:val="52A347D4"/>
    <w:rsid w:val="52D27A41"/>
    <w:rsid w:val="550329A2"/>
    <w:rsid w:val="551E36B4"/>
    <w:rsid w:val="554A5C42"/>
    <w:rsid w:val="55925C14"/>
    <w:rsid w:val="5646615D"/>
    <w:rsid w:val="56666690"/>
    <w:rsid w:val="567316CE"/>
    <w:rsid w:val="58910790"/>
    <w:rsid w:val="58C3037F"/>
    <w:rsid w:val="58EA0BAB"/>
    <w:rsid w:val="5A0926E6"/>
    <w:rsid w:val="5C0D1318"/>
    <w:rsid w:val="5C3E2A30"/>
    <w:rsid w:val="5C7C2466"/>
    <w:rsid w:val="5C841D47"/>
    <w:rsid w:val="5D0F6861"/>
    <w:rsid w:val="5ECA0497"/>
    <w:rsid w:val="5F133F94"/>
    <w:rsid w:val="5F836BBA"/>
    <w:rsid w:val="60DC7B9F"/>
    <w:rsid w:val="61846FC5"/>
    <w:rsid w:val="61AB6892"/>
    <w:rsid w:val="61C22B83"/>
    <w:rsid w:val="635A11F7"/>
    <w:rsid w:val="64857C40"/>
    <w:rsid w:val="64D7674A"/>
    <w:rsid w:val="660D2BB3"/>
    <w:rsid w:val="6C986DFD"/>
    <w:rsid w:val="6FC625D9"/>
    <w:rsid w:val="722906AB"/>
    <w:rsid w:val="762A0A45"/>
    <w:rsid w:val="785D1AC5"/>
    <w:rsid w:val="7B281CB2"/>
    <w:rsid w:val="7C740725"/>
    <w:rsid w:val="7DCA58D9"/>
    <w:rsid w:val="7ED079BC"/>
    <w:rsid w:val="7F68235A"/>
    <w:rsid w:val="7FD2193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spacing w:beforeAutospacing="1" w:afterAutospacing="1"/>
      <w:jc w:val="left"/>
      <w:outlineLvl w:val="0"/>
    </w:pPr>
    <w:rPr>
      <w:rFonts w:hint="eastAsia" w:ascii="宋体" w:hAnsi="宋体"/>
      <w:b/>
      <w:kern w:val="44"/>
      <w:sz w:val="48"/>
      <w:szCs w:val="48"/>
    </w:rPr>
  </w:style>
  <w:style w:type="paragraph" w:styleId="3">
    <w:name w:val="heading 2"/>
    <w:basedOn w:val="1"/>
    <w:next w:val="1"/>
    <w:link w:val="18"/>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unhideWhenUsed/>
    <w:qFormat/>
    <w:uiPriority w:val="99"/>
    <w:pPr>
      <w:jc w:val="left"/>
    </w:pPr>
  </w:style>
  <w:style w:type="paragraph" w:styleId="5">
    <w:name w:val="Balloon Text"/>
    <w:basedOn w:val="1"/>
    <w:link w:val="20"/>
    <w:semiHidden/>
    <w:unhideWhenUsed/>
    <w:qFormat/>
    <w:uiPriority w:val="99"/>
    <w:rPr>
      <w:sz w:val="18"/>
      <w:szCs w:val="18"/>
    </w:rPr>
  </w:style>
  <w:style w:type="paragraph" w:styleId="6">
    <w:name w:val="footer"/>
    <w:basedOn w:val="1"/>
    <w:link w:val="1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7">
    <w:name w:val="header"/>
    <w:basedOn w:val="1"/>
    <w:link w:val="1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character" w:styleId="11">
    <w:name w:val="Strong"/>
    <w:basedOn w:val="10"/>
    <w:qFormat/>
    <w:uiPriority w:val="22"/>
    <w:rPr>
      <w:b/>
    </w:rPr>
  </w:style>
  <w:style w:type="character" w:styleId="12">
    <w:name w:val="FollowedHyperlink"/>
    <w:basedOn w:val="10"/>
    <w:semiHidden/>
    <w:unhideWhenUsed/>
    <w:qFormat/>
    <w:uiPriority w:val="99"/>
    <w:rPr>
      <w:color w:val="000000"/>
      <w:u w:val="none"/>
    </w:rPr>
  </w:style>
  <w:style w:type="character" w:styleId="13">
    <w:name w:val="Emphasis"/>
    <w:basedOn w:val="10"/>
    <w:qFormat/>
    <w:uiPriority w:val="20"/>
    <w:rPr>
      <w:i/>
    </w:rPr>
  </w:style>
  <w:style w:type="character" w:styleId="14">
    <w:name w:val="Hyperlink"/>
    <w:basedOn w:val="10"/>
    <w:semiHidden/>
    <w:unhideWhenUsed/>
    <w:qFormat/>
    <w:uiPriority w:val="99"/>
    <w:rPr>
      <w:color w:val="000000"/>
      <w:u w:val="none"/>
    </w:rPr>
  </w:style>
  <w:style w:type="character" w:styleId="15">
    <w:name w:val="annotation reference"/>
    <w:basedOn w:val="10"/>
    <w:semiHidden/>
    <w:unhideWhenUsed/>
    <w:qFormat/>
    <w:uiPriority w:val="99"/>
    <w:rPr>
      <w:sz w:val="21"/>
      <w:szCs w:val="21"/>
    </w:rPr>
  </w:style>
  <w:style w:type="character" w:customStyle="1" w:styleId="16">
    <w:name w:val="页眉 Char"/>
    <w:basedOn w:val="10"/>
    <w:link w:val="7"/>
    <w:qFormat/>
    <w:uiPriority w:val="99"/>
    <w:rPr>
      <w:sz w:val="18"/>
      <w:szCs w:val="18"/>
    </w:rPr>
  </w:style>
  <w:style w:type="character" w:customStyle="1" w:styleId="17">
    <w:name w:val="页脚 Char"/>
    <w:basedOn w:val="10"/>
    <w:link w:val="6"/>
    <w:qFormat/>
    <w:uiPriority w:val="99"/>
    <w:rPr>
      <w:sz w:val="18"/>
      <w:szCs w:val="18"/>
    </w:rPr>
  </w:style>
  <w:style w:type="character" w:customStyle="1" w:styleId="18">
    <w:name w:val="标题 2 Char"/>
    <w:basedOn w:val="10"/>
    <w:link w:val="3"/>
    <w:semiHidden/>
    <w:qFormat/>
    <w:uiPriority w:val="9"/>
    <w:rPr>
      <w:rFonts w:asciiTheme="majorHAnsi" w:hAnsiTheme="majorHAnsi" w:eastAsiaTheme="majorEastAsia" w:cstheme="majorBidi"/>
      <w:b/>
      <w:bCs/>
      <w:sz w:val="32"/>
      <w:szCs w:val="32"/>
    </w:rPr>
  </w:style>
  <w:style w:type="paragraph" w:customStyle="1" w:styleId="19">
    <w:name w:val="Revision"/>
    <w:hidden/>
    <w:unhideWhenUsed/>
    <w:qFormat/>
    <w:uiPriority w:val="99"/>
    <w:rPr>
      <w:rFonts w:ascii="Times New Roman" w:hAnsi="Times New Roman" w:eastAsia="宋体" w:cs="Times New Roman"/>
      <w:kern w:val="2"/>
      <w:sz w:val="21"/>
      <w:szCs w:val="24"/>
      <w:lang w:val="en-US" w:eastAsia="zh-CN" w:bidi="ar-SA"/>
    </w:rPr>
  </w:style>
  <w:style w:type="character" w:customStyle="1" w:styleId="20">
    <w:name w:val="批注框文本 Char"/>
    <w:basedOn w:val="10"/>
    <w:link w:val="5"/>
    <w:semiHidden/>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5DA1658-449A-4622-918F-A4B824F74373}">
  <ds:schemaRefs/>
</ds:datastoreItem>
</file>

<file path=docProps/app.xml><?xml version="1.0" encoding="utf-8"?>
<Properties xmlns="http://schemas.openxmlformats.org/officeDocument/2006/extended-properties" xmlns:vt="http://schemas.openxmlformats.org/officeDocument/2006/docPropsVTypes">
  <Template>Normal.dotm</Template>
  <Company>Chinese ORG</Company>
  <Pages>8</Pages>
  <Words>596</Words>
  <Characters>3403</Characters>
  <Lines>28</Lines>
  <Paragraphs>7</Paragraphs>
  <TotalTime>11</TotalTime>
  <ScaleCrop>false</ScaleCrop>
  <LinksUpToDate>false</LinksUpToDate>
  <CharactersWithSpaces>3992</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2019-11-20T03:15:00Z</dcterms:created>
  <dc:creator>李雯怡</dc:creator>
  <cp:lastModifiedBy>小星星</cp:lastModifiedBy>
  <cp:lastPrinted>2020-02-17T10:04:00Z</cp:lastPrinted>
  <dcterms:modified xsi:type="dcterms:W3CDTF">2020-05-20T06:50:02Z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