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附件</w:t>
      </w:r>
      <w:r>
        <w:rPr>
          <w:rFonts w:ascii="仿宋_GB2312" w:hAnsi="宋体" w:eastAsia="仿宋_GB2312" w:cs="仿宋_GB2312"/>
          <w:sz w:val="32"/>
          <w:szCs w:val="32"/>
        </w:rPr>
        <w:t>3</w:t>
      </w:r>
    </w:p>
    <w:p>
      <w:pPr>
        <w:rPr>
          <w:rFonts w:ascii="宋体"/>
          <w:sz w:val="44"/>
          <w:szCs w:val="44"/>
        </w:rPr>
      </w:pPr>
    </w:p>
    <w:p>
      <w:pPr>
        <w:rPr>
          <w:rFonts w:ascii="宋体"/>
          <w:sz w:val="44"/>
          <w:szCs w:val="44"/>
        </w:rPr>
      </w:pPr>
    </w:p>
    <w:p>
      <w:pPr>
        <w:rPr>
          <w:rFonts w:ascii="宋体"/>
          <w:sz w:val="44"/>
          <w:szCs w:val="44"/>
        </w:rPr>
      </w:pPr>
    </w:p>
    <w:p>
      <w:pPr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  <w:r>
        <w:rPr>
          <w:rFonts w:ascii="宋体" w:hAnsi="宋体" w:cs="宋体"/>
          <w:sz w:val="44"/>
          <w:szCs w:val="44"/>
        </w:rPr>
        <w:t>201</w:t>
      </w:r>
      <w:r>
        <w:rPr>
          <w:rFonts w:hint="eastAsia" w:ascii="宋体" w:hAnsi="宋体" w:cs="宋体"/>
          <w:sz w:val="44"/>
          <w:szCs w:val="44"/>
          <w:lang w:val="en-US" w:eastAsia="zh-CN"/>
        </w:rPr>
        <w:t>9</w:t>
      </w:r>
      <w:r>
        <w:rPr>
          <w:rFonts w:hint="eastAsia" w:ascii="宋体" w:hAnsi="宋体" w:cs="宋体"/>
          <w:sz w:val="44"/>
          <w:szCs w:val="44"/>
        </w:rPr>
        <w:t>年度重点项目支出</w:t>
      </w:r>
    </w:p>
    <w:p>
      <w:pPr>
        <w:jc w:val="center"/>
        <w:rPr>
          <w:rFonts w:ascii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绩效评价报告</w:t>
      </w: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both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spacing w:line="360" w:lineRule="auto"/>
        <w:ind w:firstLine="1760" w:firstLineChars="55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项目名称：海上安保救生经费</w:t>
      </w:r>
    </w:p>
    <w:p>
      <w:pPr>
        <w:spacing w:line="360" w:lineRule="auto"/>
        <w:ind w:firstLine="1760" w:firstLineChars="55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主管部门（公章）：深圳市盐田区城市管理局</w:t>
      </w:r>
    </w:p>
    <w:p>
      <w:pPr>
        <w:spacing w:line="360" w:lineRule="auto"/>
        <w:ind w:firstLine="1760" w:firstLineChars="5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项目负责人：杨贵荣</w:t>
      </w:r>
    </w:p>
    <w:p>
      <w:pPr>
        <w:spacing w:line="360" w:lineRule="auto"/>
        <w:ind w:firstLine="1760" w:firstLineChars="5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填报人：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何俊霖</w:t>
      </w:r>
    </w:p>
    <w:p>
      <w:pPr>
        <w:spacing w:line="360" w:lineRule="auto"/>
        <w:ind w:firstLine="1760" w:firstLineChars="55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0755--22320533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rPr>
          <w:rFonts w:ascii="楷体_GB2312" w:hAnsi="宋体" w:eastAsia="楷体_GB2312"/>
          <w:sz w:val="36"/>
          <w:szCs w:val="36"/>
        </w:rPr>
      </w:pPr>
    </w:p>
    <w:p>
      <w:pPr>
        <w:ind w:firstLine="640" w:firstLineChars="200"/>
        <w:rPr>
          <w:rFonts w:hint="eastAsia" w:ascii="黑体" w:eastAsia="黑体" w:cs="黑体"/>
          <w:sz w:val="32"/>
          <w:szCs w:val="32"/>
        </w:rPr>
      </w:pP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一、项目概况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（一）项目背景、立项依据。</w:t>
      </w:r>
    </w:p>
    <w:p>
      <w:pPr>
        <w:ind w:firstLine="645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海上救生工作是部门安全防范工作的重中之重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根据盐会纪【2013】52号、深盐府办【2013】19号会议精神，为保障日常海上义务救生工作平稳有序进行，力争年内溺亡人数低于前五年平均溺亡人数，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为游客营造一个更为舒适、洁净的旅游环境，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本单位于2019年向盐田区财政提交《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海上安保救生经费申报表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》，2019年盐田区财政正式下发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海上安保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救生经费，同意此项目的建设。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（二）项目管理的组织架构和职责分工。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该项目主管部门为</w:t>
      </w:r>
      <w:r>
        <w:rPr>
          <w:rFonts w:hint="eastAsia" w:ascii="仿宋_GB2312" w:eastAsia="仿宋_GB2312" w:cs="仿宋_GB2312"/>
          <w:sz w:val="32"/>
          <w:szCs w:val="32"/>
        </w:rPr>
        <w:t>深圳市盐田区城市管理局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，项目实施单位为</w:t>
      </w:r>
      <w:r>
        <w:rPr>
          <w:rFonts w:hint="eastAsia" w:ascii="仿宋_GB2312" w:eastAsia="仿宋_GB2312" w:cs="仿宋_GB2312"/>
          <w:sz w:val="32"/>
          <w:szCs w:val="32"/>
        </w:rPr>
        <w:t>深圳市大梅沙海滨公园管理处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深圳市盐田区城市管理局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：负责</w:t>
      </w:r>
      <w:r>
        <w:rPr>
          <w:rFonts w:hint="eastAsia" w:ascii="仿宋_GB2312" w:eastAsia="仿宋_GB2312" w:cs="仿宋_GB2312"/>
          <w:sz w:val="32"/>
          <w:szCs w:val="32"/>
        </w:rPr>
        <w:t>对深圳市大梅沙海滨公园管理处上报材料进行核准，并确定审核意见；对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项目实施</w:t>
      </w:r>
      <w:r>
        <w:rPr>
          <w:rFonts w:hint="eastAsia" w:ascii="仿宋_GB2312" w:eastAsia="仿宋_GB2312" w:cs="仿宋_GB2312"/>
          <w:sz w:val="32"/>
          <w:szCs w:val="32"/>
        </w:rPr>
        <w:t>进行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监督检查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深圳市大梅沙海滨公园管理处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eastAsia="仿宋_GB2312" w:cs="仿宋_GB2312"/>
          <w:sz w:val="32"/>
          <w:szCs w:val="32"/>
        </w:rPr>
        <w:t>负责编制本项目的预算，并向深圳市盐田区城市管理局进行预算申报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负责项目日常监督与管理，跟进项目实施情况。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（三）项目资金管理情况。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hint="eastAsia" w:ascii="仿宋_GB2312" w:eastAsia="仿宋_GB2312" w:cs="仿宋_GB2312"/>
          <w:sz w:val="32"/>
          <w:szCs w:val="32"/>
        </w:rPr>
        <w:t>项目资金预算和分配情况。</w:t>
      </w:r>
    </w:p>
    <w:p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本项目主管部门是</w:t>
      </w:r>
      <w:r>
        <w:rPr>
          <w:rFonts w:hint="eastAsia" w:ascii="仿宋_GB2312" w:eastAsia="仿宋_GB2312" w:cs="仿宋_GB2312"/>
          <w:sz w:val="32"/>
          <w:szCs w:val="32"/>
        </w:rPr>
        <w:t>深圳市盐田区城市管理局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,使用单位是</w:t>
      </w:r>
      <w:r>
        <w:rPr>
          <w:rFonts w:hint="eastAsia" w:ascii="仿宋_GB2312" w:eastAsia="仿宋_GB2312" w:cs="仿宋_GB2312"/>
          <w:sz w:val="32"/>
          <w:szCs w:val="32"/>
        </w:rPr>
        <w:t>深圳市大梅沙海滨公园管理处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2019年度本项目年初预算689.72万元，实际支出689.42万元，预算执行率为99.6%。截止2019年12月底，</w:t>
      </w:r>
      <w:r>
        <w:rPr>
          <w:rFonts w:hint="eastAsia" w:ascii="仿宋_GB2312" w:eastAsia="仿宋_GB2312" w:cs="仿宋_GB2312"/>
          <w:sz w:val="32"/>
          <w:szCs w:val="32"/>
        </w:rPr>
        <w:t>所有计划资金全部到位。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hint="eastAsia" w:ascii="仿宋_GB2312" w:eastAsia="仿宋_GB2312" w:cs="仿宋_GB2312"/>
          <w:sz w:val="32"/>
          <w:szCs w:val="32"/>
        </w:rPr>
        <w:t>项目资金管理和使用情况。</w:t>
      </w:r>
    </w:p>
    <w:p>
      <w:pPr>
        <w:ind w:firstLine="640" w:firstLineChars="200"/>
        <w:rPr>
          <w:rFonts w:hint="eastAsia" w:asci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截止2019年12月底，海上安保救生经费项目经费已基本全部支出，共计689.42万元，主要用于：60名救生员工资福利支出；旺季和年度救生安全奖励；（7月1日到10月10日）百日安全无事故及梅沙片区综合整治执法费；购买110匹救生摩托艇1艘；救生员、安全员等临聘人员意外险。据</w:t>
      </w: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救生工作数据统计，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“海上</w:t>
      </w:r>
      <w:bookmarkStart w:id="9" w:name="_GoBack"/>
      <w:bookmarkEnd w:id="9"/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安保救生经费”项目</w:t>
      </w: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提供义务救生服务，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共救起溺水游客137人（包含救起轻生2起）、包扎伤口67起。2019年</w:t>
      </w:r>
      <w:r>
        <w:rPr>
          <w:rFonts w:hint="eastAsia" w:ascii="仿宋_GB2312" w:eastAsia="仿宋_GB2312" w:cs="仿宋_GB2312"/>
          <w:sz w:val="32"/>
          <w:szCs w:val="32"/>
          <w:lang w:val="zh-CN" w:eastAsia="zh-CN"/>
        </w:rPr>
        <w:t>溺亡人数低于前五年同期平均溺亡人数。</w:t>
      </w:r>
    </w:p>
    <w:p>
      <w:pPr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海上安保救生经费项目由我单位业务科室年初拟定用款计划，严格按照项目资金管理办法对资金进行申请、使用，及时、规范对收支进行账务处理和会计核算。</w:t>
      </w:r>
    </w:p>
    <w:p>
      <w:pPr>
        <w:ind w:firstLine="645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（四）项目绩效目标及实现情况。</w:t>
      </w:r>
    </w:p>
    <w:p>
      <w:pPr>
        <w:ind w:firstLine="640" w:firstLineChars="200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项目总目标：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为了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保障园内的义务救生、安全保卫、绿化养护、卫生保洁等公共管理工作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为游客营造一个更为舒适、洁净的旅游环境,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实施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海上安保救生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工作。</w:t>
      </w:r>
    </w:p>
    <w:p>
      <w:pPr>
        <w:ind w:firstLine="640" w:firstLineChars="200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项目年度目标：海上安保救生工作完成率达到100%，质量达标率达到100%，海上安保救生工作完成及时率达到100%，投诉率为0，项目受益群体满意度不低于90%。</w:t>
      </w:r>
    </w:p>
    <w:p>
      <w:pPr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本单位基本实现该项目2019年的年度绩效目标。</w:t>
      </w:r>
    </w:p>
    <w:p>
      <w:pPr>
        <w:ind w:firstLine="645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二、项目绩效评价结论和分析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（一）项目绩效评价结论。</w:t>
      </w:r>
    </w:p>
    <w:p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本单位2019年度海上安保救生经费项目支出整体情况较好，基本完成了年度工作目标，充分发挥了该项目的实施作用。总体来看，项目实施进度正常，财政资金及时足额到位，项目目标任务按时按质完成，项目在资金管理、实施过程方面均取得了良好的成绩。从评价情况来看，项目支出绩效情况较为理想，达到了项目申请时设定的绩效目标。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（二）项目绩效分析。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hint="eastAsia" w:ascii="仿宋_GB2312" w:eastAsia="仿宋_GB2312" w:cs="仿宋_GB2312"/>
          <w:sz w:val="32"/>
          <w:szCs w:val="32"/>
        </w:rPr>
        <w:t>从项目决策角度分析。</w:t>
      </w:r>
    </w:p>
    <w:p>
      <w:pPr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该项目的项目目标设立与本单位履职相适应，立项文件符合经济社会发展规划和部门年度工作计划，符合本单位中长期实施规划。但绩效目标有待进一步明确细化。</w:t>
      </w:r>
    </w:p>
    <w:p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在项目决策过程中，本单位严格按照相关决策制度履行相应手续，项目决策过程合法合规。同时，依据相关资金管理办法规定，充分考虑资金分配因素，科学合理分配项目资金。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hint="eastAsia" w:ascii="仿宋_GB2312" w:eastAsia="仿宋_GB2312" w:cs="仿宋_GB2312"/>
          <w:sz w:val="32"/>
          <w:szCs w:val="32"/>
        </w:rPr>
        <w:t>从项目管理角度分析。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2019年，本单位严格执行相关管理制度，保证项目的顺利实施，取得了明显的效果。项目资金拨付严格审批程序，使用规范，会计核算真实、准确。此次绩效评价过程中未发现截留、挤占或挪用项目资金的情况。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hint="eastAsia" w:ascii="仿宋_GB2312" w:eastAsia="仿宋_GB2312" w:cs="仿宋_GB2312"/>
          <w:sz w:val="32"/>
          <w:szCs w:val="32"/>
        </w:rPr>
        <w:t>从项目绩效角度分析。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项目产出数量目标。本单位已完成冬夏季救生员和安全员的服装购买、百日安全无事故及梅沙片区综合整治执法、救生艇和摩托艇作业使用油费及保养维修、配备救生员等项目，数量目标均达到100%。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项目产出质量目标。提供义务救生服务，力争年内溺亡人数低于前五年平均溺亡人数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 w:eastAsia="zh-CN"/>
        </w:rPr>
        <w:t>，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项目验收率达100%。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项目产出时效目标。该项目已按照项目计划及时完成各项工作，项目完成及时率达100%。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项目产出成本目标。该项目预算控制较好，项目支出均控制在预算支出范围内，不存在项目超出预算支出的情况。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项目社会效益：据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 w:eastAsia="zh-CN"/>
        </w:rPr>
        <w:t>救生工作数据统计，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“海上安保救生经费”项目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 w:eastAsia="zh-CN"/>
        </w:rPr>
        <w:t>提供义务救生服务，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共救起溺水游客137人（包含救起轻生2起）、包扎伤口67起。2019年</w:t>
      </w:r>
      <w:r>
        <w:rPr>
          <w:rFonts w:hint="eastAsia" w:ascii="仿宋_GB2312" w:eastAsia="仿宋_GB2312" w:cs="仿宋_GB2312"/>
          <w:color w:val="auto"/>
          <w:sz w:val="32"/>
          <w:szCs w:val="32"/>
          <w:lang w:val="zh-CN" w:eastAsia="zh-CN"/>
        </w:rPr>
        <w:t>溺亡人数低于前五年同期平均溺亡人数。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服务对象满意度。本单位针对该项目服务对象以问卷调查方式，了解其对项目实施效果的满意程度。根据调查结果显示，服务对象对项目实施过程及结果满意度较高。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</w:rPr>
      </w:pPr>
      <w:r>
        <w:rPr>
          <w:rFonts w:ascii="仿宋_GB2312" w:hAnsi="仿宋" w:eastAsia="仿宋_GB2312" w:cs="仿宋_GB2312"/>
          <w:kern w:val="0"/>
          <w:sz w:val="32"/>
          <w:szCs w:val="32"/>
        </w:rPr>
        <w:t>4</w:t>
      </w:r>
      <w:r>
        <w:rPr>
          <w:rFonts w:ascii="仿宋_GB2312" w:eastAsia="仿宋_GB2312" w:cs="仿宋_GB2312"/>
          <w:sz w:val="32"/>
          <w:szCs w:val="32"/>
        </w:rPr>
        <w:t>.</w:t>
      </w:r>
      <w:r>
        <w:rPr>
          <w:rFonts w:hint="eastAsia" w:ascii="仿宋_GB2312" w:eastAsia="仿宋_GB2312" w:cs="仿宋_GB2312"/>
          <w:sz w:val="32"/>
          <w:szCs w:val="32"/>
        </w:rPr>
        <w:t>项目绩效目标未完成的，应进行原因分析。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2019年度海上安保救生经费项目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绩效目标已全部完成。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三、取得的成效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</w:rPr>
      </w:pPr>
      <w:bookmarkStart w:id="0" w:name="_Toc532806502"/>
      <w:bookmarkStart w:id="1" w:name="_Toc526664007"/>
      <w:bookmarkStart w:id="2" w:name="_Toc2763318"/>
      <w:bookmarkStart w:id="3" w:name="_Toc1631"/>
      <w:bookmarkStart w:id="4" w:name="_Toc32637"/>
      <w:bookmarkStart w:id="5" w:name="_Toc12518"/>
      <w:r>
        <w:rPr>
          <w:rFonts w:hint="default" w:ascii="仿宋_GB2312" w:eastAsia="仿宋_GB2312" w:cs="仿宋_GB2312"/>
          <w:sz w:val="32"/>
          <w:szCs w:val="32"/>
        </w:rPr>
        <w:t>（一）</w:t>
      </w:r>
      <w:bookmarkEnd w:id="0"/>
      <w:bookmarkEnd w:id="1"/>
      <w:r>
        <w:rPr>
          <w:rFonts w:hint="default" w:ascii="仿宋_GB2312" w:eastAsia="仿宋_GB2312" w:cs="仿宋_GB2312"/>
          <w:sz w:val="32"/>
          <w:szCs w:val="32"/>
        </w:rPr>
        <w:t>项目管理制度健全，财务监管制度执行有效</w:t>
      </w:r>
      <w:bookmarkEnd w:id="2"/>
      <w:bookmarkEnd w:id="3"/>
      <w:bookmarkEnd w:id="4"/>
      <w:bookmarkEnd w:id="5"/>
    </w:p>
    <w:p>
      <w:pPr>
        <w:ind w:firstLine="645"/>
        <w:rPr>
          <w:rFonts w:hint="default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海上安保救生经费</w:t>
      </w:r>
      <w:r>
        <w:rPr>
          <w:rFonts w:hint="default" w:ascii="仿宋_GB2312" w:eastAsia="仿宋_GB2312" w:cs="仿宋_GB2312"/>
          <w:sz w:val="32"/>
          <w:szCs w:val="32"/>
        </w:rPr>
        <w:t>项目，建立健全的管理制度，并严格按照相关管理制度开展各项工作。财务管理制度健全，财务凭证齐全，会计账务清晰，经费按项目分别核算，专款专用；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指标未进行档案管理制度执行有效性分析可以不进行描述</w:t>
      </w:r>
      <w:r>
        <w:rPr>
          <w:rFonts w:hint="default" w:ascii="仿宋_GB2312" w:eastAsia="仿宋_GB2312" w:cs="仿宋_GB2312"/>
          <w:sz w:val="32"/>
          <w:szCs w:val="32"/>
        </w:rPr>
        <w:t>本项目在执行过程中，制定相应的监控机制；定期进行成本核算；采取了相应的财务检查等必要的监控措施。健全规范的项目管理制度，为项目的顺利实施奠定坚实的基础。</w:t>
      </w:r>
    </w:p>
    <w:p>
      <w:pPr>
        <w:ind w:firstLine="645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bookmarkStart w:id="6" w:name="_Toc17483"/>
      <w:bookmarkStart w:id="7" w:name="_Toc18571"/>
      <w:bookmarkStart w:id="8" w:name="_Toc27049"/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（二）项目管理制度完善，财务管理体系健全</w:t>
      </w:r>
      <w:bookmarkEnd w:id="6"/>
      <w:bookmarkEnd w:id="7"/>
      <w:bookmarkEnd w:id="8"/>
    </w:p>
    <w:p>
      <w:pPr>
        <w:ind w:firstLine="645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海上安保救生经费项目的财务管理体系健全。聘请了具有专业资格的会计人员；有健全的财务管理制度；按规定设立各子项目明细账，分别核算；费用报销附件齐全，会计资料清晰，装订整齐；并且实行会计电算化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ind w:firstLine="645"/>
        <w:rPr>
          <w:rFonts w:hint="default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海上安保救生经费项目严格执行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本单位</w:t>
      </w:r>
      <w:r>
        <w:rPr>
          <w:rFonts w:hint="eastAsia" w:ascii="仿宋_GB2312" w:eastAsia="仿宋_GB2312" w:cs="仿宋_GB2312"/>
          <w:sz w:val="32"/>
          <w:szCs w:val="32"/>
        </w:rPr>
        <w:t>的财务开支事前审批制度，用款需填写用款审批表，经领导和财务共同审批后用款。将审批的关口前移，避免了资金的盲目使用，提前防控财务风险。</w:t>
      </w:r>
    </w:p>
    <w:p>
      <w:pPr>
        <w:ind w:firstLine="645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海上安保救生经费项目严格按照制度规范执行，有效保障保障资金安全。在实施期间资金支出做到了专款专用；各款项支付凭证、发票符合资金使用范围；资金得拨付有完整得审批程序和手续；项目的重大资金开支经过了评估认证。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四、存在的问题</w:t>
      </w:r>
    </w:p>
    <w:p>
      <w:pPr>
        <w:ind w:firstLine="645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绩效目标是贯穿项目实施的整个周期，指导着项目的实施方向；而绩效指标是绩效目标的具体化，对项目实施的各个阶段起着考核、监督、引导的作用。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本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单位虽然按照财政要求填报绩效目标申报表，但是所填报的绩效指标不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够科学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，时效绩效指标不明确化，绩效指标表述有待进一步完善。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五、相关建议和整改措施</w:t>
      </w:r>
    </w:p>
    <w:p>
      <w:pPr>
        <w:ind w:firstLine="645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加强项目绩效管理，提高预算绩效认识，加强学习。密切配合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及时在事前制定明确、细化、量化且可考核的年度绩效目标，并依据年度目标组织开展项目工作，做到绩效目标可考量，从而提高预算绩效管理效果。</w:t>
      </w:r>
    </w:p>
    <w:p>
      <w:pPr>
        <w:ind w:firstLine="645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预算申报要做到细化、量化，根据项目实施的具体工作量，通过科学合理的测算人、财、物的消耗，确保申报预算的科学性、准确性，同时预算申报要与项目绩效目标进行结合，确保预算与产出目标匹配一致，最终保障项目的实施按计划执行，并能最终进行量化考核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加强绩效目标管理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首先理清绩效目标管理的工作流程；其次确定绩效目标与实际工作的联系，绩效目标的设定既要能与实际工作紧密联系，又要能清晰反映预算资金的预期产出和效果。绩效目标应当从数量、质量、成本、时效以及经济效益、社会效益、生态效益、可持续影响、满意度等方面进行细化，尽量进行定量表述；第三，有意识收集相应指标历史数据、行业数据作为绩效目标考评的基础；最后预算执行结束后，要及时对照确定的绩效目标开展绩效自评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cs="Times New Roman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7B3681"/>
    <w:multiLevelType w:val="singleLevel"/>
    <w:tmpl w:val="B37B368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01A3"/>
    <w:rsid w:val="00013D68"/>
    <w:rsid w:val="0009317C"/>
    <w:rsid w:val="00181B7B"/>
    <w:rsid w:val="00196F96"/>
    <w:rsid w:val="001B6D30"/>
    <w:rsid w:val="001C58FF"/>
    <w:rsid w:val="001C7892"/>
    <w:rsid w:val="001F22C8"/>
    <w:rsid w:val="00216BAE"/>
    <w:rsid w:val="00227F8F"/>
    <w:rsid w:val="00237E7C"/>
    <w:rsid w:val="002563D9"/>
    <w:rsid w:val="002B32EE"/>
    <w:rsid w:val="002C00F9"/>
    <w:rsid w:val="002D14B6"/>
    <w:rsid w:val="002D2241"/>
    <w:rsid w:val="002F36DD"/>
    <w:rsid w:val="00324D55"/>
    <w:rsid w:val="0033286C"/>
    <w:rsid w:val="0033345A"/>
    <w:rsid w:val="00341C1B"/>
    <w:rsid w:val="00345A0F"/>
    <w:rsid w:val="00353F49"/>
    <w:rsid w:val="00374069"/>
    <w:rsid w:val="00386582"/>
    <w:rsid w:val="00386D38"/>
    <w:rsid w:val="003A37FD"/>
    <w:rsid w:val="003B2474"/>
    <w:rsid w:val="003F21D4"/>
    <w:rsid w:val="00436142"/>
    <w:rsid w:val="00466056"/>
    <w:rsid w:val="00493345"/>
    <w:rsid w:val="004B2317"/>
    <w:rsid w:val="004B6563"/>
    <w:rsid w:val="00504FA5"/>
    <w:rsid w:val="00527CB5"/>
    <w:rsid w:val="00531E4D"/>
    <w:rsid w:val="0055104C"/>
    <w:rsid w:val="005A61E0"/>
    <w:rsid w:val="005C0399"/>
    <w:rsid w:val="005D3A75"/>
    <w:rsid w:val="006829E2"/>
    <w:rsid w:val="006B0583"/>
    <w:rsid w:val="006C08C0"/>
    <w:rsid w:val="006F3ED8"/>
    <w:rsid w:val="00740314"/>
    <w:rsid w:val="0074126B"/>
    <w:rsid w:val="00741931"/>
    <w:rsid w:val="00781CD1"/>
    <w:rsid w:val="007B3CA7"/>
    <w:rsid w:val="007C4628"/>
    <w:rsid w:val="007D4963"/>
    <w:rsid w:val="007E2748"/>
    <w:rsid w:val="0083403B"/>
    <w:rsid w:val="008457BB"/>
    <w:rsid w:val="00867D30"/>
    <w:rsid w:val="00867F87"/>
    <w:rsid w:val="008E31B9"/>
    <w:rsid w:val="008F0D04"/>
    <w:rsid w:val="008F49D2"/>
    <w:rsid w:val="00907D9F"/>
    <w:rsid w:val="009164F2"/>
    <w:rsid w:val="00920009"/>
    <w:rsid w:val="00935023"/>
    <w:rsid w:val="009533B5"/>
    <w:rsid w:val="00974605"/>
    <w:rsid w:val="00976E59"/>
    <w:rsid w:val="009A143D"/>
    <w:rsid w:val="009F43DF"/>
    <w:rsid w:val="00A439C8"/>
    <w:rsid w:val="00A6342C"/>
    <w:rsid w:val="00A63DA6"/>
    <w:rsid w:val="00A713D4"/>
    <w:rsid w:val="00AC3E91"/>
    <w:rsid w:val="00B065BF"/>
    <w:rsid w:val="00B63618"/>
    <w:rsid w:val="00BA71DC"/>
    <w:rsid w:val="00BD2AE7"/>
    <w:rsid w:val="00BE0E8E"/>
    <w:rsid w:val="00BE1196"/>
    <w:rsid w:val="00BE226F"/>
    <w:rsid w:val="00BF308C"/>
    <w:rsid w:val="00C24251"/>
    <w:rsid w:val="00C4279C"/>
    <w:rsid w:val="00C55EE5"/>
    <w:rsid w:val="00CA01A3"/>
    <w:rsid w:val="00CA0DA9"/>
    <w:rsid w:val="00CB4B87"/>
    <w:rsid w:val="00CB506D"/>
    <w:rsid w:val="00D171CB"/>
    <w:rsid w:val="00D32C9A"/>
    <w:rsid w:val="00D337CC"/>
    <w:rsid w:val="00D41B8F"/>
    <w:rsid w:val="00D556A2"/>
    <w:rsid w:val="00D57D55"/>
    <w:rsid w:val="00D65D87"/>
    <w:rsid w:val="00D908B5"/>
    <w:rsid w:val="00D91C7F"/>
    <w:rsid w:val="00DC53EE"/>
    <w:rsid w:val="00DE1831"/>
    <w:rsid w:val="00E04D96"/>
    <w:rsid w:val="00E059F3"/>
    <w:rsid w:val="00E2350E"/>
    <w:rsid w:val="00E51DAF"/>
    <w:rsid w:val="00E62C5C"/>
    <w:rsid w:val="00E772C1"/>
    <w:rsid w:val="00E80D80"/>
    <w:rsid w:val="00E949AB"/>
    <w:rsid w:val="00F0748E"/>
    <w:rsid w:val="00F1261C"/>
    <w:rsid w:val="00F411B1"/>
    <w:rsid w:val="00FA591D"/>
    <w:rsid w:val="00FF1475"/>
    <w:rsid w:val="085D157E"/>
    <w:rsid w:val="099C7BDE"/>
    <w:rsid w:val="0EF65821"/>
    <w:rsid w:val="1A46522A"/>
    <w:rsid w:val="1DDA684F"/>
    <w:rsid w:val="20791B32"/>
    <w:rsid w:val="21FD2977"/>
    <w:rsid w:val="2FF065CC"/>
    <w:rsid w:val="4127418E"/>
    <w:rsid w:val="428213F4"/>
    <w:rsid w:val="46015881"/>
    <w:rsid w:val="469405FE"/>
    <w:rsid w:val="4D6D2DB9"/>
    <w:rsid w:val="539239A1"/>
    <w:rsid w:val="541B6EE4"/>
    <w:rsid w:val="5B0A7EE1"/>
    <w:rsid w:val="5EFA6B38"/>
    <w:rsid w:val="5FE16588"/>
    <w:rsid w:val="640E37C9"/>
    <w:rsid w:val="69397BCB"/>
    <w:rsid w:val="6DDF2949"/>
    <w:rsid w:val="70622179"/>
    <w:rsid w:val="7A78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locked/>
    <w:uiPriority w:val="0"/>
    <w:pPr>
      <w:keepNext/>
      <w:keepLines/>
      <w:spacing w:before="156" w:beforeLines="0" w:after="156" w:afterLines="0" w:line="360" w:lineRule="auto"/>
      <w:outlineLvl w:val="1"/>
    </w:pPr>
    <w:rPr>
      <w:rFonts w:eastAsia="宋体"/>
      <w:b/>
      <w:bCs/>
      <w:sz w:val="30"/>
      <w:szCs w:val="20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styleId="7">
    <w:name w:val="page number"/>
    <w:basedOn w:val="6"/>
    <w:qFormat/>
    <w:uiPriority w:val="99"/>
  </w:style>
  <w:style w:type="character" w:customStyle="1" w:styleId="8">
    <w:name w:val="Header Char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9">
    <w:name w:val="Footer Char"/>
    <w:basedOn w:val="6"/>
    <w:link w:val="3"/>
    <w:semiHidden/>
    <w:qFormat/>
    <w:locked/>
    <w:uiPriority w:val="99"/>
    <w:rPr>
      <w:sz w:val="18"/>
      <w:szCs w:val="18"/>
    </w:rPr>
  </w:style>
  <w:style w:type="paragraph" w:customStyle="1" w:styleId="10">
    <w:name w:val="2"/>
    <w:basedOn w:val="1"/>
    <w:qFormat/>
    <w:uiPriority w:val="0"/>
    <w:pPr>
      <w:widowControl w:val="0"/>
      <w:adjustRightInd w:val="0"/>
      <w:snapToGrid w:val="0"/>
      <w:spacing w:line="360" w:lineRule="auto"/>
      <w:ind w:firstLine="562" w:firstLineChars="200"/>
      <w:jc w:val="both"/>
      <w:outlineLvl w:val="1"/>
    </w:pPr>
    <w:rPr>
      <w:rFonts w:ascii="仿宋_GB2312" w:hAnsi="仿宋" w:eastAsia="仿宋_GB2312" w:cs="Times New Roman"/>
      <w:b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141</Words>
  <Characters>807</Characters>
  <Lines>0</Lines>
  <Paragraphs>0</Paragraphs>
  <TotalTime>11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2017-05-02T06:47:00Z</dcterms:created>
  <dc:creator>沈洋</dc:creator>
  <cp:lastModifiedBy>WPS_1508554485</cp:lastModifiedBy>
  <cp:lastPrinted>2019-04-10T07:56:00Z</cp:lastPrinted>
  <dcterms:modified xsi:type="dcterms:W3CDTF">2020-12-10T02:04:53Z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