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ascii="仿宋" w:hAnsi="仿宋" w:eastAsia="仿宋" w:cs="仿宋"/>
          <w:sz w:val="32"/>
          <w:szCs w:val="32"/>
        </w:rPr>
      </w:pPr>
      <w:r>
        <w:rPr>
          <w:rFonts w:hint="eastAsia" w:ascii="仿宋" w:hAnsi="仿宋" w:eastAsia="仿宋" w:cs="仿宋"/>
          <w:sz w:val="32"/>
          <w:szCs w:val="32"/>
        </w:rPr>
        <w:t>附件3</w:t>
      </w:r>
    </w:p>
    <w:p>
      <w:pPr>
        <w:spacing w:line="578" w:lineRule="exact"/>
        <w:rPr>
          <w:rFonts w:ascii="宋体"/>
          <w:sz w:val="44"/>
          <w:szCs w:val="44"/>
        </w:rPr>
      </w:pPr>
    </w:p>
    <w:p>
      <w:pPr>
        <w:spacing w:line="578" w:lineRule="exact"/>
        <w:rPr>
          <w:rFonts w:ascii="宋体"/>
          <w:sz w:val="44"/>
          <w:szCs w:val="44"/>
        </w:rPr>
      </w:pPr>
    </w:p>
    <w:p>
      <w:pPr>
        <w:spacing w:line="578" w:lineRule="exact"/>
        <w:rPr>
          <w:rFonts w:ascii="宋体"/>
          <w:sz w:val="44"/>
          <w:szCs w:val="44"/>
        </w:rPr>
      </w:pPr>
    </w:p>
    <w:p>
      <w:pPr>
        <w:spacing w:line="578" w:lineRule="exact"/>
        <w:rPr>
          <w:rFonts w:ascii="宋体"/>
          <w:sz w:val="44"/>
          <w:szCs w:val="44"/>
        </w:rPr>
      </w:pPr>
    </w:p>
    <w:p>
      <w:pPr>
        <w:spacing w:line="578" w:lineRule="exact"/>
        <w:jc w:val="center"/>
        <w:rPr>
          <w:rFonts w:ascii="黑体" w:hAnsi="黑体" w:eastAsia="黑体" w:cs="黑体"/>
          <w:sz w:val="44"/>
          <w:szCs w:val="44"/>
        </w:rPr>
      </w:pPr>
      <w:r>
        <w:rPr>
          <w:rFonts w:hint="eastAsia" w:ascii="黑体" w:hAnsi="黑体" w:eastAsia="黑体" w:cs="黑体"/>
          <w:sz w:val="44"/>
          <w:szCs w:val="44"/>
        </w:rPr>
        <w:t>201</w:t>
      </w:r>
      <w:r>
        <w:rPr>
          <w:rFonts w:hint="eastAsia" w:ascii="黑体" w:hAnsi="黑体" w:eastAsia="黑体" w:cs="黑体"/>
          <w:sz w:val="44"/>
          <w:szCs w:val="44"/>
          <w:lang w:val="en-US" w:eastAsia="zh-CN"/>
        </w:rPr>
        <w:t>9</w:t>
      </w:r>
      <w:r>
        <w:rPr>
          <w:rFonts w:hint="eastAsia" w:ascii="黑体" w:hAnsi="黑体" w:eastAsia="黑体" w:cs="黑体"/>
          <w:sz w:val="44"/>
          <w:szCs w:val="44"/>
        </w:rPr>
        <w:t>年度重点项目支出</w:t>
      </w:r>
    </w:p>
    <w:p>
      <w:pPr>
        <w:spacing w:line="578" w:lineRule="exact"/>
        <w:jc w:val="center"/>
        <w:rPr>
          <w:rFonts w:ascii="方正小标宋简体" w:hAnsi="方正小标宋简体" w:eastAsia="方正小标宋简体" w:cs="方正小标宋简体"/>
          <w:sz w:val="44"/>
          <w:szCs w:val="44"/>
        </w:rPr>
      </w:pPr>
      <w:r>
        <w:rPr>
          <w:rFonts w:hint="eastAsia" w:ascii="黑体" w:hAnsi="黑体" w:eastAsia="黑体" w:cs="黑体"/>
          <w:sz w:val="44"/>
          <w:szCs w:val="44"/>
        </w:rPr>
        <w:t>绩效评价报告</w:t>
      </w:r>
    </w:p>
    <w:p>
      <w:pPr>
        <w:spacing w:line="578" w:lineRule="exact"/>
        <w:jc w:val="center"/>
        <w:rPr>
          <w:rFonts w:ascii="楷体_GB2312" w:hAnsi="宋体" w:eastAsia="楷体_GB2312"/>
          <w:sz w:val="36"/>
          <w:szCs w:val="36"/>
        </w:rPr>
      </w:pPr>
    </w:p>
    <w:p>
      <w:pPr>
        <w:spacing w:line="578" w:lineRule="exact"/>
        <w:jc w:val="center"/>
        <w:rPr>
          <w:rFonts w:ascii="楷体_GB2312" w:hAnsi="宋体" w:eastAsia="楷体_GB2312"/>
          <w:sz w:val="36"/>
          <w:szCs w:val="36"/>
        </w:rPr>
      </w:pPr>
    </w:p>
    <w:p>
      <w:pPr>
        <w:spacing w:line="578" w:lineRule="exact"/>
        <w:jc w:val="center"/>
        <w:rPr>
          <w:rFonts w:ascii="楷体_GB2312" w:hAnsi="宋体" w:eastAsia="楷体_GB2312"/>
          <w:sz w:val="36"/>
          <w:szCs w:val="36"/>
        </w:rPr>
      </w:pPr>
    </w:p>
    <w:p>
      <w:pPr>
        <w:spacing w:line="578" w:lineRule="exact"/>
        <w:jc w:val="center"/>
        <w:rPr>
          <w:rFonts w:ascii="楷体_GB2312" w:hAnsi="宋体" w:eastAsia="楷体_GB2312"/>
          <w:sz w:val="36"/>
          <w:szCs w:val="36"/>
        </w:rPr>
      </w:pPr>
    </w:p>
    <w:p>
      <w:pPr>
        <w:spacing w:line="578" w:lineRule="exact"/>
        <w:jc w:val="center"/>
        <w:rPr>
          <w:rFonts w:ascii="楷体_GB2312" w:hAnsi="宋体" w:eastAsia="楷体_GB2312"/>
          <w:sz w:val="36"/>
          <w:szCs w:val="36"/>
        </w:rPr>
      </w:pPr>
    </w:p>
    <w:p>
      <w:pPr>
        <w:spacing w:line="578" w:lineRule="exact"/>
        <w:jc w:val="center"/>
        <w:rPr>
          <w:rFonts w:ascii="楷体_GB2312" w:hAnsi="宋体" w:eastAsia="楷体_GB2312"/>
          <w:sz w:val="36"/>
          <w:szCs w:val="36"/>
        </w:rPr>
      </w:pPr>
    </w:p>
    <w:p>
      <w:pPr>
        <w:spacing w:line="578" w:lineRule="exact"/>
        <w:ind w:firstLine="1280" w:firstLineChars="400"/>
        <w:rPr>
          <w:rFonts w:ascii="仿宋" w:hAnsi="仿宋" w:eastAsia="仿宋" w:cs="仿宋"/>
          <w:sz w:val="32"/>
          <w:szCs w:val="32"/>
        </w:rPr>
      </w:pPr>
      <w:r>
        <w:rPr>
          <w:rFonts w:hint="eastAsia" w:ascii="仿宋" w:hAnsi="仿宋" w:eastAsia="仿宋" w:cs="仿宋"/>
          <w:sz w:val="32"/>
          <w:szCs w:val="32"/>
        </w:rPr>
        <w:t>项目名称：</w:t>
      </w:r>
      <w:r>
        <w:rPr>
          <w:rFonts w:hint="eastAsia" w:ascii="仿宋" w:hAnsi="仿宋" w:eastAsia="仿宋" w:cs="仿宋"/>
          <w:sz w:val="32"/>
          <w:szCs w:val="32"/>
          <w:lang w:eastAsia="zh-CN"/>
        </w:rPr>
        <w:t>市政</w:t>
      </w:r>
      <w:r>
        <w:rPr>
          <w:rFonts w:hint="eastAsia" w:ascii="仿宋" w:hAnsi="仿宋" w:eastAsia="仿宋" w:cs="仿宋"/>
          <w:sz w:val="32"/>
          <w:szCs w:val="32"/>
        </w:rPr>
        <w:t>绿化</w:t>
      </w:r>
      <w:r>
        <w:rPr>
          <w:rFonts w:hint="eastAsia" w:ascii="仿宋" w:hAnsi="仿宋" w:eastAsia="仿宋" w:cs="仿宋"/>
          <w:sz w:val="32"/>
          <w:szCs w:val="32"/>
          <w:lang w:eastAsia="zh-CN"/>
        </w:rPr>
        <w:t>及</w:t>
      </w:r>
      <w:r>
        <w:rPr>
          <w:rFonts w:hint="eastAsia" w:ascii="仿宋" w:hAnsi="仿宋" w:eastAsia="仿宋" w:cs="仿宋"/>
          <w:sz w:val="32"/>
          <w:szCs w:val="32"/>
        </w:rPr>
        <w:t>公园治理经费</w:t>
      </w:r>
    </w:p>
    <w:p>
      <w:pPr>
        <w:spacing w:line="578" w:lineRule="exact"/>
        <w:ind w:firstLine="1280" w:firstLineChars="400"/>
        <w:rPr>
          <w:rFonts w:ascii="仿宋" w:hAnsi="仿宋" w:eastAsia="仿宋" w:cs="仿宋"/>
          <w:sz w:val="32"/>
          <w:szCs w:val="32"/>
        </w:rPr>
      </w:pPr>
      <w:r>
        <w:rPr>
          <w:rFonts w:hint="eastAsia" w:ascii="仿宋" w:hAnsi="仿宋" w:eastAsia="仿宋" w:cs="仿宋"/>
          <w:sz w:val="32"/>
          <w:szCs w:val="32"/>
        </w:rPr>
        <w:t>主管部门（公章）：盐田区</w:t>
      </w:r>
      <w:r>
        <w:rPr>
          <w:rFonts w:hint="eastAsia" w:ascii="仿宋" w:hAnsi="仿宋" w:eastAsia="仿宋" w:cs="仿宋"/>
          <w:sz w:val="32"/>
          <w:szCs w:val="32"/>
          <w:lang w:eastAsia="zh-CN"/>
        </w:rPr>
        <w:t>城市</w:t>
      </w:r>
      <w:r>
        <w:rPr>
          <w:rFonts w:hint="eastAsia" w:ascii="仿宋" w:hAnsi="仿宋" w:eastAsia="仿宋" w:cs="仿宋"/>
          <w:sz w:val="32"/>
          <w:szCs w:val="32"/>
        </w:rPr>
        <w:t>管理</w:t>
      </w:r>
      <w:r>
        <w:rPr>
          <w:rFonts w:hint="eastAsia" w:ascii="仿宋" w:hAnsi="仿宋" w:eastAsia="仿宋" w:cs="仿宋"/>
          <w:sz w:val="32"/>
          <w:szCs w:val="32"/>
          <w:lang w:eastAsia="zh-CN"/>
        </w:rPr>
        <w:t>建设事务</w:t>
      </w:r>
      <w:r>
        <w:rPr>
          <w:rFonts w:hint="eastAsia" w:ascii="仿宋" w:hAnsi="仿宋" w:eastAsia="仿宋" w:cs="仿宋"/>
          <w:sz w:val="32"/>
          <w:szCs w:val="32"/>
        </w:rPr>
        <w:t>中心</w:t>
      </w:r>
    </w:p>
    <w:p>
      <w:pPr>
        <w:spacing w:line="578" w:lineRule="exact"/>
        <w:ind w:firstLine="1280" w:firstLineChars="400"/>
        <w:rPr>
          <w:rFonts w:ascii="仿宋" w:hAnsi="仿宋" w:eastAsia="仿宋" w:cs="仿宋"/>
          <w:sz w:val="32"/>
          <w:szCs w:val="32"/>
        </w:rPr>
      </w:pPr>
      <w:r>
        <w:rPr>
          <w:rFonts w:hint="eastAsia" w:ascii="仿宋" w:hAnsi="仿宋" w:eastAsia="仿宋" w:cs="仿宋"/>
          <w:sz w:val="32"/>
          <w:szCs w:val="32"/>
        </w:rPr>
        <w:t>项目负责人：邓建辉</w:t>
      </w:r>
    </w:p>
    <w:p>
      <w:pPr>
        <w:spacing w:line="578" w:lineRule="exact"/>
        <w:ind w:firstLine="1280" w:firstLineChars="400"/>
        <w:rPr>
          <w:rFonts w:ascii="仿宋" w:hAnsi="仿宋" w:eastAsia="仿宋" w:cs="仿宋"/>
          <w:sz w:val="32"/>
          <w:szCs w:val="32"/>
        </w:rPr>
      </w:pPr>
      <w:r>
        <w:rPr>
          <w:rFonts w:hint="eastAsia" w:ascii="仿宋" w:hAnsi="仿宋" w:eastAsia="仿宋" w:cs="仿宋"/>
          <w:sz w:val="32"/>
          <w:szCs w:val="32"/>
        </w:rPr>
        <w:t>填报人：卢静娴</w:t>
      </w:r>
    </w:p>
    <w:p>
      <w:pPr>
        <w:spacing w:line="578" w:lineRule="exact"/>
        <w:ind w:firstLine="1280" w:firstLineChars="400"/>
        <w:rPr>
          <w:rFonts w:ascii="仿宋" w:hAnsi="仿宋" w:eastAsia="仿宋" w:cs="仿宋"/>
          <w:sz w:val="32"/>
          <w:szCs w:val="32"/>
        </w:rPr>
      </w:pPr>
      <w:r>
        <w:rPr>
          <w:rFonts w:hint="eastAsia" w:ascii="仿宋" w:hAnsi="仿宋" w:eastAsia="仿宋" w:cs="仿宋"/>
          <w:sz w:val="32"/>
          <w:szCs w:val="32"/>
        </w:rPr>
        <w:t>联系电话：25550026</w:t>
      </w:r>
    </w:p>
    <w:p>
      <w:pPr>
        <w:spacing w:line="578" w:lineRule="exact"/>
        <w:jc w:val="center"/>
        <w:rPr>
          <w:rFonts w:ascii="仿宋_GB2312" w:eastAsia="仿宋_GB2312"/>
          <w:sz w:val="32"/>
          <w:szCs w:val="32"/>
        </w:rPr>
      </w:pPr>
    </w:p>
    <w:p>
      <w:pPr>
        <w:spacing w:line="578" w:lineRule="exact"/>
        <w:jc w:val="center"/>
        <w:rPr>
          <w:rFonts w:ascii="楷体_GB2312" w:hAnsi="宋体" w:eastAsia="楷体_GB2312"/>
          <w:sz w:val="36"/>
          <w:szCs w:val="36"/>
        </w:rPr>
      </w:pPr>
    </w:p>
    <w:p>
      <w:pPr>
        <w:spacing w:line="578" w:lineRule="exact"/>
        <w:rPr>
          <w:rFonts w:ascii="楷体_GB2312" w:hAnsi="宋体" w:eastAsia="楷体_GB2312"/>
          <w:sz w:val="36"/>
          <w:szCs w:val="36"/>
        </w:rPr>
      </w:pPr>
    </w:p>
    <w:p>
      <w:pPr>
        <w:spacing w:line="578" w:lineRule="exact"/>
        <w:rPr>
          <w:rFonts w:ascii="仿宋_GB2312" w:eastAsia="仿宋_GB2312" w:cs="仿宋_GB2312"/>
          <w:sz w:val="32"/>
          <w:szCs w:val="32"/>
        </w:rPr>
      </w:pPr>
      <w:r>
        <w:rPr>
          <w:rFonts w:ascii="仿宋_GB2312" w:eastAsia="仿宋_GB2312" w:cs="仿宋_GB2312"/>
          <w:sz w:val="32"/>
          <w:szCs w:val="32"/>
        </w:rPr>
        <w:t xml:space="preserve">   </w:t>
      </w:r>
    </w:p>
    <w:p>
      <w:pPr>
        <w:spacing w:line="578" w:lineRule="exact"/>
        <w:ind w:firstLine="640" w:firstLineChars="200"/>
        <w:rPr>
          <w:rFonts w:ascii="黑体" w:eastAsia="黑体" w:cs="黑体"/>
          <w:sz w:val="32"/>
          <w:szCs w:val="32"/>
        </w:rPr>
      </w:pPr>
    </w:p>
    <w:p>
      <w:pPr>
        <w:spacing w:line="578" w:lineRule="exact"/>
        <w:ind w:firstLine="640" w:firstLineChars="200"/>
        <w:rPr>
          <w:rFonts w:ascii="黑体" w:eastAsia="黑体" w:cs="黑体"/>
          <w:sz w:val="32"/>
          <w:szCs w:val="32"/>
        </w:rPr>
      </w:pPr>
    </w:p>
    <w:p>
      <w:pPr>
        <w:spacing w:line="578" w:lineRule="exact"/>
        <w:ind w:firstLine="640" w:firstLineChars="200"/>
        <w:rPr>
          <w:rFonts w:ascii="仿宋" w:hAnsi="仿宋" w:eastAsia="仿宋" w:cs="仿宋"/>
          <w:sz w:val="32"/>
          <w:szCs w:val="32"/>
        </w:rPr>
      </w:pPr>
      <w:r>
        <w:rPr>
          <w:rFonts w:hint="eastAsia" w:ascii="黑体" w:eastAsia="黑体" w:cs="黑体"/>
          <w:sz w:val="32"/>
          <w:szCs w:val="32"/>
        </w:rPr>
        <w:t>一、项目概况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（一）项目背景、立项依据</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w:t>
      </w:r>
      <w:r>
        <w:rPr>
          <w:rFonts w:hint="eastAsia" w:ascii="仿宋" w:hAnsi="仿宋" w:eastAsia="仿宋" w:cs="仿宋"/>
          <w:sz w:val="32"/>
          <w:szCs w:val="32"/>
          <w:lang w:eastAsia="zh-CN"/>
        </w:rPr>
        <w:t>城市</w:t>
      </w:r>
      <w:r>
        <w:rPr>
          <w:rFonts w:hint="eastAsia" w:ascii="仿宋" w:hAnsi="仿宋" w:eastAsia="仿宋" w:cs="仿宋"/>
          <w:sz w:val="32"/>
          <w:szCs w:val="32"/>
        </w:rPr>
        <w:t>管理</w:t>
      </w:r>
      <w:r>
        <w:rPr>
          <w:rFonts w:hint="eastAsia" w:ascii="仿宋" w:hAnsi="仿宋" w:eastAsia="仿宋" w:cs="仿宋"/>
          <w:sz w:val="32"/>
          <w:szCs w:val="32"/>
          <w:lang w:eastAsia="zh-CN"/>
        </w:rPr>
        <w:t>建设事务</w:t>
      </w:r>
      <w:r>
        <w:rPr>
          <w:rFonts w:hint="eastAsia" w:ascii="仿宋" w:hAnsi="仿宋" w:eastAsia="仿宋" w:cs="仿宋"/>
          <w:sz w:val="32"/>
          <w:szCs w:val="32"/>
        </w:rPr>
        <w:t>中心以</w:t>
      </w:r>
      <w:r>
        <w:rPr>
          <w:rFonts w:hint="eastAsia" w:ascii="仿宋_GB2312" w:eastAsia="仿宋_GB2312"/>
          <w:sz w:val="32"/>
          <w:szCs w:val="32"/>
        </w:rPr>
        <w:t>打造“全市最干净城区”和“世界级山海花城”为目标，以“美丽深圳绿化提升行动”与市容环境综合考核为抓手，不断提升城区美化、绿化品质</w:t>
      </w:r>
      <w:r>
        <w:rPr>
          <w:rFonts w:hint="eastAsia" w:ascii="仿宋" w:hAnsi="仿宋" w:eastAsia="仿宋" w:cs="仿宋"/>
          <w:sz w:val="32"/>
          <w:szCs w:val="32"/>
        </w:rPr>
        <w:t>，认真落实全区</w:t>
      </w:r>
      <w:r>
        <w:rPr>
          <w:rFonts w:hint="eastAsia" w:ascii="仿宋" w:hAnsi="仿宋" w:eastAsia="仿宋" w:cs="仿宋"/>
          <w:sz w:val="32"/>
          <w:szCs w:val="32"/>
          <w:lang w:eastAsia="zh-CN"/>
        </w:rPr>
        <w:t>市政</w:t>
      </w:r>
      <w:r>
        <w:rPr>
          <w:rFonts w:hint="eastAsia" w:ascii="仿宋" w:hAnsi="仿宋" w:eastAsia="仿宋" w:cs="仿宋"/>
          <w:sz w:val="32"/>
          <w:szCs w:val="32"/>
        </w:rPr>
        <w:t>公园</w:t>
      </w:r>
      <w:r>
        <w:rPr>
          <w:rFonts w:hint="eastAsia" w:ascii="仿宋" w:hAnsi="仿宋" w:eastAsia="仿宋" w:cs="仿宋"/>
          <w:sz w:val="32"/>
          <w:szCs w:val="32"/>
          <w:lang w:eastAsia="zh-CN"/>
        </w:rPr>
        <w:t>和社区公园绿化</w:t>
      </w:r>
      <w:r>
        <w:rPr>
          <w:rFonts w:hint="eastAsia" w:ascii="仿宋" w:hAnsi="仿宋" w:eastAsia="仿宋" w:cs="仿宋"/>
          <w:sz w:val="32"/>
          <w:szCs w:val="32"/>
        </w:rPr>
        <w:t>治理，督促各绿化养护管理公司整改绿化短板问题，科学管养，及时修剪树枝，科学处理植被病虫害；加大投入全面提升公园内市政基础设施，加强对施工项目的日常监管，文明作业，营造良好的市政绿化（公园绿地）面貌；</w:t>
      </w:r>
      <w:r>
        <w:rPr>
          <w:rFonts w:hint="eastAsia" w:ascii="仿宋_GB2312" w:eastAsia="仿宋_GB2312"/>
          <w:sz w:val="32"/>
          <w:szCs w:val="32"/>
        </w:rPr>
        <w:t>督促各绿化养护管理公司科学养护，认真加强乔、灌木造型修剪，按季节防止病虫害，全面整治黄土裸露区域，扎实整改辖区各绿化短板问题。全年共治理人为踩踏黄土裸露约14880平方米，组织人员修剪遮挡交通指示牌、路灯设施、影响居民生活的行道树约4240棵</w:t>
      </w:r>
      <w:r>
        <w:rPr>
          <w:rFonts w:hint="eastAsia" w:ascii="仿宋" w:hAnsi="仿宋" w:eastAsia="仿宋" w:cs="仿宋"/>
          <w:sz w:val="32"/>
          <w:szCs w:val="32"/>
        </w:rPr>
        <w:t>；</w:t>
      </w:r>
      <w:r>
        <w:rPr>
          <w:rFonts w:hint="eastAsia" w:ascii="仿宋_GB2312" w:eastAsia="仿宋_GB2312"/>
          <w:sz w:val="32"/>
          <w:szCs w:val="32"/>
        </w:rPr>
        <w:t>按照“生态化、精品化”思路，持续提升主要道路绿化景观，打造道路绿化精品和亮点，同时不断加大公园建设和改造力度，通过新建花园社区、花漾街区等项目，不断完善辖区公园布局，逐步实现世界级“山海花城”的目标</w:t>
      </w:r>
      <w:r>
        <w:rPr>
          <w:rFonts w:hint="eastAsia" w:ascii="仿宋_GB2312" w:eastAsia="仿宋_GB2312"/>
          <w:sz w:val="32"/>
          <w:szCs w:val="32"/>
          <w:lang w:eastAsia="zh-CN"/>
        </w:rPr>
        <w:t>；</w:t>
      </w:r>
      <w:r>
        <w:rPr>
          <w:rFonts w:hint="eastAsia" w:ascii="仿宋" w:hAnsi="仿宋" w:eastAsia="仿宋" w:cs="仿宋"/>
          <w:sz w:val="32"/>
          <w:szCs w:val="32"/>
        </w:rPr>
        <w:t>组织管养公司对全区的“外来物种”银合欢、薇甘菊进行全面清理；切实开展古树管养工作，对辖区40棵古树保护、生长状况进行详细检查，完善古树档案信息，进一步细化管养方案；提高公园管理水平，加强对安保单位的管理，要求24小时专人值班，对园内各类非法、扰民活动及时整治，切实为辖区居民提供环境整洁的休闲娱乐环境。扎实开展市容环境卫生及绿化管理等市容环境综合管理工作，切实保障了我区在年度环卫指数测评、市容环境综合考核工作中取得了较好的成绩。</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（二）项目管理的组织架构和职责分工</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该项目主管部门为盐田区</w:t>
      </w:r>
      <w:r>
        <w:rPr>
          <w:rFonts w:hint="eastAsia" w:ascii="仿宋" w:hAnsi="仿宋" w:eastAsia="仿宋" w:cs="仿宋"/>
          <w:sz w:val="32"/>
          <w:szCs w:val="32"/>
          <w:lang w:eastAsia="zh-CN"/>
        </w:rPr>
        <w:t>城管建设事务中心</w:t>
      </w:r>
      <w:r>
        <w:rPr>
          <w:rFonts w:hint="eastAsia" w:ascii="仿宋" w:hAnsi="仿宋" w:eastAsia="仿宋" w:cs="仿宋"/>
          <w:sz w:val="32"/>
          <w:szCs w:val="32"/>
        </w:rPr>
        <w:t>，项目实施部门为盐田区</w:t>
      </w:r>
      <w:r>
        <w:rPr>
          <w:rFonts w:hint="eastAsia" w:ascii="仿宋" w:hAnsi="仿宋" w:eastAsia="仿宋" w:cs="仿宋"/>
          <w:sz w:val="32"/>
          <w:szCs w:val="32"/>
          <w:lang w:eastAsia="zh-CN"/>
        </w:rPr>
        <w:t>城管建设事务中心</w:t>
      </w:r>
      <w:r>
        <w:rPr>
          <w:rFonts w:hint="eastAsia" w:ascii="仿宋" w:hAnsi="仿宋" w:eastAsia="仿宋" w:cs="仿宋"/>
          <w:sz w:val="32"/>
          <w:szCs w:val="32"/>
        </w:rPr>
        <w:t>监管</w:t>
      </w:r>
      <w:r>
        <w:rPr>
          <w:rFonts w:hint="eastAsia" w:ascii="仿宋" w:hAnsi="仿宋" w:eastAsia="仿宋" w:cs="仿宋"/>
          <w:sz w:val="32"/>
          <w:szCs w:val="32"/>
          <w:lang w:eastAsia="zh-CN"/>
        </w:rPr>
        <w:t>部</w:t>
      </w:r>
      <w:r>
        <w:rPr>
          <w:rFonts w:hint="eastAsia" w:ascii="仿宋" w:hAnsi="仿宋" w:eastAsia="仿宋" w:cs="仿宋"/>
          <w:sz w:val="32"/>
          <w:szCs w:val="32"/>
        </w:rPr>
        <w:t>。</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盐田区</w:t>
      </w:r>
      <w:r>
        <w:rPr>
          <w:rFonts w:hint="eastAsia" w:ascii="仿宋" w:hAnsi="仿宋" w:eastAsia="仿宋" w:cs="仿宋"/>
          <w:sz w:val="32"/>
          <w:szCs w:val="32"/>
          <w:lang w:eastAsia="zh-CN"/>
        </w:rPr>
        <w:t>城管建设事务中心</w:t>
      </w:r>
      <w:r>
        <w:rPr>
          <w:rFonts w:hint="eastAsia" w:ascii="仿宋" w:hAnsi="仿宋" w:eastAsia="仿宋" w:cs="仿宋"/>
          <w:sz w:val="32"/>
          <w:szCs w:val="32"/>
        </w:rPr>
        <w:t>：负责对</w:t>
      </w:r>
      <w:r>
        <w:rPr>
          <w:rFonts w:hint="eastAsia" w:ascii="仿宋" w:hAnsi="仿宋" w:eastAsia="仿宋" w:cs="仿宋"/>
          <w:sz w:val="32"/>
          <w:szCs w:val="32"/>
          <w:lang w:eastAsia="zh-CN"/>
        </w:rPr>
        <w:t>监管部</w:t>
      </w:r>
      <w:r>
        <w:rPr>
          <w:rFonts w:hint="eastAsia" w:ascii="仿宋" w:hAnsi="仿宋" w:eastAsia="仿宋" w:cs="仿宋"/>
          <w:sz w:val="32"/>
          <w:szCs w:val="32"/>
        </w:rPr>
        <w:t>上报材料进行核准，并确定审核意见；对项目实施进行监督检查。</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盐田区</w:t>
      </w:r>
      <w:r>
        <w:rPr>
          <w:rFonts w:hint="eastAsia" w:ascii="仿宋" w:hAnsi="仿宋" w:eastAsia="仿宋" w:cs="仿宋"/>
          <w:sz w:val="32"/>
          <w:szCs w:val="32"/>
          <w:lang w:eastAsia="zh-CN"/>
        </w:rPr>
        <w:t>城管建设事务中心监管部</w:t>
      </w:r>
      <w:r>
        <w:rPr>
          <w:rFonts w:hint="eastAsia" w:ascii="仿宋" w:hAnsi="仿宋" w:eastAsia="仿宋" w:cs="仿宋"/>
          <w:sz w:val="32"/>
          <w:szCs w:val="32"/>
        </w:rPr>
        <w:t>：负责编制本项目的预算，并向中心进行预算申报；负责项目日常监督与管理，跟进项目实施情况。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（三）项目资金管理情况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1.项目资金预算和分配情况。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本项目主管部门是盐田区</w:t>
      </w:r>
      <w:r>
        <w:rPr>
          <w:rFonts w:hint="eastAsia" w:ascii="仿宋" w:hAnsi="仿宋" w:eastAsia="仿宋" w:cs="仿宋"/>
          <w:sz w:val="32"/>
          <w:szCs w:val="32"/>
          <w:lang w:eastAsia="zh-CN"/>
        </w:rPr>
        <w:t>城管建设事务中心</w:t>
      </w:r>
      <w:r>
        <w:rPr>
          <w:rFonts w:hint="eastAsia" w:ascii="仿宋" w:hAnsi="仿宋" w:eastAsia="仿宋" w:cs="仿宋"/>
          <w:sz w:val="32"/>
          <w:szCs w:val="32"/>
        </w:rPr>
        <w:t>,使用单位是盐田区</w:t>
      </w:r>
      <w:r>
        <w:rPr>
          <w:rFonts w:hint="eastAsia" w:ascii="仿宋" w:hAnsi="仿宋" w:eastAsia="仿宋" w:cs="仿宋"/>
          <w:sz w:val="32"/>
          <w:szCs w:val="32"/>
          <w:lang w:eastAsia="zh-CN"/>
        </w:rPr>
        <w:t>城管建设事务中心</w:t>
      </w:r>
      <w:r>
        <w:rPr>
          <w:rFonts w:hint="eastAsia" w:ascii="仿宋" w:hAnsi="仿宋" w:eastAsia="仿宋" w:cs="仿宋"/>
          <w:sz w:val="32"/>
          <w:szCs w:val="32"/>
        </w:rPr>
        <w:t>。</w:t>
      </w:r>
      <w:r>
        <w:rPr>
          <w:rFonts w:hint="eastAsia" w:ascii="仿宋" w:hAnsi="仿宋" w:eastAsia="仿宋" w:cs="仿宋"/>
          <w:sz w:val="32"/>
          <w:szCs w:val="32"/>
          <w:lang w:eastAsia="zh-CN"/>
        </w:rPr>
        <w:t>2019</w:t>
      </w:r>
      <w:r>
        <w:rPr>
          <w:rFonts w:hint="eastAsia" w:ascii="仿宋" w:hAnsi="仿宋" w:eastAsia="仿宋" w:cs="仿宋"/>
          <w:sz w:val="32"/>
          <w:szCs w:val="32"/>
        </w:rPr>
        <w:t>年度本项目</w:t>
      </w:r>
      <w:r>
        <w:rPr>
          <w:rFonts w:hint="eastAsia" w:ascii="仿宋" w:hAnsi="仿宋" w:eastAsia="仿宋" w:cs="仿宋"/>
          <w:sz w:val="32"/>
          <w:szCs w:val="32"/>
          <w:lang w:eastAsia="zh-CN"/>
        </w:rPr>
        <w:t>指标下达</w:t>
      </w:r>
      <w:r>
        <w:rPr>
          <w:rFonts w:hint="eastAsia" w:ascii="仿宋" w:hAnsi="仿宋" w:eastAsia="仿宋" w:cs="仿宋"/>
          <w:sz w:val="32"/>
          <w:szCs w:val="32"/>
          <w:lang w:val="en-US" w:eastAsia="zh-CN"/>
        </w:rPr>
        <w:t>26</w:t>
      </w:r>
      <w:r>
        <w:rPr>
          <w:rFonts w:hint="eastAsia" w:ascii="仿宋" w:hAnsi="仿宋" w:eastAsia="仿宋" w:cs="仿宋"/>
          <w:sz w:val="32"/>
          <w:szCs w:val="32"/>
        </w:rPr>
        <w:t>0万元，实际支出</w:t>
      </w:r>
      <w:r>
        <w:rPr>
          <w:rFonts w:hint="eastAsia" w:ascii="仿宋" w:hAnsi="仿宋" w:eastAsia="仿宋" w:cs="仿宋"/>
          <w:sz w:val="32"/>
          <w:szCs w:val="32"/>
          <w:lang w:val="en-US" w:eastAsia="zh-CN"/>
        </w:rPr>
        <w:t>259.77</w:t>
      </w:r>
      <w:r>
        <w:rPr>
          <w:rFonts w:hint="eastAsia" w:ascii="仿宋" w:hAnsi="仿宋" w:eastAsia="仿宋" w:cs="仿宋"/>
          <w:sz w:val="32"/>
          <w:szCs w:val="32"/>
        </w:rPr>
        <w:t>万元，预算执行率为99</w:t>
      </w:r>
      <w:r>
        <w:rPr>
          <w:rFonts w:hint="eastAsia" w:ascii="仿宋" w:hAnsi="仿宋" w:eastAsia="仿宋" w:cs="仿宋"/>
          <w:sz w:val="32"/>
          <w:szCs w:val="32"/>
          <w:lang w:val="en-US" w:eastAsia="zh-CN"/>
        </w:rPr>
        <w:t>.9</w:t>
      </w:r>
      <w:r>
        <w:rPr>
          <w:rFonts w:hint="eastAsia" w:ascii="仿宋" w:hAnsi="仿宋" w:eastAsia="仿宋" w:cs="仿宋"/>
          <w:sz w:val="32"/>
          <w:szCs w:val="32"/>
        </w:rPr>
        <w:t>%。</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2.项目资金管理和使用情况。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截止</w:t>
      </w:r>
      <w:r>
        <w:rPr>
          <w:rFonts w:hint="eastAsia" w:ascii="仿宋" w:hAnsi="仿宋" w:eastAsia="仿宋" w:cs="仿宋"/>
          <w:sz w:val="32"/>
          <w:szCs w:val="32"/>
          <w:lang w:eastAsia="zh-CN"/>
        </w:rPr>
        <w:t>2019</w:t>
      </w:r>
      <w:r>
        <w:rPr>
          <w:rFonts w:hint="eastAsia" w:ascii="仿宋" w:hAnsi="仿宋" w:eastAsia="仿宋" w:cs="仿宋"/>
          <w:sz w:val="32"/>
          <w:szCs w:val="32"/>
        </w:rPr>
        <w:t>年12月31日，</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经费已基本全部支出，共计支出</w:t>
      </w:r>
      <w:r>
        <w:rPr>
          <w:rFonts w:hint="eastAsia" w:ascii="仿宋" w:hAnsi="仿宋" w:eastAsia="仿宋" w:cs="仿宋"/>
          <w:sz w:val="32"/>
          <w:szCs w:val="32"/>
          <w:lang w:val="en-US" w:eastAsia="zh-CN"/>
        </w:rPr>
        <w:t>259.77</w:t>
      </w:r>
      <w:r>
        <w:rPr>
          <w:rFonts w:hint="eastAsia" w:ascii="仿宋" w:hAnsi="仿宋" w:eastAsia="仿宋" w:cs="仿宋"/>
          <w:sz w:val="32"/>
          <w:szCs w:val="32"/>
        </w:rPr>
        <w:t>万元。</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为规范我中心的财务行为，加强财务管理，提高资金使用效益，我中心制定财务管理、资产管理等制度。该项目资金的使用符合国家财经法规和财务管理规定，专款专用，资金拨付程序完整，原始凭证和记账凭证完整，未出现资金截留、挤占、挪用、虚列支出等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（四）项目绩效目标及实现情况。</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项目年度目标：</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经费工作完成率达到100%，质量达标率达到95%，</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经费工作完成及时率达到100%，项目受益群体满意度不低于90%。</w:t>
      </w:r>
    </w:p>
    <w:p>
      <w:pPr>
        <w:spacing w:line="560" w:lineRule="exact"/>
        <w:ind w:firstLine="645"/>
        <w:rPr>
          <w:rFonts w:ascii="黑体" w:eastAsia="黑体"/>
          <w:sz w:val="32"/>
          <w:szCs w:val="32"/>
        </w:rPr>
      </w:pPr>
      <w:r>
        <w:rPr>
          <w:rFonts w:hint="eastAsia" w:ascii="黑体" w:eastAsia="黑体" w:cs="黑体"/>
          <w:sz w:val="32"/>
          <w:szCs w:val="32"/>
        </w:rPr>
        <w:t>二、项目绩效评价结论和分析</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（一）项目绩效评价结论</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我中心</w:t>
      </w:r>
      <w:r>
        <w:rPr>
          <w:rFonts w:hint="eastAsia" w:ascii="仿宋" w:hAnsi="仿宋" w:eastAsia="仿宋" w:cs="仿宋"/>
          <w:sz w:val="32"/>
          <w:szCs w:val="32"/>
          <w:lang w:eastAsia="zh-CN"/>
        </w:rPr>
        <w:t>2019</w:t>
      </w:r>
      <w:r>
        <w:rPr>
          <w:rFonts w:hint="eastAsia" w:ascii="仿宋" w:hAnsi="仿宋" w:eastAsia="仿宋" w:cs="仿宋"/>
          <w:sz w:val="32"/>
          <w:szCs w:val="32"/>
        </w:rPr>
        <w:t>年度</w:t>
      </w:r>
      <w:r>
        <w:rPr>
          <w:rFonts w:hint="eastAsia" w:ascii="仿宋" w:hAnsi="仿宋" w:eastAsia="仿宋" w:cs="仿宋"/>
          <w:sz w:val="32"/>
          <w:szCs w:val="32"/>
          <w:lang w:eastAsia="zh-CN"/>
        </w:rPr>
        <w:t>城管建设事务中心市政绿化及公园治理</w:t>
      </w:r>
      <w:r>
        <w:rPr>
          <w:rFonts w:hint="eastAsia" w:ascii="仿宋" w:hAnsi="仿宋" w:eastAsia="仿宋" w:cs="仿宋"/>
          <w:sz w:val="32"/>
          <w:szCs w:val="32"/>
        </w:rPr>
        <w:t>经费支出整体情况较好，基本完成了年度工作目标，充分发挥了该项目的实施作用。总体来看，项目实施进度正常，财政资金及时足额到位，项目目标任务按时按质完成，项目在资金管理、实施过程方面均取得了良好的成绩。从评价情况来看，项目支出绩效情况较为理想，达到了项目申请时设定的绩效目标。</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（二）项目绩效分析。</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该项目的项目目标设立与我中心履职相适应，立项文件符合经济社会发展规划和部门年度工作计划，符合我中心中长期实施规划。但绩效目标有待进一步明确细化。</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在项目决策过程中，我中心严格按照相关决策制度履行相应手续，项目决策过程合法合规。同时，依据相关资金管理办法规定，充分考虑资金分配因素，科学合理分配项目资金。</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从项目管理角度分析，</w:t>
      </w:r>
      <w:r>
        <w:rPr>
          <w:rFonts w:hint="eastAsia" w:ascii="仿宋" w:hAnsi="仿宋" w:eastAsia="仿宋" w:cs="仿宋"/>
          <w:sz w:val="32"/>
          <w:szCs w:val="32"/>
          <w:lang w:eastAsia="zh-CN"/>
        </w:rPr>
        <w:t>建设事务</w:t>
      </w:r>
      <w:r>
        <w:rPr>
          <w:rFonts w:hint="eastAsia" w:ascii="仿宋" w:hAnsi="仿宋" w:eastAsia="仿宋" w:cs="仿宋"/>
          <w:sz w:val="32"/>
          <w:szCs w:val="32"/>
        </w:rPr>
        <w:t>中心一直沿用《收支业务管理制度》，有完整的“申请－报销－审批”经费支出程序和手续，重大开支会依据项目情况提交办公会研究决定或上会决定，以此确保各项支出服从部门预算，严格实行预算控制与支出范围、支出标准规定相结合。同时形成了较为完善的内部控制体系。在内部控制制度的指引下，建立会计工作岗位责任制，做到管账不管钱，管钱不管账，很好的诠释了分岗设权与分事行权，形成了内部牵制，起到一定财务监控作用。资金使用过程中，不存在支出依据不足、序列项目支出、截留、挤占、挪用、超标准支出等情况；项目组织实施过程中，严格按照相关管理制度执行，机构健全，分工明确。</w:t>
      </w:r>
    </w:p>
    <w:p>
      <w:pPr>
        <w:spacing w:line="578" w:lineRule="exact"/>
        <w:ind w:firstLine="640" w:firstLineChars="200"/>
        <w:rPr>
          <w:rFonts w:ascii="仿宋_GB2312" w:eastAsia="仿宋_GB2312"/>
          <w:sz w:val="32"/>
          <w:szCs w:val="32"/>
        </w:rPr>
      </w:pPr>
      <w:r>
        <w:rPr>
          <w:rFonts w:hint="eastAsia" w:ascii="仿宋" w:hAnsi="仿宋" w:eastAsia="仿宋" w:cs="仿宋"/>
          <w:sz w:val="32"/>
          <w:szCs w:val="32"/>
        </w:rPr>
        <w:t>从项目绩效角度分析</w:t>
      </w:r>
    </w:p>
    <w:p>
      <w:pPr>
        <w:numPr>
          <w:ilvl w:val="0"/>
          <w:numId w:val="1"/>
        </w:numPr>
        <w:spacing w:line="600" w:lineRule="exact"/>
        <w:ind w:firstLine="640" w:firstLineChars="200"/>
        <w:jc w:val="left"/>
        <w:rPr>
          <w:rFonts w:ascii="仿宋_GB2312" w:eastAsia="仿宋_GB2312" w:cs="仿宋_GB2312"/>
          <w:sz w:val="32"/>
          <w:szCs w:val="32"/>
        </w:rPr>
      </w:pPr>
      <w:r>
        <w:rPr>
          <w:rFonts w:hint="eastAsia" w:ascii="仿宋_GB2312" w:eastAsia="仿宋_GB2312" w:cs="仿宋_GB2312"/>
          <w:sz w:val="32"/>
          <w:szCs w:val="32"/>
        </w:rPr>
        <w:t>项目产出数量目标。本单位已完成</w:t>
      </w:r>
      <w:r>
        <w:rPr>
          <w:rFonts w:hint="eastAsia" w:ascii="仿宋_GB2312" w:hAnsi="仿宋_GB2312" w:eastAsia="仿宋_GB2312" w:cs="仿宋_GB2312"/>
          <w:sz w:val="32"/>
          <w:szCs w:val="32"/>
          <w:lang w:eastAsia="zh-CN"/>
        </w:rPr>
        <w:t>市政绿化及公园治理</w:t>
      </w:r>
      <w:r>
        <w:rPr>
          <w:rFonts w:hint="eastAsia" w:ascii="仿宋_GB2312" w:hAnsi="仿宋_GB2312" w:eastAsia="仿宋_GB2312" w:cs="仿宋_GB2312"/>
          <w:sz w:val="32"/>
          <w:szCs w:val="32"/>
        </w:rPr>
        <w:t>经费</w:t>
      </w:r>
      <w:r>
        <w:rPr>
          <w:rFonts w:hint="eastAsia" w:ascii="仿宋_GB2312" w:eastAsia="仿宋_GB2312" w:cs="仿宋_GB2312"/>
          <w:sz w:val="32"/>
          <w:szCs w:val="32"/>
        </w:rPr>
        <w:t>项目活动，数量目标均达到100%。</w:t>
      </w:r>
    </w:p>
    <w:p>
      <w:pPr>
        <w:numPr>
          <w:ilvl w:val="0"/>
          <w:numId w:val="1"/>
        </w:numPr>
        <w:spacing w:line="600" w:lineRule="exact"/>
        <w:ind w:firstLine="640" w:firstLineChars="200"/>
        <w:jc w:val="left"/>
        <w:rPr>
          <w:rFonts w:ascii="仿宋_GB2312" w:eastAsia="仿宋_GB2312" w:cs="仿宋_GB2312"/>
          <w:sz w:val="32"/>
          <w:szCs w:val="32"/>
        </w:rPr>
      </w:pPr>
      <w:r>
        <w:rPr>
          <w:rFonts w:hint="eastAsia" w:ascii="仿宋_GB2312" w:eastAsia="仿宋_GB2312" w:cs="仿宋_GB2312"/>
          <w:sz w:val="32"/>
          <w:szCs w:val="32"/>
        </w:rPr>
        <w:t>项目产出质量目标。该项目实施质量均以达标，</w:t>
      </w:r>
      <w:r>
        <w:rPr>
          <w:rFonts w:hint="eastAsia" w:ascii="仿宋_GB2312" w:hAnsi="仿宋_GB2312" w:eastAsia="仿宋_GB2312" w:cs="仿宋_GB2312"/>
          <w:sz w:val="32"/>
          <w:szCs w:val="32"/>
          <w:lang w:eastAsia="zh-CN"/>
        </w:rPr>
        <w:t>市政绿化及公园治理</w:t>
      </w:r>
      <w:r>
        <w:rPr>
          <w:rFonts w:hint="eastAsia" w:ascii="仿宋_GB2312" w:hAnsi="仿宋_GB2312" w:eastAsia="仿宋_GB2312" w:cs="仿宋_GB2312"/>
          <w:sz w:val="32"/>
          <w:szCs w:val="32"/>
        </w:rPr>
        <w:t>经费</w:t>
      </w:r>
      <w:r>
        <w:rPr>
          <w:rFonts w:hint="eastAsia" w:ascii="仿宋_GB2312" w:eastAsia="仿宋_GB2312" w:cs="仿宋_GB2312"/>
          <w:sz w:val="32"/>
          <w:szCs w:val="32"/>
        </w:rPr>
        <w:t>项目活动验收率达100%。</w:t>
      </w:r>
    </w:p>
    <w:p>
      <w:pPr>
        <w:numPr>
          <w:ilvl w:val="0"/>
          <w:numId w:val="1"/>
        </w:numPr>
        <w:spacing w:line="600" w:lineRule="exact"/>
        <w:ind w:firstLine="640" w:firstLineChars="200"/>
        <w:jc w:val="left"/>
        <w:rPr>
          <w:rFonts w:ascii="仿宋_GB2312" w:eastAsia="仿宋_GB2312" w:cs="仿宋_GB2312"/>
          <w:sz w:val="32"/>
          <w:szCs w:val="32"/>
        </w:rPr>
      </w:pPr>
      <w:r>
        <w:rPr>
          <w:rFonts w:hint="eastAsia" w:ascii="仿宋_GB2312" w:eastAsia="仿宋_GB2312" w:cs="仿宋_GB2312"/>
          <w:sz w:val="32"/>
          <w:szCs w:val="32"/>
        </w:rPr>
        <w:t>项目产出时效目标。该项目已按照项目计划及时完成各项工作，项目完成及时率达100%。</w:t>
      </w:r>
    </w:p>
    <w:p>
      <w:pPr>
        <w:numPr>
          <w:ilvl w:val="0"/>
          <w:numId w:val="1"/>
        </w:numPr>
        <w:spacing w:line="600" w:lineRule="exact"/>
        <w:ind w:firstLine="640" w:firstLineChars="200"/>
        <w:jc w:val="left"/>
        <w:rPr>
          <w:rFonts w:ascii="仿宋_GB2312" w:eastAsia="仿宋_GB2312" w:cs="仿宋_GB2312"/>
          <w:sz w:val="32"/>
          <w:szCs w:val="32"/>
        </w:rPr>
      </w:pPr>
      <w:r>
        <w:rPr>
          <w:rFonts w:hint="eastAsia" w:ascii="仿宋_GB2312" w:eastAsia="仿宋_GB2312" w:cs="仿宋_GB2312"/>
          <w:sz w:val="32"/>
          <w:szCs w:val="32"/>
        </w:rPr>
        <w:t>项目产出成本目标。该项目预算控制较好，项目支出均控制在预算支出范围内，不存在项目超出预算支出的情况。</w:t>
      </w:r>
    </w:p>
    <w:p>
      <w:pPr>
        <w:spacing w:line="52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项目社会效益：该项目为社会提供了安全的环境，为居民营造了舒适的生活氛围，社会效益和生态效益均达到良好，服务对象满意度很高。</w:t>
      </w:r>
    </w:p>
    <w:p>
      <w:pPr>
        <w:numPr>
          <w:ilvl w:val="0"/>
          <w:numId w:val="1"/>
        </w:numPr>
        <w:spacing w:line="600" w:lineRule="exact"/>
        <w:ind w:firstLine="640" w:firstLineChars="200"/>
        <w:jc w:val="left"/>
        <w:rPr>
          <w:rFonts w:ascii="仿宋" w:hAnsi="仿宋" w:eastAsia="仿宋" w:cs="仿宋"/>
          <w:sz w:val="32"/>
          <w:szCs w:val="32"/>
        </w:rPr>
      </w:pPr>
      <w:r>
        <w:rPr>
          <w:rFonts w:hint="eastAsia" w:ascii="仿宋_GB2312" w:eastAsia="仿宋_GB2312" w:cs="仿宋_GB2312"/>
          <w:sz w:val="32"/>
          <w:szCs w:val="32"/>
        </w:rPr>
        <w:t>服务对象满意度。本单位针对该项目服务对象以问卷调查方式，了解其对项目实施效果的满意程度。根据调查结果显示，服务对象对项目实施过程及结果满意度较高。</w:t>
      </w:r>
    </w:p>
    <w:p>
      <w:pPr>
        <w:spacing w:line="560" w:lineRule="exact"/>
        <w:ind w:firstLine="645"/>
        <w:rPr>
          <w:rFonts w:ascii="仿宋" w:hAnsi="仿宋" w:eastAsia="仿宋" w:cs="仿宋"/>
          <w:sz w:val="32"/>
          <w:szCs w:val="32"/>
        </w:rPr>
      </w:pPr>
      <w:r>
        <w:rPr>
          <w:rFonts w:hint="eastAsia" w:ascii="仿宋_GB2312" w:hAnsi="仿宋_GB2312" w:eastAsia="仿宋_GB2312" w:cs="仿宋_GB2312"/>
          <w:sz w:val="32"/>
          <w:szCs w:val="32"/>
        </w:rPr>
        <w:t>项目绩效目标未完成的，应进行原因分析。</w:t>
      </w: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市政绿化及公园治理</w:t>
      </w:r>
      <w:r>
        <w:rPr>
          <w:rFonts w:hint="eastAsia" w:ascii="仿宋_GB2312" w:hAnsi="仿宋_GB2312" w:eastAsia="仿宋_GB2312" w:cs="仿宋_GB2312"/>
          <w:sz w:val="32"/>
          <w:szCs w:val="32"/>
        </w:rPr>
        <w:t>经费”项目绩效目标已全部完成，我单位针对该项目做出绩效评价，自评得分96</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分，具体情况如下：</w:t>
      </w:r>
    </w:p>
    <w:tbl>
      <w:tblPr>
        <w:tblpPr w:leftFromText="180" w:rightFromText="180" w:vertAnchor="text" w:horzAnchor="page" w:tblpX="669" w:tblpY="630"/>
        <w:tblOverlap w:val="never"/>
        <w:tblW w:w="10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080"/>
        <w:gridCol w:w="1080"/>
        <w:gridCol w:w="1080"/>
        <w:gridCol w:w="1530"/>
        <w:gridCol w:w="1485"/>
        <w:gridCol w:w="2175"/>
        <w:gridCol w:w="1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0380" w:type="dxa"/>
            <w:gridSpan w:val="7"/>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30"/>
                <w:szCs w:val="30"/>
                <w:u w:val="none"/>
                <w:bdr w:val="none" w:color="auto" w:sz="0" w:space="0"/>
                <w:lang w:val="en-US" w:eastAsia="zh-CN" w:bidi="ar"/>
              </w:rPr>
              <w:t>2019年度项目支出绩效自评表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项目名称</w:t>
            </w: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市政绿化及公园治理经费</w:t>
            </w:r>
          </w:p>
        </w:tc>
        <w:tc>
          <w:tcPr>
            <w:tcW w:w="15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盐田区城市管理建设事务中心</w:t>
            </w:r>
          </w:p>
        </w:tc>
        <w:tc>
          <w:tcPr>
            <w:tcW w:w="21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主管部门</w:t>
            </w:r>
          </w:p>
        </w:tc>
        <w:tc>
          <w:tcPr>
            <w:tcW w:w="19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盐田区城管和综合执法局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项目总金额（元）</w:t>
            </w: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2,600,000.00</w:t>
            </w:r>
          </w:p>
        </w:tc>
        <w:tc>
          <w:tcPr>
            <w:tcW w:w="15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财政拨款资金（元）</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2,600,000.00</w:t>
            </w:r>
          </w:p>
        </w:tc>
        <w:tc>
          <w:tcPr>
            <w:tcW w:w="21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其他资金（元）</w:t>
            </w:r>
          </w:p>
        </w:tc>
        <w:tc>
          <w:tcPr>
            <w:tcW w:w="19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实际支出金额（元）</w:t>
            </w: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2,597,673.03</w:t>
            </w:r>
          </w:p>
        </w:tc>
        <w:tc>
          <w:tcPr>
            <w:tcW w:w="1530"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财政支出金额（元）</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2,597,673.03</w:t>
            </w:r>
          </w:p>
        </w:tc>
        <w:tc>
          <w:tcPr>
            <w:tcW w:w="2175"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其他资金支出（元）</w:t>
            </w:r>
          </w:p>
        </w:tc>
        <w:tc>
          <w:tcPr>
            <w:tcW w:w="1950"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计划开始时间</w:t>
            </w:r>
          </w:p>
        </w:tc>
        <w:tc>
          <w:tcPr>
            <w:tcW w:w="369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2019-01-01</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计划完成时间</w:t>
            </w:r>
          </w:p>
        </w:tc>
        <w:tc>
          <w:tcPr>
            <w:tcW w:w="41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2019-12-31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项目（中期）总目标</w:t>
            </w:r>
          </w:p>
        </w:tc>
        <w:tc>
          <w:tcPr>
            <w:tcW w:w="930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做好市政公共绿地（含公园）的日常监督管理、检查考核工作。配合完成绿化迁移、移交接管等工作。办理人大、政协交办的有关园林绿化日常监管考核方面的建议、议（提）案。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年度绩效目标</w:t>
            </w:r>
          </w:p>
        </w:tc>
        <w:tc>
          <w:tcPr>
            <w:tcW w:w="930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2019年的工作目标是负责盐田辖区公园及古树的日常绿化管养、公共设施维修维护和日常安全方面的主要监管；继续开展花园城区建设、公园建设。完成行道树缺株补植二期工程。进一步加强城区绿化管养，做好评估迎检工作，提高绿化管养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一级指标</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二级指标</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三级指标</w:t>
            </w:r>
          </w:p>
        </w:tc>
        <w:tc>
          <w:tcPr>
            <w:tcW w:w="3015" w:type="dxa"/>
            <w:gridSpan w:val="2"/>
            <w:tcBorders>
              <w:top w:val="nil"/>
              <w:left w:val="nil"/>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指标说明</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评分标准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评分结果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项目决策(25分)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规范性(3分)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立项规范(3分)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项目的申请、设立过程是否符合相关要求，用以反映和考核项目立项的规范情况。评价要点在于：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1.项目是否按照规定的程序申请设立；</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2.事前是否已经过必要的可行性研究、专家论证、风险评估、集体决策等。</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1.项目按照规定的程序申请设立（1.5分）；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2.新增项目开展了事前绩效评估（1.5分）。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明确性(5分)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依据明确(2分)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项目立项是否有明确的依据。评价要点在于：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1.是否有相应的法律法规/文件要求/规划依据/会议决议/事业发展需求以及支撑项目立项的其他资料等。</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2.项目预算的测算依据是否充分准确。</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1.有明确的立项依据（1分）；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2.项目预算经科学测算，金额合理（1分）；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目标明确(3分)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 xml:space="preserve">项目有明确的绩效目标，未纳入财政部门预算绩效管理的项目根据编制的工作目标予以评定。评价要点在于： </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1.绩效目标或工作目标是否对各项指标进行细化量化；</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2.绩效目标或工作目标否符合实际情况，各项指标准确、可测量。</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1.有明确的绩效目标，未纳入财政部门预算绩效管理的项目编制工作目标（1分）；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2.绩效目标或工作目标符合以下要求：</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 绩效目标或工作目标结合实际对各项指标进行了细化量化（1分）；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 绩效目标或工作目标符合实际情况，各项指标准确、可测量。（1分）。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合理性(4分)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目标合理(4分)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项目所设定的绩效目标是否依据充分，是否符合客观实际，用以反映和考核项目绩效目标与项目实施的相符情况。评价要点在于：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1.是否符合国家相关法律法规、国民经济发展规划和党委政府决策；</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2.是否与项目实施单位或委托单位职责密切相关；</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3.项目是否为促进事业发展所必需；</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4.项目预期产出效益和效果是否符合正常的业绩水平。</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绩效目标或工作目标符合以下要求：</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1.符合国家相关法律法规、国民经济发展规划和党委政府决策（1分）；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2.与项目实施单位或委托单位职责密切相关（1分）；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3.为促进事业发展所必需（1分）；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4.项目预期产出效益和效果符合正常的业绩水平（1分）。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可行性(13分)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制度保障(5分)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项目管理的有关制度是否健全。评价要点在于：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1.是否建立与项目相应的管理制度、业务流程、资金管理办法和内控制度；</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2.相应的制度是否对项目提出明确的质量要求或标准；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3.是否建立有效的预算绩效管理制度。</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1.建立了完备的管理制度、业务流程、资金管理办法和内控制度（2分）；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2.有关制度项目提出明确的质量要求或标准（1分）；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3.建立了有效的预算绩效管理制度（2分）。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人、财、物保障(3分)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对项目在人、财、物上的保障是否充分、合理。评价要点在于：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1.人员保障：是否能提供满足项目所需的各类人员，对人员数量、资质、技能等方面进行合理安排；</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2.资产配置保障：是否提供满足项目所需的资产配置，对场地、仪器设备、物资等方面进行合理安排；</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3.资金保障：是否能提供项目所需的资金，对资金数量、类型、来源等方面进行合理安排。</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1.人员保障充分、合理（1分），保障不充分且影响项目或者保障明显超出必要范围（0分）；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2.资产配置保障充分、合理（1分），保障不充分且影响项目或者保障明显超出必要范围（0分）；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3.资金保障充分、合理（1分），保障不充分且影响项目或者保障明显超出必要范围（0分）。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实施方案保障(5分)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项目的实施方案是否具体。评价要点在于：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1.是否有明确的工作目标；</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2.是否有明确的工作内容；</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3.是否有明确的职责分工；</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4.是否有清晰的工作程序；</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5.是否有合理的时间安排。</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实施方案符合以下要求：</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1.有明确的工作目标（1分）；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2.有明确的工作内容（1分）；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3.有明确的职责分工（1分）；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4.有清晰的工作程序（1分）；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5.有合理的时间安排（1分）。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90" w:hRule="atLeast"/>
        </w:trPr>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项目管理(20分)</w:t>
            </w: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匹配性(9分)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项目执行进度匹配性(3分)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项目执行进度与预期设定的时间进度是否相匹配。评价要点在于：是否与绩效目标中设定的工作时效相匹配。</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1.与绩效目标或申报文本预期设定的时间进度完全匹配（3分）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2.偏离预期设定的时间进度：</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（1）时间进度偏离不大，有合理理由（2分）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（2）时间进度严重滞后，无合理理由（0分）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资金支付进度匹配性(3分)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项目执行进度与预期设定的时间进度是否相匹配。评价要点在于：是否与绩效目标中设定的工作时效相匹配。</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未纳入当年度财政部门预算绩效管理的项目以年初工作计划为评价依据：</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1.与预期设定的支付进度完全匹配（3分）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2.偏离预期设定的支付进度：</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（1）支付进度偏离不大，有合理理由（2分）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（2）支付进度严重滞后，无合理理由（0分）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项目实施内容匹配性(3分)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项目实施内容与预期设定的绩效目标是否相匹配。评价要点在于：是否与绩效目标中设定的投入、产出、效益等相匹配。</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1.编制了绩效目标的项目实施内容与预期设定的绩效目标完全匹配/未纳入当年度财政部门预算绩效管理的项目支出内容与工作目标完全匹配（3分）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2.编制了绩效目标的项目实施内容偏离绩效目标设定中的投入、产出、效益等各项指标，偏离一项扣1分/未纳入当年度财政部门预算绩效管理的项目一项支出内容与工作目标不匹配扣一分，扣完为止。</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可控性(4分)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监控措施(2分)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在项目执行过程中是否进行绩效运行监控管理。评价要点在于：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1.是否定期对项目实施绩效运行监控管理；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2.是否定期归集相关监控数据、资料。</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1.能提供相关资料证实有定期对项目实施绩效运行监控管理/未纳入当年度财政预算绩效管理的项目有其他过程性监管手段（1分）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2.定期归集相关监控数据、资料（1分）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监控效果(2分)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在项目执行过程中是否根据绩效运行监控管理情况采取调整和改进措施。</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评价要点在于：是否对偏离项目绩效目标的情况及时采取调整或改进措施 ，并能提供绩效监控结果、整改落实方案等有关资料进行佐证。</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主要考察绩效监控或其他监控手段的效果：</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1.项目执行过程中，未发现问题（2分）；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2.项目执行过程中，出现问题的分别按以下情况评分：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（1）及时采取调整或改进措施，工作目标达到预期，得1.5分；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（2）及时采取调整或改进措施，工作目标未达预期，得0.5分；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（3）未及时采取调整或改进措施，得0分。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规范性(7分)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业务管理规范性(3分)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业务管理是否规范。评价要点在于：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1.相关各项工作制度和业务管理制度是否执行到位；</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2.相关项目资料是否齐全并及时归档。</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1.有关工作制度和业务管理制度执行到位（2分），制度执行不到位影响项目的（0分）；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2.项目相关资料齐全（0.5分），及时归档（0.5分）。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资金管理规范性(4分)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资金管理是否规范。评价要点在于：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1.资金管理和使用是否符合国家财经法规、财务管理制度和资金管理办法；</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2.资金支付、调整、调剂是否有完整的审批程序和手续；</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3.是否符合项目预算批复和合同规定的用途；</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4.是否发生截留、挤占、挪用、虚列支等问题。</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1.资金管理和使用符合国家财经法规、财务管理制度和资金管理办法（2分）；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2.资金支付、调整、调剂符合审批程序（1分）；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3.符合项目预算批复和合同规定的用途（1分）；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4.发生截留、挤占、挪用、虚列支出等问题，本指标得0分。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项目绩效(55分)</w:t>
            </w:r>
          </w:p>
        </w:tc>
        <w:tc>
          <w:tcPr>
            <w:tcW w:w="108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完成情况(24分)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成本控制情况(4分)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是否按照厉行节约过“紧日子”的要求，严格控制项目支出，有效节约资金。评价要点在于：</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1.严控项目支出，未发生超预算的情况；</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2.有效节约资金，按成本节约率计算得分。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成本节约率=[（计划成本-实际成本）/计划成本]×100%</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1.严控项目支出，未发生超预算的情况（2分）；</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2.成本节约率得分=成本节约率×2分。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5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项目完成情况(20分)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考察部门（单位）是否按照实施计划及时完成该项目各工作内容，工作质量是否均达到计划标准。</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项目完成情况较好，各项工作均及时完成且达到计划标准，得20分；一项工作内容完成情况较差扣4分，扣完为止。</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效益性(23分)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社会效益、生态效益、经济效益(23分)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实施是否产生直接或间接社会效益/生态效益/经济效益。评价要点在于：结合项目依据、实施方案、绩效目标等，对照项目实际完成情况，明确该项目是否产生了社会效益、生态效益、经济效益，并详细说明产生了怎样的社会效益、生态效益、经济效益。</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评价实施方根据实际产生的效益进行评分，要求细化量化,在备注列进行描述(23分)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0" w:hRule="atLeast"/>
        </w:trPr>
        <w:tc>
          <w:tcPr>
            <w:tcW w:w="108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满意度(8分)</w:t>
            </w:r>
          </w:p>
        </w:tc>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服务对象满意度(8分)</w:t>
            </w:r>
          </w:p>
        </w:tc>
        <w:tc>
          <w:tcPr>
            <w:tcW w:w="3015"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项目服务对象对项目实施效果的满意程度。评价要点：</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1.项目直接服务对象如项目直接受益者或所服务的部门（单位）、群体或个人对项目实施效果的满意程度或投诉上访次数；</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2.项目间接服务对象例如社会公众满意程度（问卷调查情况），人大代表、政协委员提案意见情况，新闻媒体曝光次数等；</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3.是否有采取问卷调查、抽样访谈等方式专门开展满意度调查或测评。</w:t>
            </w:r>
          </w:p>
        </w:tc>
        <w:tc>
          <w:tcPr>
            <w:tcW w:w="217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1.根据服务对象满意程度的高低，分为优（6分）、良（4分）、中（2分）、差（0分）四档；</w:t>
            </w:r>
            <w:r>
              <w:rPr>
                <w:rFonts w:hint="eastAsia" w:ascii="宋体" w:hAnsi="宋体" w:eastAsia="宋体" w:cs="宋体"/>
                <w:i w:val="0"/>
                <w:color w:val="000000"/>
                <w:kern w:val="0"/>
                <w:sz w:val="16"/>
                <w:szCs w:val="16"/>
                <w:u w:val="none"/>
                <w:bdr w:val="none" w:color="auto" w:sz="0" w:space="0"/>
                <w:lang w:val="en-US" w:eastAsia="zh-CN" w:bidi="ar"/>
              </w:rPr>
              <w:br w:type="textWrapping"/>
            </w:r>
            <w:r>
              <w:rPr>
                <w:rFonts w:hint="eastAsia" w:ascii="宋体" w:hAnsi="宋体" w:eastAsia="宋体" w:cs="宋体"/>
                <w:i w:val="0"/>
                <w:color w:val="000000"/>
                <w:kern w:val="0"/>
                <w:sz w:val="16"/>
                <w:szCs w:val="16"/>
                <w:u w:val="none"/>
                <w:bdr w:val="none" w:color="auto" w:sz="0" w:space="0"/>
                <w:lang w:val="en-US" w:eastAsia="zh-CN" w:bidi="ar"/>
              </w:rPr>
              <w:t>2.采取问卷调查、抽样访谈等方式专门开展满意度调查或测评（2分）。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430" w:type="dxa"/>
            <w:gridSpan w:val="6"/>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自评总得分</w:t>
            </w:r>
          </w:p>
        </w:tc>
        <w:tc>
          <w:tcPr>
            <w:tcW w:w="195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96.50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0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bdr w:val="none" w:color="auto" w:sz="0" w:space="0"/>
                <w:lang w:val="en-US" w:eastAsia="zh-CN" w:bidi="ar"/>
              </w:rPr>
              <w:t>未完成指标原因分析</w:t>
            </w:r>
          </w:p>
        </w:tc>
        <w:tc>
          <w:tcPr>
            <w:tcW w:w="9300" w:type="dxa"/>
            <w:gridSpan w:val="6"/>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bl>
    <w:p>
      <w:pPr>
        <w:spacing w:line="560" w:lineRule="exact"/>
        <w:rPr>
          <w:rFonts w:ascii="黑体" w:hAnsi="黑体" w:eastAsia="黑体" w:cs="黑体"/>
          <w:sz w:val="32"/>
          <w:szCs w:val="32"/>
        </w:rPr>
      </w:pPr>
      <w:bookmarkStart w:id="0" w:name="_GoBack"/>
      <w:bookmarkEnd w:id="0"/>
    </w:p>
    <w:p>
      <w:pPr>
        <w:spacing w:line="560" w:lineRule="exact"/>
        <w:ind w:firstLine="645"/>
        <w:rPr>
          <w:rFonts w:ascii="黑体" w:hAnsi="黑体" w:eastAsia="黑体"/>
          <w:sz w:val="32"/>
          <w:szCs w:val="32"/>
        </w:rPr>
      </w:pPr>
      <w:r>
        <w:rPr>
          <w:rFonts w:hint="eastAsia" w:ascii="黑体" w:hAnsi="黑体" w:eastAsia="黑体" w:cs="黑体"/>
          <w:sz w:val="32"/>
          <w:szCs w:val="32"/>
        </w:rPr>
        <w:t>三、取得的成效</w:t>
      </w:r>
    </w:p>
    <w:p>
      <w:pPr>
        <w:spacing w:line="560" w:lineRule="exact"/>
        <w:ind w:firstLine="645"/>
        <w:rPr>
          <w:rFonts w:ascii="仿宋" w:hAnsi="仿宋" w:eastAsia="仿宋" w:cs="仿宋"/>
          <w:sz w:val="32"/>
          <w:szCs w:val="32"/>
        </w:rPr>
      </w:pPr>
      <w:r>
        <w:rPr>
          <w:rFonts w:hint="eastAsia" w:ascii="仿宋" w:hAnsi="仿宋" w:eastAsia="仿宋" w:cs="仿宋"/>
          <w:sz w:val="32"/>
          <w:szCs w:val="32"/>
          <w:lang w:eastAsia="zh-CN"/>
        </w:rPr>
        <w:t>城管建设事务</w:t>
      </w:r>
      <w:r>
        <w:rPr>
          <w:rFonts w:hint="eastAsia" w:ascii="仿宋" w:hAnsi="仿宋" w:eastAsia="仿宋" w:cs="仿宋"/>
          <w:sz w:val="32"/>
          <w:szCs w:val="32"/>
        </w:rPr>
        <w:t>中心</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经费的财务管理体系健全。有专业资格的会计人员；有健全的财务管理制度；按规定设立各子项目明细账，分别核算；费用报销附件齐全，会计资料清晰，装订整齐；并且实行会计电算化。</w:t>
      </w:r>
    </w:p>
    <w:p>
      <w:pPr>
        <w:spacing w:line="560" w:lineRule="exact"/>
        <w:ind w:firstLine="645"/>
        <w:rPr>
          <w:rFonts w:ascii="仿宋" w:hAnsi="仿宋" w:eastAsia="仿宋" w:cs="仿宋"/>
          <w:sz w:val="32"/>
          <w:szCs w:val="32"/>
        </w:rPr>
      </w:pPr>
      <w:r>
        <w:rPr>
          <w:rFonts w:hint="eastAsia" w:ascii="仿宋" w:hAnsi="仿宋" w:eastAsia="仿宋" w:cs="仿宋"/>
          <w:sz w:val="32"/>
          <w:szCs w:val="32"/>
          <w:lang w:eastAsia="zh-CN"/>
        </w:rPr>
        <w:t>城管建设事务</w:t>
      </w:r>
      <w:r>
        <w:rPr>
          <w:rFonts w:hint="eastAsia" w:ascii="仿宋" w:hAnsi="仿宋" w:eastAsia="仿宋" w:cs="仿宋"/>
          <w:sz w:val="32"/>
          <w:szCs w:val="32"/>
        </w:rPr>
        <w:t>中心</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经费严格执行我中心的财务开支事前审批制度，用款需填写用款审批表，经领导和财务共同审批后用款。将审批的关口前移，避免了资金的盲目使用，提前防控财务风险。</w:t>
      </w:r>
    </w:p>
    <w:p>
      <w:pPr>
        <w:spacing w:line="560" w:lineRule="exact"/>
        <w:ind w:firstLine="645"/>
        <w:rPr>
          <w:rFonts w:ascii="仿宋" w:hAnsi="仿宋" w:eastAsia="仿宋" w:cs="仿宋"/>
          <w:sz w:val="32"/>
          <w:szCs w:val="32"/>
        </w:rPr>
      </w:pPr>
      <w:r>
        <w:rPr>
          <w:rFonts w:hint="eastAsia" w:ascii="仿宋" w:hAnsi="仿宋" w:eastAsia="仿宋" w:cs="仿宋"/>
          <w:sz w:val="32"/>
          <w:szCs w:val="32"/>
          <w:lang w:eastAsia="zh-CN"/>
        </w:rPr>
        <w:t>城管建设事务</w:t>
      </w:r>
      <w:r>
        <w:rPr>
          <w:rFonts w:hint="eastAsia" w:ascii="仿宋" w:hAnsi="仿宋" w:eastAsia="仿宋" w:cs="仿宋"/>
          <w:sz w:val="32"/>
          <w:szCs w:val="32"/>
        </w:rPr>
        <w:t>中心</w:t>
      </w:r>
      <w:r>
        <w:rPr>
          <w:rFonts w:hint="eastAsia" w:ascii="仿宋" w:hAnsi="仿宋" w:eastAsia="仿宋" w:cs="仿宋"/>
          <w:sz w:val="32"/>
          <w:szCs w:val="32"/>
          <w:lang w:eastAsia="zh-CN"/>
        </w:rPr>
        <w:t>市政绿化及公园治理</w:t>
      </w:r>
      <w:r>
        <w:rPr>
          <w:rFonts w:hint="eastAsia" w:ascii="仿宋" w:hAnsi="仿宋" w:eastAsia="仿宋" w:cs="仿宋"/>
          <w:sz w:val="32"/>
          <w:szCs w:val="32"/>
        </w:rPr>
        <w:t>经费严格按照制度规范执行，有效保障资金安全。在实施期间资金支出做到了专款专用；各款项支付凭证、发票符合资金使用范围；资金的拨付有完整的审批程序和手续。</w:t>
      </w:r>
    </w:p>
    <w:p>
      <w:pPr>
        <w:spacing w:line="560" w:lineRule="exact"/>
        <w:ind w:firstLine="645"/>
        <w:rPr>
          <w:rFonts w:ascii="黑体" w:hAnsi="黑体" w:eastAsia="黑体"/>
          <w:sz w:val="32"/>
          <w:szCs w:val="32"/>
        </w:rPr>
      </w:pPr>
      <w:r>
        <w:rPr>
          <w:rFonts w:hint="eastAsia" w:ascii="黑体" w:hAnsi="黑体" w:eastAsia="黑体" w:cs="黑体"/>
          <w:sz w:val="32"/>
          <w:szCs w:val="32"/>
        </w:rPr>
        <w:t>四、存在的问题</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在项目实施过程中，没有明确的绩效目标不利于项目实施单位对项目的实施进度、完成质量、效果等方面进行准确高效地监管，不利于绩效目标的把控和实际情况中出现突发事件后快速调整项目实施方案，解决问题，不利于督查和成果验收。</w:t>
      </w:r>
    </w:p>
    <w:p>
      <w:pPr>
        <w:spacing w:line="560" w:lineRule="exact"/>
        <w:ind w:firstLine="645"/>
        <w:rPr>
          <w:rFonts w:ascii="黑体" w:hAnsi="黑体" w:eastAsia="黑体"/>
          <w:sz w:val="32"/>
          <w:szCs w:val="32"/>
        </w:rPr>
      </w:pPr>
      <w:r>
        <w:rPr>
          <w:rFonts w:hint="eastAsia" w:ascii="黑体" w:hAnsi="黑体" w:eastAsia="黑体" w:cs="黑体"/>
          <w:sz w:val="32"/>
          <w:szCs w:val="32"/>
        </w:rPr>
        <w:t>五、相关建议和整改措施</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1.加强项目绩效管理，提高预算绩效认识，加强学习。密切配合，及时在事前制定明确、细化、量化且可考核的年度绩效目标，并依据年度目标组织开展项目工作，做到绩效目标可考量，从而提高预算绩效管理效果。</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2.预算申报要做到细化、量化，根据项目实施的具体工作量，通过科学合理的测算人、财、物的消耗，确保申报预算的科学性、准确性，同时预算申报要与项目绩效目标进行结合，确保预算与产出目标匹配一致，最终保障项目的实施按计划执行，并能最终进行量化考核。</w:t>
      </w:r>
    </w:p>
    <w:p>
      <w:pPr>
        <w:spacing w:line="560" w:lineRule="exact"/>
        <w:ind w:firstLine="640" w:firstLineChars="200"/>
        <w:rPr>
          <w:rFonts w:ascii="仿宋" w:hAnsi="仿宋" w:eastAsia="仿宋"/>
          <w:sz w:val="32"/>
          <w:szCs w:val="32"/>
        </w:rPr>
      </w:pPr>
      <w:r>
        <w:rPr>
          <w:rFonts w:hint="eastAsia" w:ascii="仿宋" w:hAnsi="仿宋" w:eastAsia="仿宋" w:cs="仿宋"/>
          <w:sz w:val="32"/>
          <w:szCs w:val="32"/>
        </w:rPr>
        <w:t>3.加强绩效目标管理。首先，理清绩效目标管理的工作流程；其次，要确定绩效目标与实际工作的联系，绩效目标的设定既要能与实际工作紧密联系，又要能清晰反映预算资金的预期产出和效果。绩效目标应当从数量、质量、成本、时效以及经济效益、社会效益、生态效益、可持续影响、满意度等方面进行细化，尽量进行定量表述；第三，有意识收集相应指标历史数据、行业数据作为绩效目标考评的基础；最后，预算执行结束后，要及时对照确定的绩效目标开展绩效自评。</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7B3681"/>
    <w:multiLevelType w:val="singleLevel"/>
    <w:tmpl w:val="B37B36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5B18"/>
    <w:rsid w:val="00F73E5F"/>
    <w:rsid w:val="0A833424"/>
    <w:rsid w:val="0D535003"/>
    <w:rsid w:val="0DA25E58"/>
    <w:rsid w:val="0ED148B8"/>
    <w:rsid w:val="1FD626D2"/>
    <w:rsid w:val="29675377"/>
    <w:rsid w:val="297314A7"/>
    <w:rsid w:val="41332762"/>
    <w:rsid w:val="4AFC4A0F"/>
    <w:rsid w:val="4BB02AEF"/>
    <w:rsid w:val="51BD2688"/>
    <w:rsid w:val="5FAA28FE"/>
    <w:rsid w:val="64DE67BA"/>
    <w:rsid w:val="743F7385"/>
    <w:rsid w:val="755A04B5"/>
    <w:rsid w:val="774C5670"/>
    <w:rsid w:val="78241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1022</Words>
  <Characters>5828</Characters>
  <Lines>48</Lines>
  <Paragraphs>13</Paragraphs>
  <TotalTime>1</TotalTime>
  <ScaleCrop>false</ScaleCrop>
  <LinksUpToDate>false</LinksUpToDate>
  <CharactersWithSpaces>6837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dc:creator>
  <cp:lastModifiedBy>卢静娴</cp:lastModifiedBy>
  <cp:lastPrinted>2019-07-29T10:08:00Z</cp:lastPrinted>
  <dcterms:modified xsi:type="dcterms:W3CDTF">2020-12-10T02:48:57Z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