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FEA" w:rsidRDefault="00C000B5">
      <w:pPr>
        <w:jc w:val="left"/>
        <w:rPr>
          <w:rFonts w:ascii="仿宋_GB2312" w:eastAsia="仿宋_GB2312" w:hAnsi="宋体"/>
          <w:sz w:val="32"/>
          <w:szCs w:val="32"/>
        </w:rPr>
      </w:pPr>
      <w:r>
        <w:rPr>
          <w:rFonts w:ascii="仿宋_GB2312" w:eastAsia="仿宋_GB2312" w:hAnsi="宋体" w:cs="仿宋_GB2312" w:hint="eastAsia"/>
          <w:sz w:val="32"/>
          <w:szCs w:val="32"/>
        </w:rPr>
        <w:t>附件</w:t>
      </w:r>
      <w:r>
        <w:rPr>
          <w:rFonts w:ascii="仿宋_GB2312" w:eastAsia="仿宋_GB2312" w:hAnsi="宋体" w:cs="仿宋_GB2312"/>
          <w:sz w:val="32"/>
          <w:szCs w:val="32"/>
        </w:rPr>
        <w:t>3</w:t>
      </w:r>
    </w:p>
    <w:p w:rsidR="00ED2FEA" w:rsidRDefault="00ED2FEA">
      <w:pPr>
        <w:rPr>
          <w:rFonts w:ascii="宋体"/>
          <w:sz w:val="44"/>
          <w:szCs w:val="44"/>
        </w:rPr>
      </w:pPr>
    </w:p>
    <w:p w:rsidR="00ED2FEA" w:rsidRDefault="00ED2FEA">
      <w:pPr>
        <w:rPr>
          <w:rFonts w:ascii="宋体"/>
          <w:sz w:val="44"/>
          <w:szCs w:val="44"/>
        </w:rPr>
      </w:pPr>
    </w:p>
    <w:p w:rsidR="00ED2FEA" w:rsidRDefault="00ED2FEA">
      <w:pPr>
        <w:rPr>
          <w:rFonts w:ascii="宋体"/>
          <w:sz w:val="44"/>
          <w:szCs w:val="44"/>
        </w:rPr>
      </w:pPr>
    </w:p>
    <w:p w:rsidR="00ED2FEA" w:rsidRDefault="00ED2FEA">
      <w:pPr>
        <w:rPr>
          <w:rFonts w:ascii="宋体"/>
          <w:sz w:val="44"/>
          <w:szCs w:val="44"/>
        </w:rPr>
      </w:pPr>
    </w:p>
    <w:p w:rsidR="00ED2FEA" w:rsidRDefault="00C000B5">
      <w:pPr>
        <w:jc w:val="center"/>
        <w:rPr>
          <w:rFonts w:ascii="宋体"/>
          <w:sz w:val="44"/>
          <w:szCs w:val="44"/>
        </w:rPr>
      </w:pPr>
      <w:r>
        <w:rPr>
          <w:rFonts w:ascii="宋体" w:hAnsi="宋体" w:cs="宋体"/>
          <w:sz w:val="44"/>
          <w:szCs w:val="44"/>
        </w:rPr>
        <w:t>20</w:t>
      </w:r>
      <w:r w:rsidR="00B361A9">
        <w:rPr>
          <w:rFonts w:ascii="宋体" w:hAnsi="宋体" w:cs="宋体" w:hint="eastAsia"/>
          <w:sz w:val="44"/>
          <w:szCs w:val="44"/>
        </w:rPr>
        <w:t>19</w:t>
      </w:r>
      <w:r>
        <w:rPr>
          <w:rFonts w:ascii="宋体" w:hAnsi="宋体" w:cs="宋体" w:hint="eastAsia"/>
          <w:sz w:val="44"/>
          <w:szCs w:val="44"/>
        </w:rPr>
        <w:t>年度重点项目支出</w:t>
      </w:r>
    </w:p>
    <w:p w:rsidR="00ED2FEA" w:rsidRDefault="00C000B5">
      <w:pPr>
        <w:jc w:val="center"/>
        <w:rPr>
          <w:rFonts w:ascii="宋体"/>
          <w:sz w:val="44"/>
          <w:szCs w:val="44"/>
        </w:rPr>
      </w:pPr>
      <w:r>
        <w:rPr>
          <w:rFonts w:ascii="宋体" w:hAnsi="宋体" w:cs="宋体" w:hint="eastAsia"/>
          <w:sz w:val="44"/>
          <w:szCs w:val="44"/>
        </w:rPr>
        <w:t>绩效评价报告</w:t>
      </w:r>
    </w:p>
    <w:p w:rsidR="00ED2FEA" w:rsidRDefault="00ED2FEA">
      <w:pPr>
        <w:jc w:val="center"/>
        <w:rPr>
          <w:rFonts w:ascii="楷体_GB2312" w:eastAsia="楷体_GB2312" w:hAnsi="宋体"/>
          <w:sz w:val="36"/>
          <w:szCs w:val="36"/>
        </w:rPr>
      </w:pPr>
    </w:p>
    <w:p w:rsidR="00ED2FEA" w:rsidRDefault="00ED2FEA">
      <w:pPr>
        <w:jc w:val="center"/>
        <w:rPr>
          <w:rFonts w:ascii="楷体_GB2312" w:eastAsia="楷体_GB2312" w:hAnsi="宋体"/>
          <w:sz w:val="36"/>
          <w:szCs w:val="36"/>
        </w:rPr>
      </w:pPr>
    </w:p>
    <w:p w:rsidR="00ED2FEA" w:rsidRDefault="00ED2FEA">
      <w:pPr>
        <w:jc w:val="center"/>
        <w:rPr>
          <w:rFonts w:ascii="楷体_GB2312" w:eastAsia="楷体_GB2312" w:hAnsi="宋体"/>
          <w:sz w:val="36"/>
          <w:szCs w:val="36"/>
        </w:rPr>
      </w:pPr>
    </w:p>
    <w:p w:rsidR="00ED2FEA" w:rsidRDefault="00ED2FEA">
      <w:pPr>
        <w:jc w:val="center"/>
        <w:rPr>
          <w:rFonts w:ascii="楷体_GB2312" w:eastAsia="楷体_GB2312" w:hAnsi="宋体"/>
          <w:sz w:val="36"/>
          <w:szCs w:val="36"/>
        </w:rPr>
      </w:pPr>
    </w:p>
    <w:p w:rsidR="00ED2FEA" w:rsidRDefault="00ED2FEA">
      <w:pPr>
        <w:jc w:val="center"/>
        <w:rPr>
          <w:rFonts w:ascii="楷体_GB2312" w:eastAsia="楷体_GB2312" w:hAnsi="宋体"/>
          <w:sz w:val="36"/>
          <w:szCs w:val="36"/>
        </w:rPr>
      </w:pPr>
    </w:p>
    <w:p w:rsidR="00ED2FEA" w:rsidRDefault="00ED2FEA">
      <w:pPr>
        <w:jc w:val="center"/>
        <w:rPr>
          <w:rFonts w:ascii="楷体_GB2312" w:eastAsia="楷体_GB2312" w:hAnsi="宋体"/>
          <w:sz w:val="36"/>
          <w:szCs w:val="36"/>
        </w:rPr>
      </w:pPr>
    </w:p>
    <w:p w:rsidR="00B361A9" w:rsidRPr="00145A2F" w:rsidRDefault="00C000B5" w:rsidP="00145A2F">
      <w:pPr>
        <w:ind w:firstLineChars="550" w:firstLine="1760"/>
        <w:rPr>
          <w:rFonts w:ascii="宋体" w:hAnsi="宋体" w:cs="宋体"/>
          <w:color w:val="000000"/>
          <w:kern w:val="0"/>
          <w:sz w:val="32"/>
          <w:szCs w:val="32"/>
        </w:rPr>
      </w:pPr>
      <w:r>
        <w:rPr>
          <w:rFonts w:ascii="仿宋_GB2312" w:eastAsia="仿宋_GB2312" w:cs="仿宋_GB2312" w:hint="eastAsia"/>
          <w:sz w:val="32"/>
          <w:szCs w:val="32"/>
        </w:rPr>
        <w:t>项目名称：</w:t>
      </w:r>
      <w:r w:rsidR="00145A2F" w:rsidRPr="00145A2F">
        <w:rPr>
          <w:rFonts w:ascii="仿宋_GB2312" w:eastAsia="仿宋_GB2312" w:hAnsi="宋体" w:cs="宋体" w:hint="eastAsia"/>
          <w:color w:val="000000"/>
          <w:kern w:val="0"/>
          <w:sz w:val="32"/>
          <w:szCs w:val="32"/>
        </w:rPr>
        <w:t>城管通数据终端（手机）通讯费</w:t>
      </w:r>
    </w:p>
    <w:p w:rsidR="00ED2FEA" w:rsidRDefault="00C000B5">
      <w:pPr>
        <w:spacing w:line="360" w:lineRule="auto"/>
        <w:ind w:firstLineChars="550" w:firstLine="1760"/>
        <w:rPr>
          <w:rFonts w:ascii="仿宋_GB2312" w:eastAsia="仿宋_GB2312"/>
          <w:sz w:val="32"/>
          <w:szCs w:val="32"/>
        </w:rPr>
      </w:pPr>
      <w:r>
        <w:rPr>
          <w:rFonts w:ascii="仿宋_GB2312" w:eastAsia="仿宋_GB2312" w:cs="仿宋_GB2312" w:hint="eastAsia"/>
          <w:sz w:val="32"/>
          <w:szCs w:val="32"/>
        </w:rPr>
        <w:t>主管部门（公章）：深圳市盐田区城市管理局</w:t>
      </w:r>
    </w:p>
    <w:p w:rsidR="00ED2FEA" w:rsidRDefault="00C000B5">
      <w:pPr>
        <w:spacing w:line="360" w:lineRule="auto"/>
        <w:ind w:firstLineChars="550" w:firstLine="1760"/>
        <w:rPr>
          <w:rFonts w:ascii="仿宋_GB2312" w:eastAsia="仿宋_GB2312"/>
          <w:sz w:val="32"/>
          <w:szCs w:val="32"/>
        </w:rPr>
      </w:pPr>
      <w:r>
        <w:rPr>
          <w:rFonts w:ascii="仿宋_GB2312" w:eastAsia="仿宋_GB2312" w:cs="仿宋_GB2312" w:hint="eastAsia"/>
          <w:sz w:val="32"/>
          <w:szCs w:val="32"/>
        </w:rPr>
        <w:t>项目负责人：</w:t>
      </w:r>
      <w:r w:rsidR="00145A2F">
        <w:rPr>
          <w:rFonts w:ascii="仿宋_GB2312" w:eastAsia="仿宋_GB2312" w:cs="仿宋_GB2312" w:hint="eastAsia"/>
          <w:sz w:val="32"/>
          <w:szCs w:val="32"/>
        </w:rPr>
        <w:t>王荣</w:t>
      </w:r>
    </w:p>
    <w:p w:rsidR="00ED2FEA" w:rsidRDefault="00C000B5">
      <w:pPr>
        <w:spacing w:line="360" w:lineRule="auto"/>
        <w:ind w:firstLineChars="550" w:firstLine="1760"/>
        <w:rPr>
          <w:rFonts w:ascii="仿宋_GB2312" w:eastAsia="仿宋_GB2312"/>
          <w:sz w:val="32"/>
          <w:szCs w:val="32"/>
        </w:rPr>
      </w:pPr>
      <w:r>
        <w:rPr>
          <w:rFonts w:ascii="仿宋_GB2312" w:eastAsia="仿宋_GB2312" w:cs="仿宋_GB2312" w:hint="eastAsia"/>
          <w:sz w:val="32"/>
          <w:szCs w:val="32"/>
        </w:rPr>
        <w:t>填报人：</w:t>
      </w:r>
      <w:r w:rsidR="00B361A9">
        <w:rPr>
          <w:rFonts w:ascii="仿宋_GB2312" w:eastAsia="仿宋_GB2312" w:cs="仿宋_GB2312" w:hint="eastAsia"/>
          <w:sz w:val="32"/>
          <w:szCs w:val="32"/>
        </w:rPr>
        <w:t>陈嘉敏</w:t>
      </w:r>
    </w:p>
    <w:p w:rsidR="00ED2FEA" w:rsidRDefault="00C000B5">
      <w:pPr>
        <w:spacing w:line="360" w:lineRule="auto"/>
        <w:ind w:firstLineChars="550" w:firstLine="1760"/>
        <w:rPr>
          <w:rFonts w:ascii="仿宋_GB2312" w:eastAsia="仿宋_GB2312"/>
          <w:sz w:val="32"/>
          <w:szCs w:val="32"/>
        </w:rPr>
      </w:pPr>
      <w:r>
        <w:rPr>
          <w:rFonts w:ascii="仿宋_GB2312" w:eastAsia="仿宋_GB2312" w:cs="仿宋_GB2312" w:hint="eastAsia"/>
          <w:sz w:val="32"/>
          <w:szCs w:val="32"/>
        </w:rPr>
        <w:t>联系电话：0755--25353752</w:t>
      </w:r>
    </w:p>
    <w:p w:rsidR="00ED2FEA" w:rsidRDefault="00ED2FEA">
      <w:pPr>
        <w:jc w:val="center"/>
        <w:rPr>
          <w:rFonts w:ascii="仿宋_GB2312" w:eastAsia="仿宋_GB2312"/>
          <w:sz w:val="32"/>
          <w:szCs w:val="32"/>
        </w:rPr>
      </w:pPr>
    </w:p>
    <w:p w:rsidR="00ED2FEA" w:rsidRDefault="00ED2FEA">
      <w:pPr>
        <w:jc w:val="center"/>
        <w:rPr>
          <w:rFonts w:ascii="楷体_GB2312" w:eastAsia="楷体_GB2312" w:hAnsi="宋体"/>
          <w:sz w:val="36"/>
          <w:szCs w:val="36"/>
        </w:rPr>
      </w:pPr>
    </w:p>
    <w:p w:rsidR="00ED2FEA" w:rsidRDefault="00ED2FEA">
      <w:pPr>
        <w:jc w:val="center"/>
        <w:rPr>
          <w:rFonts w:ascii="楷体_GB2312" w:eastAsia="楷体_GB2312" w:hAnsi="宋体"/>
          <w:sz w:val="36"/>
          <w:szCs w:val="36"/>
        </w:rPr>
      </w:pPr>
    </w:p>
    <w:p w:rsidR="00ED2FEA" w:rsidRDefault="00ED2FEA">
      <w:pPr>
        <w:rPr>
          <w:rFonts w:ascii="黑体" w:eastAsia="黑体" w:cs="黑体"/>
          <w:sz w:val="32"/>
          <w:szCs w:val="32"/>
        </w:rPr>
      </w:pPr>
    </w:p>
    <w:p w:rsidR="00ED2FEA" w:rsidRDefault="00C000B5">
      <w:pPr>
        <w:ind w:firstLineChars="200" w:firstLine="640"/>
        <w:rPr>
          <w:rFonts w:ascii="黑体" w:eastAsia="黑体"/>
          <w:sz w:val="32"/>
          <w:szCs w:val="32"/>
        </w:rPr>
      </w:pPr>
      <w:r>
        <w:rPr>
          <w:rFonts w:ascii="黑体" w:eastAsia="黑体" w:cs="黑体" w:hint="eastAsia"/>
          <w:sz w:val="32"/>
          <w:szCs w:val="32"/>
        </w:rPr>
        <w:lastRenderedPageBreak/>
        <w:t>一、项目概况</w:t>
      </w:r>
    </w:p>
    <w:p w:rsidR="00ED2FEA" w:rsidRDefault="00C000B5">
      <w:pPr>
        <w:ind w:firstLine="645"/>
        <w:rPr>
          <w:rFonts w:ascii="仿宋_GB2312" w:eastAsia="仿宋_GB2312" w:cs="仿宋_GB2312"/>
          <w:sz w:val="32"/>
          <w:szCs w:val="32"/>
        </w:rPr>
      </w:pPr>
      <w:bookmarkStart w:id="0" w:name="_GoBack"/>
      <w:bookmarkEnd w:id="0"/>
      <w:r>
        <w:rPr>
          <w:rFonts w:ascii="仿宋_GB2312" w:eastAsia="仿宋_GB2312" w:cs="仿宋_GB2312" w:hint="eastAsia"/>
          <w:sz w:val="32"/>
          <w:szCs w:val="32"/>
        </w:rPr>
        <w:t>（一）项目背景、立项依据。</w:t>
      </w:r>
    </w:p>
    <w:p w:rsidR="00ED2FEA" w:rsidRDefault="00C000B5">
      <w:pPr>
        <w:ind w:firstLine="645"/>
        <w:rPr>
          <w:rFonts w:ascii="仿宋_GB2312" w:eastAsia="仿宋_GB2312" w:cs="仿宋_GB2312"/>
          <w:sz w:val="32"/>
          <w:szCs w:val="32"/>
        </w:rPr>
      </w:pPr>
      <w:r>
        <w:rPr>
          <w:rFonts w:ascii="仿宋_GB2312" w:eastAsia="仿宋_GB2312" w:cs="仿宋_GB2312" w:hint="eastAsia"/>
          <w:sz w:val="32"/>
          <w:szCs w:val="32"/>
        </w:rPr>
        <w:t>1.项目背景</w:t>
      </w:r>
    </w:p>
    <w:p w:rsidR="00ED2FEA" w:rsidRDefault="00145A2F">
      <w:pPr>
        <w:ind w:firstLine="645"/>
        <w:rPr>
          <w:rFonts w:ascii="仿宋_GB2312" w:eastAsia="仿宋_GB2312" w:cs="仿宋_GB2312"/>
          <w:sz w:val="32"/>
          <w:szCs w:val="32"/>
        </w:rPr>
      </w:pPr>
      <w:r>
        <w:rPr>
          <w:rFonts w:ascii="仿宋_GB2312" w:eastAsia="仿宋_GB2312" w:cs="仿宋_GB2312" w:hint="eastAsia"/>
          <w:sz w:val="32"/>
          <w:szCs w:val="32"/>
        </w:rPr>
        <w:t>根据我中心职能，继续努力抓好中心智慧城管</w:t>
      </w:r>
      <w:r w:rsidR="00C000B5">
        <w:rPr>
          <w:rFonts w:ascii="仿宋_GB2312" w:eastAsia="仿宋_GB2312" w:cs="仿宋_GB2312" w:hint="eastAsia"/>
          <w:sz w:val="32"/>
          <w:szCs w:val="32"/>
        </w:rPr>
        <w:t>业务工作的正常开展，</w:t>
      </w:r>
      <w:r w:rsidR="008879A2" w:rsidRPr="00921294">
        <w:rPr>
          <w:rFonts w:hint="eastAsia"/>
          <w:sz w:val="32"/>
          <w:szCs w:val="32"/>
        </w:rPr>
        <w:t>城管通数据终端</w:t>
      </w:r>
      <w:r w:rsidR="008879A2" w:rsidRPr="00921294">
        <w:rPr>
          <w:rFonts w:hint="eastAsia"/>
          <w:sz w:val="32"/>
          <w:szCs w:val="32"/>
        </w:rPr>
        <w:t>(</w:t>
      </w:r>
      <w:r w:rsidR="008879A2" w:rsidRPr="00921294">
        <w:rPr>
          <w:rFonts w:hint="eastAsia"/>
          <w:sz w:val="32"/>
          <w:szCs w:val="32"/>
        </w:rPr>
        <w:t>手机）是为了确保智慧城管系统各级平台正常运行，保障工作的连续性、有序性及管理机制的充分发挥，提升盐田区城市管理水平，并且巩固盐田区城市管理在深圳各个区排名的领先地位</w:t>
      </w:r>
      <w:r w:rsidR="008879A2">
        <w:rPr>
          <w:rFonts w:hint="eastAsia"/>
          <w:sz w:val="32"/>
          <w:szCs w:val="32"/>
        </w:rPr>
        <w:t>的重要工作工具</w:t>
      </w:r>
      <w:r w:rsidR="00E46404">
        <w:rPr>
          <w:rFonts w:hint="eastAsia"/>
          <w:sz w:val="32"/>
          <w:szCs w:val="32"/>
        </w:rPr>
        <w:t>，</w:t>
      </w:r>
      <w:r w:rsidR="00C000B5">
        <w:rPr>
          <w:rFonts w:ascii="仿宋_GB2312" w:eastAsia="仿宋_GB2312" w:cs="仿宋_GB2312" w:hint="eastAsia"/>
          <w:sz w:val="32"/>
          <w:szCs w:val="32"/>
        </w:rPr>
        <w:t>并</w:t>
      </w:r>
      <w:r w:rsidR="00E46404">
        <w:rPr>
          <w:rFonts w:ascii="仿宋_GB2312" w:eastAsia="仿宋_GB2312" w:cs="仿宋_GB2312" w:hint="eastAsia"/>
          <w:sz w:val="32"/>
          <w:szCs w:val="32"/>
        </w:rPr>
        <w:t>且巩固盐田区城市管理在深圳各个区排名的领先地位。同时，将数据终端</w:t>
      </w:r>
      <w:r w:rsidR="00C000B5">
        <w:rPr>
          <w:rFonts w:ascii="仿宋_GB2312" w:eastAsia="仿宋_GB2312" w:cs="仿宋_GB2312" w:hint="eastAsia"/>
          <w:sz w:val="32"/>
          <w:szCs w:val="32"/>
        </w:rPr>
        <w:t>更深入地应用到城市管理过程中，使</w:t>
      </w:r>
      <w:r w:rsidR="00E46404">
        <w:rPr>
          <w:rFonts w:ascii="仿宋_GB2312" w:eastAsia="仿宋_GB2312" w:cs="仿宋_GB2312" w:hint="eastAsia"/>
          <w:sz w:val="32"/>
          <w:szCs w:val="32"/>
        </w:rPr>
        <w:t>数据终端</w:t>
      </w:r>
      <w:r w:rsidR="00C000B5">
        <w:rPr>
          <w:rFonts w:ascii="仿宋_GB2312" w:eastAsia="仿宋_GB2312" w:cs="仿宋_GB2312" w:hint="eastAsia"/>
          <w:sz w:val="32"/>
          <w:szCs w:val="32"/>
        </w:rPr>
        <w:t>服务于城市管理、服务于市民，最终实现“和谐深圳，和谐盐田”。</w:t>
      </w:r>
    </w:p>
    <w:p w:rsidR="00ED2FEA" w:rsidRDefault="00C000B5">
      <w:pPr>
        <w:ind w:firstLine="645"/>
        <w:rPr>
          <w:rFonts w:ascii="仿宋_GB2312" w:eastAsia="仿宋_GB2312" w:cs="仿宋_GB2312"/>
          <w:sz w:val="32"/>
          <w:szCs w:val="32"/>
        </w:rPr>
      </w:pPr>
      <w:r>
        <w:rPr>
          <w:rFonts w:ascii="仿宋_GB2312" w:eastAsia="仿宋_GB2312" w:cs="仿宋_GB2312" w:hint="eastAsia"/>
          <w:sz w:val="32"/>
          <w:szCs w:val="32"/>
        </w:rPr>
        <w:t>（二）项目管理的组织架构和职责分工。</w:t>
      </w:r>
    </w:p>
    <w:p w:rsidR="00ED2FEA" w:rsidRDefault="00C000B5">
      <w:pPr>
        <w:spacing w:line="360" w:lineRule="auto"/>
        <w:ind w:firstLineChars="200" w:firstLine="640"/>
        <w:rPr>
          <w:rFonts w:ascii="仿宋_GB2312" w:eastAsia="仿宋_GB2312"/>
          <w:sz w:val="32"/>
          <w:szCs w:val="32"/>
        </w:rPr>
      </w:pPr>
      <w:r>
        <w:rPr>
          <w:rFonts w:ascii="仿宋_GB2312" w:eastAsia="仿宋_GB2312" w:hint="eastAsia"/>
          <w:sz w:val="32"/>
          <w:szCs w:val="32"/>
        </w:rPr>
        <w:t>该项目主管部门为</w:t>
      </w:r>
      <w:r>
        <w:rPr>
          <w:rFonts w:ascii="仿宋_GB2312" w:eastAsia="仿宋_GB2312" w:hAnsi="仿宋_GB2312" w:cs="仿宋_GB2312" w:hint="eastAsia"/>
          <w:sz w:val="32"/>
          <w:szCs w:val="32"/>
        </w:rPr>
        <w:t>深圳市盐田区城市管理局</w:t>
      </w:r>
      <w:r>
        <w:rPr>
          <w:rFonts w:ascii="仿宋_GB2312" w:eastAsia="仿宋_GB2312" w:hint="eastAsia"/>
          <w:sz w:val="32"/>
          <w:szCs w:val="32"/>
        </w:rPr>
        <w:t>，项目实施单位为</w:t>
      </w:r>
      <w:r>
        <w:rPr>
          <w:rFonts w:ascii="仿宋_GB2312" w:eastAsia="仿宋_GB2312" w:hAnsi="仿宋_GB2312" w:cs="仿宋_GB2312" w:hint="eastAsia"/>
          <w:sz w:val="32"/>
          <w:szCs w:val="32"/>
        </w:rPr>
        <w:t>深圳市盐田区城市管理监督指挥中心</w:t>
      </w:r>
      <w:r>
        <w:rPr>
          <w:rFonts w:ascii="仿宋_GB2312" w:eastAsia="仿宋_GB2312" w:hint="eastAsia"/>
          <w:sz w:val="32"/>
          <w:szCs w:val="32"/>
        </w:rPr>
        <w:t>。</w:t>
      </w:r>
    </w:p>
    <w:p w:rsidR="00ED2FEA" w:rsidRDefault="00C000B5">
      <w:pPr>
        <w:spacing w:line="360" w:lineRule="auto"/>
        <w:ind w:firstLineChars="200" w:firstLine="640"/>
        <w:rPr>
          <w:rFonts w:ascii="宋体" w:hAnsi="宋体" w:cs="宋体"/>
          <w:kern w:val="0"/>
          <w:sz w:val="24"/>
          <w:szCs w:val="24"/>
        </w:rPr>
      </w:pPr>
      <w:r>
        <w:rPr>
          <w:rFonts w:ascii="仿宋_GB2312" w:eastAsia="仿宋_GB2312" w:hAnsi="仿宋_GB2312" w:cs="仿宋_GB2312" w:hint="eastAsia"/>
          <w:sz w:val="32"/>
          <w:szCs w:val="32"/>
        </w:rPr>
        <w:t>深圳市盐田区城市管理局：负责对深圳市盐田区城市管理监督指挥中心上报材料进行核准，并确定审核意见；对项</w:t>
      </w:r>
      <w:proofErr w:type="gramStart"/>
      <w:r>
        <w:rPr>
          <w:rFonts w:ascii="仿宋_GB2312" w:eastAsia="仿宋_GB2312" w:hAnsi="仿宋_GB2312" w:cs="仿宋_GB2312" w:hint="eastAsia"/>
          <w:sz w:val="32"/>
          <w:szCs w:val="32"/>
        </w:rPr>
        <w:t>目实施</w:t>
      </w:r>
      <w:proofErr w:type="gramEnd"/>
      <w:r>
        <w:rPr>
          <w:rFonts w:ascii="仿宋_GB2312" w:eastAsia="仿宋_GB2312" w:hAnsi="仿宋_GB2312" w:cs="仿宋_GB2312" w:hint="eastAsia"/>
          <w:sz w:val="32"/>
          <w:szCs w:val="32"/>
        </w:rPr>
        <w:t>进行监督检查。</w:t>
      </w:r>
    </w:p>
    <w:p w:rsidR="00ED2FEA" w:rsidRDefault="00C000B5">
      <w:pPr>
        <w:spacing w:line="360" w:lineRule="auto"/>
        <w:ind w:firstLineChars="200" w:firstLine="640"/>
        <w:rPr>
          <w:rFonts w:ascii="仿宋_GB2312" w:eastAsia="仿宋_GB2312" w:cs="仿宋_GB2312"/>
          <w:sz w:val="32"/>
          <w:szCs w:val="32"/>
        </w:rPr>
      </w:pPr>
      <w:r>
        <w:rPr>
          <w:rFonts w:ascii="仿宋_GB2312" w:eastAsia="仿宋_GB2312" w:hAnsi="仿宋_GB2312" w:cs="仿宋_GB2312" w:hint="eastAsia"/>
          <w:sz w:val="32"/>
          <w:szCs w:val="32"/>
        </w:rPr>
        <w:t>深圳市盐田区城市管理监督指挥中心：负责编制本项目的预算，并向深圳市盐田区城市管理局进行预算申报；负责项目日常监督与管理，跟进项目实施情况。</w:t>
      </w:r>
    </w:p>
    <w:p w:rsidR="00ED2FEA" w:rsidRDefault="00C000B5">
      <w:pPr>
        <w:ind w:firstLine="645"/>
        <w:rPr>
          <w:rFonts w:ascii="仿宋_GB2312" w:eastAsia="仿宋_GB2312" w:cs="仿宋_GB2312"/>
          <w:sz w:val="32"/>
          <w:szCs w:val="32"/>
        </w:rPr>
      </w:pPr>
      <w:r>
        <w:rPr>
          <w:rFonts w:ascii="仿宋_GB2312" w:eastAsia="仿宋_GB2312" w:cs="仿宋_GB2312" w:hint="eastAsia"/>
          <w:sz w:val="32"/>
          <w:szCs w:val="32"/>
        </w:rPr>
        <w:t>（三）项目资金管理情况。</w:t>
      </w:r>
    </w:p>
    <w:p w:rsidR="00ED2FEA" w:rsidRDefault="00C000B5">
      <w:pPr>
        <w:ind w:firstLine="645"/>
        <w:rPr>
          <w:rFonts w:ascii="仿宋_GB2312" w:eastAsia="仿宋_GB2312" w:cs="仿宋_GB2312"/>
          <w:sz w:val="32"/>
          <w:szCs w:val="32"/>
        </w:rPr>
      </w:pPr>
      <w:r>
        <w:rPr>
          <w:rFonts w:ascii="仿宋_GB2312" w:eastAsia="仿宋_GB2312" w:cs="仿宋_GB2312"/>
          <w:sz w:val="32"/>
          <w:szCs w:val="32"/>
        </w:rPr>
        <w:lastRenderedPageBreak/>
        <w:t>1.</w:t>
      </w:r>
      <w:r>
        <w:rPr>
          <w:rFonts w:ascii="仿宋_GB2312" w:eastAsia="仿宋_GB2312" w:cs="仿宋_GB2312" w:hint="eastAsia"/>
          <w:sz w:val="32"/>
          <w:szCs w:val="32"/>
        </w:rPr>
        <w:t>项目资金预算和分配情况。</w:t>
      </w:r>
    </w:p>
    <w:p w:rsidR="00ED2FEA" w:rsidRDefault="00C000B5">
      <w:pPr>
        <w:ind w:firstLine="645"/>
        <w:rPr>
          <w:rFonts w:ascii="仿宋_GB2312" w:eastAsia="仿宋_GB2312" w:cs="仿宋_GB2312"/>
          <w:sz w:val="32"/>
          <w:szCs w:val="32"/>
        </w:rPr>
      </w:pPr>
      <w:r>
        <w:rPr>
          <w:rFonts w:ascii="仿宋_GB2312" w:eastAsia="仿宋_GB2312" w:hint="eastAsia"/>
          <w:sz w:val="32"/>
          <w:szCs w:val="32"/>
        </w:rPr>
        <w:t>本项目主管部门是</w:t>
      </w:r>
      <w:r>
        <w:rPr>
          <w:rFonts w:ascii="仿宋_GB2312" w:eastAsia="仿宋_GB2312" w:hAnsi="仿宋_GB2312" w:cs="仿宋_GB2312" w:hint="eastAsia"/>
          <w:sz w:val="32"/>
          <w:szCs w:val="32"/>
        </w:rPr>
        <w:t>深圳市</w:t>
      </w:r>
      <w:r>
        <w:rPr>
          <w:rFonts w:ascii="仿宋_GB2312" w:eastAsia="仿宋_GB2312" w:hint="eastAsia"/>
          <w:sz w:val="32"/>
          <w:szCs w:val="32"/>
        </w:rPr>
        <w:t>盐田区城市管理局,使用单位是深圳市盐田区城市管理监督指挥中心。</w:t>
      </w:r>
      <w:r w:rsidR="008879A2">
        <w:rPr>
          <w:rFonts w:ascii="仿宋_GB2312" w:eastAsia="仿宋_GB2312" w:hint="eastAsia"/>
          <w:sz w:val="32"/>
          <w:szCs w:val="32"/>
        </w:rPr>
        <w:t>2019</w:t>
      </w:r>
      <w:r>
        <w:rPr>
          <w:rFonts w:ascii="仿宋_GB2312" w:eastAsia="仿宋_GB2312" w:hint="eastAsia"/>
          <w:sz w:val="32"/>
          <w:szCs w:val="32"/>
        </w:rPr>
        <w:t>年度本项目年初预算</w:t>
      </w:r>
      <w:r w:rsidR="008879A2">
        <w:rPr>
          <w:rFonts w:ascii="仿宋_GB2312" w:eastAsia="仿宋_GB2312" w:hint="eastAsia"/>
          <w:sz w:val="32"/>
          <w:szCs w:val="32"/>
        </w:rPr>
        <w:t>26</w:t>
      </w:r>
      <w:r>
        <w:rPr>
          <w:rFonts w:ascii="仿宋_GB2312" w:eastAsia="仿宋_GB2312" w:hint="eastAsia"/>
          <w:sz w:val="32"/>
          <w:szCs w:val="32"/>
        </w:rPr>
        <w:t>万元，实际支出</w:t>
      </w:r>
      <w:r w:rsidR="008879A2">
        <w:rPr>
          <w:rFonts w:ascii="仿宋_GB2312" w:eastAsia="仿宋_GB2312" w:hint="eastAsia"/>
          <w:sz w:val="32"/>
          <w:szCs w:val="32"/>
        </w:rPr>
        <w:t>2</w:t>
      </w:r>
      <w:r w:rsidR="00E46404">
        <w:rPr>
          <w:rFonts w:ascii="仿宋_GB2312" w:eastAsia="仿宋_GB2312" w:hint="eastAsia"/>
          <w:sz w:val="32"/>
          <w:szCs w:val="32"/>
        </w:rPr>
        <w:t>5.77</w:t>
      </w:r>
      <w:r>
        <w:rPr>
          <w:rFonts w:ascii="仿宋_GB2312" w:eastAsia="仿宋_GB2312" w:hint="eastAsia"/>
          <w:sz w:val="32"/>
          <w:szCs w:val="32"/>
        </w:rPr>
        <w:t>万元，预算执行率为</w:t>
      </w:r>
      <w:r w:rsidR="00E46404">
        <w:rPr>
          <w:rFonts w:ascii="仿宋_GB2312" w:eastAsia="仿宋_GB2312" w:hint="eastAsia"/>
          <w:sz w:val="32"/>
          <w:szCs w:val="32"/>
        </w:rPr>
        <w:t>99.12</w:t>
      </w:r>
      <w:r>
        <w:rPr>
          <w:rFonts w:ascii="仿宋_GB2312" w:eastAsia="仿宋_GB2312" w:hint="eastAsia"/>
          <w:sz w:val="32"/>
          <w:szCs w:val="32"/>
        </w:rPr>
        <w:t>%。截止201</w:t>
      </w:r>
      <w:r w:rsidR="00DF0067">
        <w:rPr>
          <w:rFonts w:ascii="仿宋_GB2312" w:eastAsia="仿宋_GB2312" w:hint="eastAsia"/>
          <w:sz w:val="32"/>
          <w:szCs w:val="32"/>
        </w:rPr>
        <w:t>9</w:t>
      </w:r>
      <w:r>
        <w:rPr>
          <w:rFonts w:ascii="仿宋_GB2312" w:eastAsia="仿宋_GB2312" w:hint="eastAsia"/>
          <w:sz w:val="32"/>
          <w:szCs w:val="32"/>
        </w:rPr>
        <w:t>年12月底，所有计划资金全部到位，共计2</w:t>
      </w:r>
      <w:r w:rsidR="008879A2">
        <w:rPr>
          <w:rFonts w:ascii="仿宋_GB2312" w:eastAsia="仿宋_GB2312" w:hint="eastAsia"/>
          <w:sz w:val="32"/>
          <w:szCs w:val="32"/>
        </w:rPr>
        <w:t>6</w:t>
      </w:r>
      <w:r>
        <w:rPr>
          <w:rFonts w:ascii="仿宋_GB2312" w:eastAsia="仿宋_GB2312" w:hint="eastAsia"/>
          <w:sz w:val="32"/>
          <w:szCs w:val="32"/>
        </w:rPr>
        <w:t>万元。</w:t>
      </w:r>
    </w:p>
    <w:p w:rsidR="00ED2FEA" w:rsidRDefault="00C000B5">
      <w:pPr>
        <w:ind w:firstLine="645"/>
        <w:rPr>
          <w:rFonts w:ascii="仿宋_GB2312" w:eastAsia="仿宋_GB2312" w:cs="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项目资金管理和使用情况。</w:t>
      </w:r>
    </w:p>
    <w:p w:rsidR="00ED2FEA" w:rsidRPr="008879A2" w:rsidRDefault="00C000B5" w:rsidP="008879A2">
      <w:pPr>
        <w:ind w:firstLineChars="200" w:firstLine="640"/>
        <w:rPr>
          <w:rFonts w:ascii="宋体" w:hAnsi="宋体" w:cs="宋体"/>
          <w:color w:val="000000"/>
          <w:kern w:val="0"/>
          <w:sz w:val="32"/>
          <w:szCs w:val="32"/>
        </w:rPr>
      </w:pPr>
      <w:r>
        <w:rPr>
          <w:rFonts w:ascii="仿宋_GB2312" w:eastAsia="仿宋_GB2312" w:hint="eastAsia"/>
          <w:sz w:val="32"/>
          <w:szCs w:val="32"/>
        </w:rPr>
        <w:t>截止</w:t>
      </w:r>
      <w:r w:rsidR="008879A2">
        <w:rPr>
          <w:rFonts w:ascii="仿宋_GB2312" w:eastAsia="仿宋_GB2312" w:hint="eastAsia"/>
          <w:sz w:val="32"/>
          <w:szCs w:val="32"/>
        </w:rPr>
        <w:t>2019</w:t>
      </w:r>
      <w:r>
        <w:rPr>
          <w:rFonts w:ascii="仿宋_GB2312" w:eastAsia="仿宋_GB2312" w:hint="eastAsia"/>
          <w:sz w:val="32"/>
          <w:szCs w:val="32"/>
        </w:rPr>
        <w:t>年12月31日，</w:t>
      </w:r>
      <w:r w:rsidR="008879A2" w:rsidRPr="00145A2F">
        <w:rPr>
          <w:rFonts w:ascii="仿宋_GB2312" w:eastAsia="仿宋_GB2312" w:hAnsi="宋体" w:cs="宋体" w:hint="eastAsia"/>
          <w:color w:val="000000"/>
          <w:kern w:val="0"/>
          <w:sz w:val="32"/>
          <w:szCs w:val="32"/>
        </w:rPr>
        <w:t>城管通数据终端（手机）通讯费</w:t>
      </w:r>
      <w:r>
        <w:rPr>
          <w:rFonts w:ascii="仿宋_GB2312" w:eastAsia="仿宋_GB2312" w:hint="eastAsia"/>
          <w:sz w:val="32"/>
          <w:szCs w:val="32"/>
        </w:rPr>
        <w:t>项目经费已基本全部支出，共计支出</w:t>
      </w:r>
      <w:r w:rsidR="00E46404">
        <w:rPr>
          <w:rFonts w:ascii="仿宋_GB2312" w:eastAsia="仿宋_GB2312" w:hint="eastAsia"/>
          <w:sz w:val="32"/>
          <w:szCs w:val="32"/>
        </w:rPr>
        <w:t>25.77</w:t>
      </w:r>
      <w:r>
        <w:rPr>
          <w:rFonts w:ascii="仿宋_GB2312" w:eastAsia="仿宋_GB2312" w:hint="eastAsia"/>
          <w:sz w:val="32"/>
          <w:szCs w:val="32"/>
        </w:rPr>
        <w:t>万元，预算执行率为</w:t>
      </w:r>
      <w:r w:rsidR="00E46404">
        <w:rPr>
          <w:rFonts w:ascii="仿宋_GB2312" w:eastAsia="仿宋_GB2312" w:hint="eastAsia"/>
          <w:sz w:val="32"/>
          <w:szCs w:val="32"/>
        </w:rPr>
        <w:t>99.12</w:t>
      </w:r>
      <w:r>
        <w:rPr>
          <w:rFonts w:ascii="仿宋_GB2312" w:eastAsia="仿宋_GB2312" w:hint="eastAsia"/>
          <w:sz w:val="32"/>
          <w:szCs w:val="32"/>
        </w:rPr>
        <w:t>%。</w:t>
      </w:r>
    </w:p>
    <w:p w:rsidR="00ED2FEA" w:rsidRDefault="00C000B5">
      <w:pPr>
        <w:ind w:firstLine="645"/>
        <w:rPr>
          <w:rFonts w:ascii="仿宋_GB2312" w:eastAsia="仿宋_GB2312"/>
          <w:sz w:val="32"/>
          <w:szCs w:val="32"/>
        </w:rPr>
      </w:pPr>
      <w:r>
        <w:rPr>
          <w:rFonts w:ascii="仿宋_GB2312" w:eastAsia="仿宋_GB2312"/>
          <w:sz w:val="32"/>
          <w:szCs w:val="32"/>
        </w:rPr>
        <w:t>为规范</w:t>
      </w:r>
      <w:r>
        <w:rPr>
          <w:rFonts w:ascii="仿宋_GB2312" w:eastAsia="仿宋_GB2312" w:hint="eastAsia"/>
          <w:sz w:val="32"/>
          <w:szCs w:val="32"/>
        </w:rPr>
        <w:t>我中心</w:t>
      </w:r>
      <w:r>
        <w:rPr>
          <w:rFonts w:ascii="仿宋_GB2312" w:eastAsia="仿宋_GB2312"/>
          <w:sz w:val="32"/>
          <w:szCs w:val="32"/>
        </w:rPr>
        <w:t>的财务行为，加强财务管理，提高资金使用效益，</w:t>
      </w:r>
      <w:r>
        <w:rPr>
          <w:rFonts w:ascii="仿宋_GB2312" w:eastAsia="仿宋_GB2312" w:hint="eastAsia"/>
          <w:sz w:val="32"/>
          <w:szCs w:val="32"/>
        </w:rPr>
        <w:t>我中心</w:t>
      </w:r>
      <w:r>
        <w:rPr>
          <w:rFonts w:ascii="仿宋_GB2312" w:eastAsia="仿宋_GB2312"/>
          <w:sz w:val="32"/>
          <w:szCs w:val="32"/>
        </w:rPr>
        <w:t>制定财务管理</w:t>
      </w:r>
      <w:r>
        <w:rPr>
          <w:rFonts w:ascii="仿宋_GB2312" w:eastAsia="仿宋_GB2312" w:hint="eastAsia"/>
          <w:sz w:val="32"/>
          <w:szCs w:val="32"/>
        </w:rPr>
        <w:t>、资产管理等</w:t>
      </w:r>
      <w:r>
        <w:rPr>
          <w:rFonts w:ascii="仿宋_GB2312" w:eastAsia="仿宋_GB2312"/>
          <w:sz w:val="32"/>
          <w:szCs w:val="32"/>
        </w:rPr>
        <w:t>制度</w:t>
      </w:r>
      <w:r>
        <w:rPr>
          <w:rFonts w:ascii="仿宋_GB2312" w:eastAsia="仿宋_GB2312" w:hint="eastAsia"/>
          <w:sz w:val="32"/>
          <w:szCs w:val="32"/>
        </w:rPr>
        <w:t>。该</w:t>
      </w:r>
      <w:r>
        <w:rPr>
          <w:rFonts w:ascii="仿宋_GB2312" w:eastAsia="仿宋_GB2312"/>
          <w:sz w:val="32"/>
          <w:szCs w:val="32"/>
        </w:rPr>
        <w:t>项目资金</w:t>
      </w:r>
      <w:r>
        <w:rPr>
          <w:rFonts w:ascii="仿宋_GB2312" w:eastAsia="仿宋_GB2312" w:hint="eastAsia"/>
          <w:sz w:val="32"/>
          <w:szCs w:val="32"/>
        </w:rPr>
        <w:t>的</w:t>
      </w:r>
      <w:r>
        <w:rPr>
          <w:rFonts w:ascii="仿宋_GB2312" w:eastAsia="仿宋_GB2312"/>
          <w:sz w:val="32"/>
          <w:szCs w:val="32"/>
        </w:rPr>
        <w:t>使用符合国家财经法规和财务管理规定，专款专用，资金拨付程序完整，原始凭证和记账凭证完整，未出现资金截留、挤占、挪用、虚列支出等情况。</w:t>
      </w:r>
    </w:p>
    <w:p w:rsidR="00ED2FEA" w:rsidRDefault="00C000B5">
      <w:pPr>
        <w:ind w:firstLine="645"/>
        <w:rPr>
          <w:rFonts w:ascii="仿宋_GB2312" w:eastAsia="仿宋_GB2312" w:cs="仿宋_GB2312"/>
          <w:sz w:val="32"/>
          <w:szCs w:val="32"/>
        </w:rPr>
      </w:pPr>
      <w:r>
        <w:rPr>
          <w:rFonts w:ascii="仿宋_GB2312" w:eastAsia="仿宋_GB2312" w:cs="仿宋_GB2312" w:hint="eastAsia"/>
          <w:sz w:val="32"/>
          <w:szCs w:val="32"/>
        </w:rPr>
        <w:t>（四）项目绩效目标及实现情况。</w:t>
      </w:r>
    </w:p>
    <w:p w:rsidR="00ED2FEA" w:rsidRDefault="00C000B5">
      <w:pPr>
        <w:ind w:firstLine="645"/>
        <w:rPr>
          <w:rFonts w:ascii="仿宋" w:eastAsia="仿宋" w:hAnsi="仿宋" w:cs="仿宋"/>
          <w:sz w:val="32"/>
          <w:szCs w:val="32"/>
        </w:rPr>
      </w:pPr>
      <w:r>
        <w:rPr>
          <w:rFonts w:ascii="仿宋" w:eastAsia="仿宋" w:hAnsi="仿宋" w:cs="仿宋" w:hint="eastAsia"/>
          <w:sz w:val="32"/>
          <w:szCs w:val="32"/>
        </w:rPr>
        <w:t>该项目</w:t>
      </w:r>
      <w:r w:rsidR="008879A2">
        <w:rPr>
          <w:rFonts w:ascii="仿宋" w:eastAsia="仿宋" w:hAnsi="仿宋" w:cs="仿宋" w:hint="eastAsia"/>
          <w:sz w:val="32"/>
          <w:szCs w:val="32"/>
        </w:rPr>
        <w:t>2019</w:t>
      </w:r>
      <w:r>
        <w:rPr>
          <w:rFonts w:ascii="仿宋" w:eastAsia="仿宋" w:hAnsi="仿宋" w:cs="仿宋" w:hint="eastAsia"/>
          <w:sz w:val="32"/>
          <w:szCs w:val="32"/>
        </w:rPr>
        <w:t>年的总体年度绩效目标一</w:t>
      </w:r>
      <w:r w:rsidR="003B331A">
        <w:rPr>
          <w:rFonts w:ascii="仿宋" w:eastAsia="仿宋" w:hAnsi="仿宋" w:cs="仿宋" w:hint="eastAsia"/>
          <w:sz w:val="32"/>
          <w:szCs w:val="32"/>
        </w:rPr>
        <w:t>是继续努力抓好中心平台业务工作的正常开展，保障数字化城管信息</w:t>
      </w:r>
      <w:r w:rsidR="00DF0067">
        <w:rPr>
          <w:rFonts w:ascii="仿宋" w:eastAsia="仿宋" w:hAnsi="仿宋" w:cs="仿宋" w:hint="eastAsia"/>
          <w:sz w:val="32"/>
          <w:szCs w:val="32"/>
        </w:rPr>
        <w:t>终端</w:t>
      </w:r>
      <w:r>
        <w:rPr>
          <w:rFonts w:ascii="仿宋" w:eastAsia="仿宋" w:hAnsi="仿宋" w:cs="仿宋" w:hint="eastAsia"/>
          <w:sz w:val="32"/>
          <w:szCs w:val="32"/>
        </w:rPr>
        <w:t>平稳运行；二是积极做好区市容环境考核工作，确保互联网+城市管理的考核取得好成绩；三是协助做好平台升级改造的前期准备工作，按照深圳市城管局有关智慧城管“十三五”规划纲要的要求完善升级改造方案，及时报送各种立项文案。</w:t>
      </w:r>
    </w:p>
    <w:p w:rsidR="00ED2FEA" w:rsidRDefault="00C000B5">
      <w:pPr>
        <w:ind w:firstLine="645"/>
        <w:rPr>
          <w:rFonts w:ascii="仿宋_GB2312" w:eastAsia="仿宋_GB2312"/>
          <w:sz w:val="32"/>
          <w:szCs w:val="32"/>
        </w:rPr>
      </w:pPr>
      <w:r>
        <w:rPr>
          <w:rFonts w:ascii="仿宋" w:eastAsia="仿宋" w:hAnsi="仿宋" w:cs="仿宋" w:hint="eastAsia"/>
          <w:sz w:val="32"/>
          <w:szCs w:val="32"/>
        </w:rPr>
        <w:lastRenderedPageBreak/>
        <w:t>我中心基本实现该项目</w:t>
      </w:r>
      <w:r w:rsidR="008879A2">
        <w:rPr>
          <w:rFonts w:ascii="仿宋" w:eastAsia="仿宋" w:hAnsi="仿宋" w:cs="仿宋" w:hint="eastAsia"/>
          <w:sz w:val="32"/>
          <w:szCs w:val="32"/>
        </w:rPr>
        <w:t>2019</w:t>
      </w:r>
      <w:r>
        <w:rPr>
          <w:rFonts w:ascii="仿宋" w:eastAsia="仿宋" w:hAnsi="仿宋" w:cs="仿宋" w:hint="eastAsia"/>
          <w:sz w:val="32"/>
          <w:szCs w:val="32"/>
        </w:rPr>
        <w:t>年的年度绩效目标。</w:t>
      </w:r>
    </w:p>
    <w:p w:rsidR="00ED2FEA" w:rsidRDefault="00C000B5">
      <w:pPr>
        <w:ind w:firstLine="645"/>
        <w:rPr>
          <w:rFonts w:ascii="黑体" w:eastAsia="黑体"/>
          <w:sz w:val="32"/>
          <w:szCs w:val="32"/>
        </w:rPr>
      </w:pPr>
      <w:r>
        <w:rPr>
          <w:rFonts w:ascii="黑体" w:eastAsia="黑体" w:cs="黑体" w:hint="eastAsia"/>
          <w:sz w:val="32"/>
          <w:szCs w:val="32"/>
        </w:rPr>
        <w:t>二、项目绩效评价结论和分析</w:t>
      </w:r>
    </w:p>
    <w:p w:rsidR="00ED2FEA" w:rsidRDefault="00C000B5">
      <w:pPr>
        <w:ind w:firstLine="645"/>
        <w:rPr>
          <w:rFonts w:ascii="仿宋_GB2312" w:eastAsia="仿宋_GB2312" w:cs="仿宋_GB2312"/>
          <w:sz w:val="32"/>
          <w:szCs w:val="32"/>
        </w:rPr>
      </w:pPr>
      <w:r>
        <w:rPr>
          <w:rFonts w:ascii="仿宋_GB2312" w:eastAsia="仿宋_GB2312" w:cs="仿宋_GB2312" w:hint="eastAsia"/>
          <w:sz w:val="32"/>
          <w:szCs w:val="32"/>
        </w:rPr>
        <w:t>（一）项目绩效评价结论。</w:t>
      </w:r>
    </w:p>
    <w:p w:rsidR="00ED2FEA" w:rsidRPr="008879A2" w:rsidRDefault="00C000B5" w:rsidP="003B331A">
      <w:pPr>
        <w:ind w:firstLineChars="200" w:firstLine="640"/>
        <w:rPr>
          <w:rFonts w:ascii="宋体" w:hAnsi="宋体" w:cs="宋体"/>
          <w:color w:val="000000"/>
          <w:kern w:val="0"/>
          <w:sz w:val="32"/>
          <w:szCs w:val="32"/>
        </w:rPr>
      </w:pPr>
      <w:r>
        <w:rPr>
          <w:rFonts w:ascii="仿宋_GB2312" w:eastAsia="仿宋_GB2312" w:hAnsi="仿宋_GB2312" w:cs="仿宋_GB2312" w:hint="eastAsia"/>
          <w:sz w:val="32"/>
          <w:szCs w:val="32"/>
        </w:rPr>
        <w:t>本单位</w:t>
      </w:r>
      <w:r w:rsidR="008879A2">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年度</w:t>
      </w:r>
      <w:r w:rsidR="008879A2" w:rsidRPr="00145A2F">
        <w:rPr>
          <w:rFonts w:ascii="仿宋_GB2312" w:eastAsia="仿宋_GB2312" w:hAnsi="宋体" w:cs="宋体" w:hint="eastAsia"/>
          <w:color w:val="000000"/>
          <w:kern w:val="0"/>
          <w:sz w:val="32"/>
          <w:szCs w:val="32"/>
        </w:rPr>
        <w:t>城管通数据终端（手机）通讯费</w:t>
      </w:r>
      <w:r w:rsidR="003B331A">
        <w:rPr>
          <w:rFonts w:ascii="仿宋_GB2312" w:eastAsia="仿宋_GB2312" w:hAnsi="仿宋_GB2312" w:cs="仿宋_GB2312" w:hint="eastAsia"/>
          <w:sz w:val="32"/>
          <w:szCs w:val="32"/>
        </w:rPr>
        <w:t>项目支出整体情况较好，</w:t>
      </w:r>
      <w:r>
        <w:rPr>
          <w:rFonts w:ascii="仿宋_GB2312" w:eastAsia="仿宋_GB2312" w:hAnsi="仿宋_GB2312" w:cs="仿宋_GB2312" w:hint="eastAsia"/>
          <w:sz w:val="32"/>
          <w:szCs w:val="32"/>
        </w:rPr>
        <w:t>完成了年度工作目标，充分发挥了该项目的实施作用。总体来看，项目实施进度正常，财政资金及时足额到位，项目目标任务按时按质完成，项目在资金管理、实施过程方面均取得了良好的成绩。从评价情况来看，项目支出绩效情况较为理想，达到了项目申请时设定的绩效目标。</w:t>
      </w:r>
    </w:p>
    <w:p w:rsidR="00ED2FEA" w:rsidRDefault="00C000B5">
      <w:pPr>
        <w:spacing w:line="600" w:lineRule="exact"/>
        <w:ind w:firstLineChars="200" w:firstLine="640"/>
        <w:jc w:val="left"/>
        <w:rPr>
          <w:rFonts w:ascii="仿宋_GB2312" w:eastAsia="仿宋_GB2312"/>
          <w:sz w:val="32"/>
          <w:szCs w:val="32"/>
        </w:rPr>
      </w:pPr>
      <w:r>
        <w:rPr>
          <w:rFonts w:ascii="仿宋_GB2312" w:eastAsia="仿宋_GB2312" w:cs="仿宋_GB2312" w:hint="eastAsia"/>
          <w:sz w:val="32"/>
          <w:szCs w:val="32"/>
        </w:rPr>
        <w:t>（二）项目绩效分析。</w:t>
      </w:r>
    </w:p>
    <w:p w:rsidR="00ED2FEA" w:rsidRDefault="00C000B5">
      <w:pPr>
        <w:spacing w:line="600" w:lineRule="exact"/>
        <w:ind w:firstLineChars="200" w:firstLine="640"/>
        <w:jc w:val="left"/>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从项目决策角度分析。</w:t>
      </w:r>
    </w:p>
    <w:p w:rsidR="00ED2FEA" w:rsidRDefault="00C000B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该项目的项目目标设立与本单位履职相适应，立项文件符合经济社会发展规划和部门年度工作计划，符合本单位中长期实施规划。但绩效目标有待进一步明确细化。</w:t>
      </w:r>
    </w:p>
    <w:p w:rsidR="00ED2FEA" w:rsidRDefault="00C000B5">
      <w:pPr>
        <w:spacing w:line="360" w:lineRule="auto"/>
        <w:ind w:firstLineChars="200" w:firstLine="640"/>
        <w:rPr>
          <w:rFonts w:ascii="仿宋_GB2312" w:eastAsia="仿宋_GB2312" w:cs="仿宋_GB2312"/>
          <w:sz w:val="32"/>
          <w:szCs w:val="32"/>
        </w:rPr>
      </w:pPr>
      <w:r>
        <w:rPr>
          <w:rFonts w:ascii="仿宋_GB2312" w:eastAsia="仿宋_GB2312" w:hAnsi="仿宋_GB2312" w:cs="仿宋_GB2312" w:hint="eastAsia"/>
          <w:sz w:val="32"/>
          <w:szCs w:val="32"/>
        </w:rPr>
        <w:t>在项目决策过程中，本单位严格按照相关决策制度履行相应手续，项目决策过程合法合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。同时，依据相关</w:t>
      </w:r>
      <w:r>
        <w:rPr>
          <w:rFonts w:ascii="仿宋_GB2312" w:eastAsia="仿宋_GB2312" w:hAnsi="仿宋_GB2312" w:cs="仿宋_GB2312" w:hint="eastAsia"/>
          <w:bCs/>
          <w:sz w:val="32"/>
          <w:szCs w:val="32"/>
          <w:shd w:val="clear" w:color="auto" w:fill="FFFFFF"/>
        </w:rPr>
        <w:t>资金管理办法规定，充分考虑</w:t>
      </w:r>
      <w:r>
        <w:rPr>
          <w:rFonts w:ascii="仿宋_GB2312" w:eastAsia="仿宋_GB2312" w:cs="仿宋_GB2312" w:hint="eastAsia"/>
          <w:sz w:val="32"/>
          <w:szCs w:val="32"/>
        </w:rPr>
        <w:t>资金分配因素，</w:t>
      </w:r>
      <w:r>
        <w:rPr>
          <w:rFonts w:ascii="仿宋_GB2312" w:eastAsia="仿宋_GB2312" w:hAnsi="仿宋_GB2312" w:cs="仿宋_GB2312" w:hint="eastAsia"/>
          <w:sz w:val="32"/>
          <w:szCs w:val="32"/>
        </w:rPr>
        <w:t>科学合理分配项目资金。</w:t>
      </w:r>
    </w:p>
    <w:p w:rsidR="00ED2FEA" w:rsidRDefault="00C000B5">
      <w:pPr>
        <w:spacing w:line="600" w:lineRule="exact"/>
        <w:ind w:firstLineChars="200" w:firstLine="640"/>
        <w:jc w:val="left"/>
        <w:rPr>
          <w:rFonts w:ascii="仿宋_GB2312" w:eastAsia="仿宋_GB2312" w:cs="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从项目管理角度分析。</w:t>
      </w:r>
    </w:p>
    <w:p w:rsidR="00ED2FEA" w:rsidRDefault="008879A2">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w:t>
      </w:r>
      <w:r w:rsidR="00C000B5">
        <w:rPr>
          <w:rFonts w:ascii="仿宋_GB2312" w:eastAsia="仿宋_GB2312" w:hAnsi="仿宋_GB2312" w:cs="仿宋_GB2312" w:hint="eastAsia"/>
          <w:sz w:val="32"/>
          <w:szCs w:val="32"/>
        </w:rPr>
        <w:t>年该项目资金共安排</w:t>
      </w:r>
      <w:r>
        <w:rPr>
          <w:rFonts w:ascii="仿宋_GB2312" w:eastAsia="仿宋_GB2312" w:hAnsi="仿宋_GB2312" w:cs="仿宋_GB2312" w:hint="eastAsia"/>
          <w:sz w:val="32"/>
          <w:szCs w:val="32"/>
        </w:rPr>
        <w:t>26</w:t>
      </w:r>
      <w:r w:rsidR="00C000B5">
        <w:rPr>
          <w:rFonts w:ascii="仿宋_GB2312" w:eastAsia="仿宋_GB2312" w:hAnsi="仿宋_GB2312" w:cs="仿宋_GB2312" w:hint="eastAsia"/>
          <w:sz w:val="32"/>
          <w:szCs w:val="32"/>
        </w:rPr>
        <w:t>万</w:t>
      </w:r>
      <w:r w:rsidR="00C000B5">
        <w:rPr>
          <w:rFonts w:ascii="仿宋_GB2312" w:eastAsia="仿宋_GB2312" w:hAnsi="仿宋_GB2312" w:cs="仿宋_GB2312"/>
          <w:sz w:val="32"/>
          <w:szCs w:val="32"/>
        </w:rPr>
        <w:t>元</w:t>
      </w:r>
      <w:r w:rsidR="00C000B5">
        <w:rPr>
          <w:rFonts w:ascii="仿宋_GB2312" w:eastAsia="仿宋_GB2312" w:hAnsi="仿宋_GB2312" w:cs="仿宋_GB2312" w:hint="eastAsia"/>
          <w:sz w:val="32"/>
          <w:szCs w:val="32"/>
        </w:rPr>
        <w:t>，实际到</w:t>
      </w:r>
      <w:r w:rsidR="00E46404">
        <w:rPr>
          <w:rFonts w:ascii="仿宋_GB2312" w:eastAsia="仿宋_GB2312" w:hAnsi="仿宋_GB2312" w:cs="仿宋_GB2312" w:hint="eastAsia"/>
          <w:sz w:val="32"/>
          <w:szCs w:val="32"/>
        </w:rPr>
        <w:t>26</w:t>
      </w:r>
      <w:r w:rsidR="00C000B5">
        <w:rPr>
          <w:rFonts w:ascii="仿宋_GB2312" w:eastAsia="仿宋_GB2312" w:hAnsi="仿宋_GB2312" w:cs="仿宋_GB2312" w:hint="eastAsia"/>
          <w:sz w:val="32"/>
          <w:szCs w:val="32"/>
        </w:rPr>
        <w:t>万</w:t>
      </w:r>
      <w:r w:rsidR="00C000B5">
        <w:rPr>
          <w:rFonts w:ascii="仿宋_GB2312" w:eastAsia="仿宋_GB2312" w:hAnsi="仿宋_GB2312" w:cs="仿宋_GB2312"/>
          <w:sz w:val="32"/>
          <w:szCs w:val="32"/>
        </w:rPr>
        <w:t>元</w:t>
      </w:r>
      <w:r w:rsidR="00C000B5">
        <w:rPr>
          <w:rFonts w:ascii="仿宋_GB2312" w:eastAsia="仿宋_GB2312" w:hAnsi="仿宋_GB2312" w:cs="仿宋_GB2312" w:hint="eastAsia"/>
          <w:sz w:val="32"/>
          <w:szCs w:val="32"/>
        </w:rPr>
        <w:t>，支出</w:t>
      </w:r>
      <w:r w:rsidR="00E46404">
        <w:rPr>
          <w:rFonts w:ascii="仿宋_GB2312" w:eastAsia="仿宋_GB2312" w:hAnsi="仿宋_GB2312" w:cs="仿宋_GB2312" w:hint="eastAsia"/>
          <w:sz w:val="32"/>
          <w:szCs w:val="32"/>
        </w:rPr>
        <w:t>25.77</w:t>
      </w:r>
      <w:r w:rsidR="00C000B5">
        <w:rPr>
          <w:rFonts w:ascii="仿宋_GB2312" w:eastAsia="仿宋_GB2312" w:hAnsi="仿宋_GB2312" w:cs="仿宋_GB2312" w:hint="eastAsia"/>
          <w:sz w:val="32"/>
          <w:szCs w:val="32"/>
        </w:rPr>
        <w:t>万元，预算执行率为</w:t>
      </w:r>
      <w:r w:rsidR="00E46404">
        <w:rPr>
          <w:rFonts w:ascii="仿宋_GB2312" w:eastAsia="仿宋_GB2312" w:hAnsi="仿宋_GB2312" w:cs="仿宋_GB2312" w:hint="eastAsia"/>
          <w:sz w:val="32"/>
          <w:szCs w:val="32"/>
        </w:rPr>
        <w:t>99.12</w:t>
      </w:r>
      <w:r w:rsidR="00C000B5">
        <w:rPr>
          <w:rFonts w:ascii="仿宋_GB2312" w:eastAsia="仿宋_GB2312" w:hAnsi="仿宋_GB2312" w:cs="仿宋_GB2312" w:hint="eastAsia"/>
          <w:sz w:val="32"/>
          <w:szCs w:val="32"/>
        </w:rPr>
        <w:t>%。该项目严格执行本单位财务管理制度等相关制度，资金支出依据充足，不存在虚</w:t>
      </w:r>
      <w:r w:rsidR="00C000B5">
        <w:rPr>
          <w:rFonts w:ascii="仿宋_GB2312" w:eastAsia="仿宋_GB2312" w:hAnsi="仿宋_GB2312" w:cs="仿宋_GB2312" w:hint="eastAsia"/>
          <w:sz w:val="32"/>
          <w:szCs w:val="32"/>
        </w:rPr>
        <w:lastRenderedPageBreak/>
        <w:t>列项目支出、截留、挤占、挪用、超标准支出等情况。</w:t>
      </w:r>
    </w:p>
    <w:p w:rsidR="00ED2FEA" w:rsidRDefault="00C000B5">
      <w:pPr>
        <w:spacing w:line="360" w:lineRule="auto"/>
        <w:ind w:firstLineChars="200" w:firstLine="640"/>
        <w:rPr>
          <w:rFonts w:ascii="仿宋_GB2312" w:eastAsia="仿宋_GB2312" w:cs="仿宋_GB2312"/>
          <w:sz w:val="32"/>
          <w:szCs w:val="32"/>
        </w:rPr>
      </w:pPr>
      <w:r>
        <w:rPr>
          <w:rFonts w:ascii="仿宋_GB2312" w:eastAsia="仿宋_GB2312" w:hAnsi="仿宋_GB2312" w:cs="仿宋_GB2312" w:hint="eastAsia"/>
          <w:sz w:val="32"/>
          <w:szCs w:val="32"/>
        </w:rPr>
        <w:t>该项目组织实施规范。本单位建立健全、分工明确的项目组织机构，项目实施过程中，严格执行有关项目管理制度。</w:t>
      </w:r>
    </w:p>
    <w:p w:rsidR="00ED2FEA" w:rsidRDefault="00C000B5">
      <w:pPr>
        <w:spacing w:line="600" w:lineRule="exact"/>
        <w:ind w:firstLineChars="200" w:firstLine="640"/>
        <w:jc w:val="left"/>
        <w:rPr>
          <w:rFonts w:ascii="仿宋_GB2312" w:eastAsia="仿宋_GB2312"/>
          <w:color w:val="FF0000"/>
          <w:sz w:val="32"/>
          <w:szCs w:val="32"/>
        </w:rPr>
      </w:pPr>
      <w:r>
        <w:rPr>
          <w:rFonts w:ascii="仿宋_GB2312" w:eastAsia="仿宋_GB2312" w:cs="仿宋_GB2312"/>
          <w:sz w:val="32"/>
          <w:szCs w:val="32"/>
        </w:rPr>
        <w:t>3.</w:t>
      </w:r>
      <w:r>
        <w:rPr>
          <w:rFonts w:ascii="仿宋_GB2312" w:eastAsia="仿宋_GB2312" w:cs="仿宋_GB2312" w:hint="eastAsia"/>
          <w:sz w:val="32"/>
          <w:szCs w:val="32"/>
        </w:rPr>
        <w:t>从项目绩效角度分析。</w:t>
      </w:r>
    </w:p>
    <w:p w:rsidR="00ED2FEA" w:rsidRDefault="00C000B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（1）项目产出数量目标。数字化城管部件、事件立案总数35万宗以上，事件案件结案率、处理率、公众投诉处理率都达到99%以上。</w:t>
      </w:r>
    </w:p>
    <w:p w:rsidR="00ED2FEA" w:rsidRDefault="00C000B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（2）项目产出质量目标。201</w:t>
      </w:r>
      <w:r w:rsidR="008879A2">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年数字化城管部件、事件案件结案率、处理率名列全市第一。</w:t>
      </w:r>
    </w:p>
    <w:p w:rsidR="00ED2FEA" w:rsidRDefault="00C000B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（3）项目产出时效目标。该项目已按照项目计划及时完成各项工作，项目完成及时率达</w:t>
      </w:r>
      <w:r w:rsidR="00E46404">
        <w:rPr>
          <w:rFonts w:ascii="仿宋_GB2312" w:eastAsia="仿宋_GB2312" w:hAnsi="仿宋_GB2312" w:cs="仿宋_GB2312" w:hint="eastAsia"/>
          <w:sz w:val="32"/>
          <w:szCs w:val="32"/>
        </w:rPr>
        <w:t>99.12</w:t>
      </w:r>
      <w:r>
        <w:rPr>
          <w:rFonts w:ascii="仿宋_GB2312" w:eastAsia="仿宋_GB2312" w:hAnsi="仿宋_GB2312" w:cs="仿宋_GB2312" w:hint="eastAsia"/>
          <w:sz w:val="32"/>
          <w:szCs w:val="32"/>
        </w:rPr>
        <w:t>%。</w:t>
      </w:r>
    </w:p>
    <w:p w:rsidR="00ED2FEA" w:rsidRDefault="00C000B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（4）项目产出成本目标。该项目预算控制较好，项目支出均控制在预算支出范围内，不存在项目超出预算支出的情况。</w:t>
      </w:r>
    </w:p>
    <w:p w:rsidR="00ED2FEA" w:rsidRDefault="00C000B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（5）项目社会效益。</w:t>
      </w:r>
      <w:r w:rsidR="0036422B" w:rsidRPr="00145A2F">
        <w:rPr>
          <w:rFonts w:ascii="仿宋_GB2312" w:eastAsia="仿宋_GB2312" w:hAnsi="宋体" w:cs="宋体" w:hint="eastAsia"/>
          <w:color w:val="000000"/>
          <w:kern w:val="0"/>
          <w:sz w:val="32"/>
          <w:szCs w:val="32"/>
        </w:rPr>
        <w:t>城管通数据终端</w:t>
      </w:r>
      <w:r>
        <w:rPr>
          <w:rFonts w:ascii="仿宋_GB2312" w:eastAsia="仿宋_GB2312" w:hAnsi="仿宋_GB2312" w:cs="仿宋_GB2312" w:hint="eastAsia"/>
          <w:sz w:val="32"/>
          <w:szCs w:val="32"/>
        </w:rPr>
        <w:t>是我中心开展工作的核心，是实现盐田区互联网+的基础建设之一。</w:t>
      </w:r>
      <w:r w:rsidR="0036422B" w:rsidRPr="00145A2F">
        <w:rPr>
          <w:rFonts w:ascii="仿宋_GB2312" w:eastAsia="仿宋_GB2312" w:hAnsi="宋体" w:cs="宋体" w:hint="eastAsia"/>
          <w:color w:val="000000"/>
          <w:kern w:val="0"/>
          <w:sz w:val="32"/>
          <w:szCs w:val="32"/>
        </w:rPr>
        <w:t>城管通数据终端</w:t>
      </w:r>
      <w:r>
        <w:rPr>
          <w:rFonts w:ascii="仿宋_GB2312" w:eastAsia="仿宋_GB2312" w:hAnsi="仿宋_GB2312" w:cs="仿宋_GB2312" w:hint="eastAsia"/>
          <w:sz w:val="32"/>
          <w:szCs w:val="32"/>
        </w:rPr>
        <w:t xml:space="preserve">提高了城市管理工作水平，减少城市管理成本，提高市容环境，吸收更多人才，为建设更加美好城区贡献力量。　 </w:t>
      </w:r>
    </w:p>
    <w:p w:rsidR="00ED2FEA" w:rsidRDefault="00C000B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（6）服务对象满意度。本单位针对该项目服务对象以问卷调查方式，了解其对项目实施效果的满意程度。根据调查结果显示，服务对象对项目实施过程及结果满意度较高。</w:t>
      </w:r>
    </w:p>
    <w:p w:rsidR="00ED2FEA" w:rsidRDefault="00C000B5">
      <w:pPr>
        <w:ind w:firstLine="645"/>
        <w:rPr>
          <w:rFonts w:ascii="仿宋_GB2312" w:eastAsia="仿宋_GB2312" w:cs="仿宋_GB2312"/>
          <w:sz w:val="32"/>
          <w:szCs w:val="32"/>
        </w:rPr>
      </w:pPr>
      <w:r>
        <w:rPr>
          <w:rFonts w:ascii="仿宋_GB2312" w:eastAsia="仿宋_GB2312" w:hAnsi="仿宋" w:cs="仿宋_GB2312"/>
          <w:kern w:val="0"/>
          <w:sz w:val="32"/>
          <w:szCs w:val="32"/>
        </w:rPr>
        <w:t>4</w:t>
      </w:r>
      <w:r>
        <w:rPr>
          <w:rFonts w:ascii="仿宋_GB2312" w:eastAsia="仿宋_GB2312" w:cs="仿宋_GB2312"/>
          <w:sz w:val="32"/>
          <w:szCs w:val="32"/>
        </w:rPr>
        <w:t>.</w:t>
      </w:r>
      <w:r>
        <w:rPr>
          <w:rFonts w:ascii="仿宋_GB2312" w:eastAsia="仿宋_GB2312" w:cs="仿宋_GB2312" w:hint="eastAsia"/>
          <w:sz w:val="32"/>
          <w:szCs w:val="32"/>
        </w:rPr>
        <w:t>项目绩效目标未完成的，应进行原因分析。</w:t>
      </w:r>
    </w:p>
    <w:p w:rsidR="00ED2FEA" w:rsidRPr="008879A2" w:rsidRDefault="008879A2" w:rsidP="008879A2">
      <w:pPr>
        <w:ind w:firstLineChars="200" w:firstLine="640"/>
        <w:rPr>
          <w:rFonts w:ascii="宋体" w:hAnsi="宋体" w:cs="宋体"/>
          <w:color w:val="000000"/>
          <w:kern w:val="0"/>
          <w:sz w:val="32"/>
          <w:szCs w:val="32"/>
        </w:rPr>
      </w:pPr>
      <w:r>
        <w:rPr>
          <w:rFonts w:ascii="仿宋_GB2312" w:eastAsia="仿宋_GB2312" w:hAnsi="仿宋_GB2312" w:cs="仿宋_GB2312" w:hint="eastAsia"/>
          <w:sz w:val="32"/>
          <w:szCs w:val="32"/>
        </w:rPr>
        <w:lastRenderedPageBreak/>
        <w:t>2019</w:t>
      </w:r>
      <w:r w:rsidR="00C000B5">
        <w:rPr>
          <w:rFonts w:ascii="仿宋_GB2312" w:eastAsia="仿宋_GB2312" w:hAnsi="仿宋_GB2312" w:cs="仿宋_GB2312" w:hint="eastAsia"/>
          <w:sz w:val="32"/>
          <w:szCs w:val="32"/>
        </w:rPr>
        <w:t>年度</w:t>
      </w:r>
      <w:r w:rsidRPr="00145A2F">
        <w:rPr>
          <w:rFonts w:ascii="仿宋_GB2312" w:eastAsia="仿宋_GB2312" w:hAnsi="宋体" w:cs="宋体" w:hint="eastAsia"/>
          <w:color w:val="000000"/>
          <w:kern w:val="0"/>
          <w:sz w:val="32"/>
          <w:szCs w:val="32"/>
        </w:rPr>
        <w:t>城管通数据终端（手机）通讯</w:t>
      </w:r>
      <w:r w:rsidR="00C000B5">
        <w:rPr>
          <w:rFonts w:ascii="仿宋_GB2312" w:eastAsia="仿宋_GB2312" w:hAnsi="仿宋_GB2312" w:cs="仿宋_GB2312" w:hint="eastAsia"/>
          <w:sz w:val="32"/>
          <w:szCs w:val="32"/>
        </w:rPr>
        <w:t>费项目资金支出进度原定目标值：</w:t>
      </w:r>
      <w:r>
        <w:rPr>
          <w:rFonts w:ascii="仿宋_GB2312" w:eastAsia="仿宋_GB2312" w:hAnsi="仿宋_GB2312" w:cs="仿宋_GB2312" w:hint="eastAsia"/>
          <w:sz w:val="32"/>
          <w:szCs w:val="32"/>
        </w:rPr>
        <w:t>26</w:t>
      </w:r>
      <w:r w:rsidR="00C000B5">
        <w:rPr>
          <w:rFonts w:ascii="仿宋_GB2312" w:eastAsia="仿宋_GB2312" w:hAnsi="仿宋_GB2312" w:cs="仿宋_GB2312" w:hint="eastAsia"/>
          <w:sz w:val="32"/>
          <w:szCs w:val="32"/>
        </w:rPr>
        <w:t>万元/年。</w:t>
      </w:r>
      <w:r>
        <w:rPr>
          <w:rFonts w:ascii="仿宋_GB2312" w:eastAsia="仿宋_GB2312" w:hAnsi="仿宋_GB2312" w:cs="仿宋_GB2312" w:hint="eastAsia"/>
          <w:sz w:val="32"/>
          <w:szCs w:val="32"/>
        </w:rPr>
        <w:t>年未一次性</w:t>
      </w:r>
      <w:r w:rsidR="00C000B5">
        <w:rPr>
          <w:rFonts w:ascii="仿宋_GB2312" w:eastAsia="仿宋_GB2312" w:hAnsi="仿宋_GB2312" w:cs="仿宋_GB2312" w:hint="eastAsia"/>
          <w:sz w:val="32"/>
          <w:szCs w:val="32"/>
        </w:rPr>
        <w:t>支付完毕。</w:t>
      </w:r>
      <w:r>
        <w:rPr>
          <w:rFonts w:ascii="仿宋_GB2312" w:eastAsia="仿宋_GB2312" w:hAnsi="仿宋_GB2312" w:cs="仿宋_GB2312" w:hint="eastAsia"/>
          <w:sz w:val="32"/>
          <w:szCs w:val="32"/>
        </w:rPr>
        <w:t>2019</w:t>
      </w:r>
      <w:r w:rsidR="00C000B5">
        <w:rPr>
          <w:rFonts w:ascii="仿宋_GB2312" w:eastAsia="仿宋_GB2312" w:hAnsi="仿宋_GB2312" w:cs="仿宋_GB2312" w:hint="eastAsia"/>
          <w:sz w:val="32"/>
          <w:szCs w:val="32"/>
        </w:rPr>
        <w:t>年完成情况：共支付</w:t>
      </w:r>
      <w:r w:rsidR="00E46404">
        <w:rPr>
          <w:rFonts w:ascii="仿宋_GB2312" w:eastAsia="仿宋_GB2312" w:hAnsi="仿宋_GB2312" w:cs="仿宋_GB2312" w:hint="eastAsia"/>
          <w:sz w:val="32"/>
          <w:szCs w:val="32"/>
        </w:rPr>
        <w:t>25.77</w:t>
      </w:r>
      <w:r w:rsidR="00C000B5">
        <w:rPr>
          <w:rFonts w:ascii="仿宋_GB2312" w:eastAsia="仿宋_GB2312" w:hAnsi="仿宋_GB2312" w:cs="仿宋_GB2312" w:hint="eastAsia"/>
          <w:sz w:val="32"/>
          <w:szCs w:val="32"/>
        </w:rPr>
        <w:t>万元,完成率</w:t>
      </w:r>
      <w:r w:rsidR="00DF0067">
        <w:rPr>
          <w:rFonts w:ascii="仿宋_GB2312" w:eastAsia="仿宋_GB2312" w:hAnsi="仿宋_GB2312" w:cs="仿宋_GB2312" w:hint="eastAsia"/>
          <w:sz w:val="32"/>
          <w:szCs w:val="32"/>
        </w:rPr>
        <w:t>99.12</w:t>
      </w:r>
      <w:r w:rsidR="00C000B5">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我中心</w:t>
      </w:r>
      <w:r w:rsidR="00C000B5">
        <w:rPr>
          <w:rFonts w:ascii="仿宋_GB2312" w:eastAsia="仿宋_GB2312" w:hAnsi="仿宋_GB2312" w:cs="仿宋_GB2312" w:hint="eastAsia"/>
          <w:sz w:val="32"/>
          <w:szCs w:val="32"/>
        </w:rPr>
        <w:t>针对该项目做出绩效评价，自评得分</w:t>
      </w:r>
      <w:r>
        <w:rPr>
          <w:rFonts w:ascii="仿宋_GB2312" w:eastAsia="仿宋_GB2312" w:hAnsi="仿宋_GB2312" w:cs="仿宋_GB2312" w:hint="eastAsia"/>
          <w:sz w:val="32"/>
          <w:szCs w:val="32"/>
        </w:rPr>
        <w:t>99</w:t>
      </w:r>
      <w:r w:rsidR="00C000B5">
        <w:rPr>
          <w:rFonts w:ascii="仿宋_GB2312" w:eastAsia="仿宋_GB2312" w:hAnsi="仿宋_GB2312" w:cs="仿宋_GB2312" w:hint="eastAsia"/>
          <w:sz w:val="32"/>
          <w:szCs w:val="32"/>
        </w:rPr>
        <w:t>分，具体情况如下：</w:t>
      </w:r>
    </w:p>
    <w:p w:rsidR="00ED2FEA" w:rsidRDefault="00C000B5">
      <w:pPr>
        <w:spacing w:line="600" w:lineRule="exact"/>
        <w:ind w:left="646"/>
        <w:jc w:val="center"/>
        <w:rPr>
          <w:rFonts w:ascii="仿宋_GB2312" w:eastAsia="仿宋_GB2312" w:hAnsi="仿宋_GB2312" w:cs="仿宋_GB2312"/>
          <w:sz w:val="32"/>
          <w:szCs w:val="32"/>
        </w:rPr>
      </w:pPr>
      <w:r>
        <w:rPr>
          <w:rFonts w:ascii="宋体" w:hAnsi="宋体" w:cs="宋体" w:hint="eastAsia"/>
          <w:b/>
          <w:bCs/>
          <w:sz w:val="28"/>
          <w:szCs w:val="28"/>
        </w:rPr>
        <w:t>重点项目支出绩效自评指标</w:t>
      </w:r>
    </w:p>
    <w:tbl>
      <w:tblPr>
        <w:tblW w:w="8287" w:type="dxa"/>
        <w:tblLayout w:type="fixed"/>
        <w:tblCellMar>
          <w:left w:w="0" w:type="dxa"/>
          <w:right w:w="0" w:type="dxa"/>
        </w:tblCellMar>
        <w:tblLook w:val="04A0"/>
      </w:tblPr>
      <w:tblGrid>
        <w:gridCol w:w="568"/>
        <w:gridCol w:w="568"/>
        <w:gridCol w:w="568"/>
        <w:gridCol w:w="886"/>
        <w:gridCol w:w="2181"/>
        <w:gridCol w:w="2952"/>
        <w:gridCol w:w="564"/>
      </w:tblGrid>
      <w:tr w:rsidR="00ED2FEA">
        <w:trPr>
          <w:trHeight w:val="640"/>
        </w:trPr>
        <w:tc>
          <w:tcPr>
            <w:tcW w:w="568"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一级指标</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二级指标</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三级指标</w:t>
            </w:r>
          </w:p>
        </w:tc>
        <w:tc>
          <w:tcPr>
            <w:tcW w:w="886"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分值</w:t>
            </w:r>
          </w:p>
        </w:tc>
        <w:tc>
          <w:tcPr>
            <w:tcW w:w="2181"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指标解释</w:t>
            </w: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b/>
                <w:color w:val="000000"/>
                <w:sz w:val="18"/>
                <w:szCs w:val="18"/>
              </w:rPr>
            </w:pPr>
            <w:r>
              <w:rPr>
                <w:rFonts w:ascii="仿宋" w:eastAsia="仿宋" w:hAnsi="仿宋" w:cs="仿宋" w:hint="eastAsia"/>
                <w:b/>
                <w:color w:val="000000"/>
                <w:kern w:val="0"/>
                <w:sz w:val="18"/>
                <w:szCs w:val="18"/>
              </w:rPr>
              <w:t>指标说明</w:t>
            </w:r>
          </w:p>
        </w:tc>
        <w:tc>
          <w:tcPr>
            <w:tcW w:w="564"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bottom"/>
          </w:tcPr>
          <w:p w:rsidR="00ED2FEA" w:rsidRDefault="00C000B5">
            <w:pPr>
              <w:widowControl/>
              <w:jc w:val="left"/>
              <w:textAlignment w:val="bottom"/>
              <w:rPr>
                <w:rFonts w:ascii="仿宋" w:eastAsia="仿宋" w:hAnsi="仿宋" w:cs="仿宋"/>
                <w:b/>
                <w:color w:val="000000"/>
                <w:sz w:val="18"/>
                <w:szCs w:val="18"/>
              </w:rPr>
            </w:pPr>
            <w:r>
              <w:rPr>
                <w:rFonts w:ascii="仿宋" w:eastAsia="仿宋" w:hAnsi="仿宋" w:cs="仿宋" w:hint="eastAsia"/>
                <w:b/>
                <w:color w:val="000000"/>
                <w:kern w:val="0"/>
                <w:sz w:val="18"/>
                <w:szCs w:val="18"/>
              </w:rPr>
              <w:t>自评得分</w:t>
            </w:r>
          </w:p>
        </w:tc>
      </w:tr>
      <w:tr w:rsidR="00ED2FEA">
        <w:trPr>
          <w:trHeight w:val="312"/>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投入</w:t>
            </w: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项目立项</w:t>
            </w: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项目立项规范性</w:t>
            </w: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5</w:t>
            </w:r>
          </w:p>
        </w:tc>
        <w:tc>
          <w:tcPr>
            <w:tcW w:w="2181"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项目的申请、设立过程是否符合相关要求，用以反映和考核项目立项的规范情况。</w:t>
            </w: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评价要点：</w:t>
            </w:r>
          </w:p>
        </w:tc>
        <w:tc>
          <w:tcPr>
            <w:tcW w:w="564"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5</w:t>
            </w:r>
          </w:p>
        </w:tc>
      </w:tr>
      <w:tr w:rsidR="00ED2FEA">
        <w:trPr>
          <w:trHeight w:val="864"/>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①项目是否按照规定的程序申请设立；（1分）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830"/>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②所提交的文件、材料是否符合相关要求；（2分）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1096"/>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③事前是否已经过必要的可行性研究、专家论证、风险评估、集体决策等。（2分）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312"/>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绩效目标合理性</w:t>
            </w: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8</w:t>
            </w:r>
          </w:p>
        </w:tc>
        <w:tc>
          <w:tcPr>
            <w:tcW w:w="2181"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项目所设定的绩效目标是否依据充分，是否符合客观实际，用以反映和考核项目绩效目标与项目实施的相符情况。</w:t>
            </w: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评价要点：</w:t>
            </w:r>
          </w:p>
        </w:tc>
        <w:tc>
          <w:tcPr>
            <w:tcW w:w="564"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8</w:t>
            </w:r>
          </w:p>
        </w:tc>
      </w:tr>
      <w:tr w:rsidR="00ED2FEA">
        <w:trPr>
          <w:trHeight w:val="90"/>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①是否符合国家相关法律法规、国民经济发展规划和党委政府决策；（2分）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890"/>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②是否与项目实施单位或委托单位职责密切相关；（2分）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864"/>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③项目是否为促进事业发展所必需；（2分）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710"/>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④项目预期产出效益和效果是否符合正常的业绩水平。（2分）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312"/>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绩效指标明确性</w:t>
            </w: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5</w:t>
            </w:r>
          </w:p>
        </w:tc>
        <w:tc>
          <w:tcPr>
            <w:tcW w:w="2181"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依据绩效目标设定的绩效指标是否清晰、细化、可衡量等，用以反映和考核项目绩效目标的</w:t>
            </w:r>
            <w:proofErr w:type="gramStart"/>
            <w:r>
              <w:rPr>
                <w:rFonts w:ascii="仿宋" w:eastAsia="仿宋" w:hAnsi="仿宋" w:cs="仿宋" w:hint="eastAsia"/>
                <w:color w:val="000000"/>
                <w:kern w:val="0"/>
                <w:sz w:val="18"/>
                <w:szCs w:val="18"/>
              </w:rPr>
              <w:t>明细化</w:t>
            </w:r>
            <w:proofErr w:type="gramEnd"/>
            <w:r>
              <w:rPr>
                <w:rFonts w:ascii="仿宋" w:eastAsia="仿宋" w:hAnsi="仿宋" w:cs="仿宋" w:hint="eastAsia"/>
                <w:color w:val="000000"/>
                <w:kern w:val="0"/>
                <w:sz w:val="18"/>
                <w:szCs w:val="18"/>
              </w:rPr>
              <w:t>情况。</w:t>
            </w: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评价要点：</w:t>
            </w:r>
          </w:p>
        </w:tc>
        <w:tc>
          <w:tcPr>
            <w:tcW w:w="56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5</w:t>
            </w:r>
          </w:p>
        </w:tc>
      </w:tr>
      <w:tr w:rsidR="00ED2FEA">
        <w:trPr>
          <w:trHeight w:val="626"/>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①是否将项目绩效目标细化分解为具体的绩效指标；（1分）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674"/>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②是否通过清晰、可衡量的指标</w:t>
            </w:r>
            <w:proofErr w:type="gramStart"/>
            <w:r>
              <w:rPr>
                <w:rFonts w:ascii="仿宋" w:eastAsia="仿宋" w:hAnsi="仿宋" w:cs="仿宋" w:hint="eastAsia"/>
                <w:color w:val="000000"/>
                <w:kern w:val="0"/>
                <w:sz w:val="18"/>
                <w:szCs w:val="18"/>
              </w:rPr>
              <w:t>值予以</w:t>
            </w:r>
            <w:proofErr w:type="gramEnd"/>
            <w:r>
              <w:rPr>
                <w:rFonts w:ascii="仿宋" w:eastAsia="仿宋" w:hAnsi="仿宋" w:cs="仿宋" w:hint="eastAsia"/>
                <w:color w:val="000000"/>
                <w:kern w:val="0"/>
                <w:sz w:val="18"/>
                <w:szCs w:val="18"/>
              </w:rPr>
              <w:t>体现；（1分）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698"/>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③是否与项目年度任务数或计划数相对应；（1.5分）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434"/>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④是否与预算确定的项目投资额或资金量相匹配。（1.5分）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662"/>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预算执行情况</w:t>
            </w: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资金管理</w:t>
            </w: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7</w:t>
            </w:r>
          </w:p>
        </w:tc>
        <w:tc>
          <w:tcPr>
            <w:tcW w:w="2181"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部门（单位）部门预算实际支付进度和既定支付进度的匹配情况，反映和考核部门（单位）预算执行的及时性和均衡性。</w:t>
            </w: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本指标得分=本指标满分分值×全年平均执行率。</w:t>
            </w:r>
          </w:p>
        </w:tc>
        <w:tc>
          <w:tcPr>
            <w:tcW w:w="564"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8879A2">
            <w:pPr>
              <w:widowControl/>
              <w:jc w:val="center"/>
              <w:textAlignment w:val="center"/>
              <w:rPr>
                <w:rFonts w:ascii="仿宋" w:eastAsia="仿宋" w:hAnsi="仿宋" w:cs="仿宋"/>
                <w:sz w:val="18"/>
                <w:szCs w:val="18"/>
              </w:rPr>
            </w:pPr>
            <w:r>
              <w:rPr>
                <w:rFonts w:ascii="仿宋" w:eastAsia="仿宋" w:hAnsi="仿宋" w:cs="仿宋" w:hint="eastAsia"/>
                <w:kern w:val="0"/>
                <w:sz w:val="18"/>
                <w:szCs w:val="18"/>
              </w:rPr>
              <w:t>6</w:t>
            </w:r>
          </w:p>
        </w:tc>
      </w:tr>
      <w:tr w:rsidR="00ED2FEA">
        <w:trPr>
          <w:trHeight w:val="626"/>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 xml:space="preserve">  其中：全年平均执行率=∑（每个季度的执行率）÷4</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r>
      <w:tr w:rsidR="00ED2FEA">
        <w:trPr>
          <w:trHeight w:val="914"/>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 xml:space="preserve"> 分季执行率=当季部门预算资金支出进度÷该季序时进度×100%</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r>
      <w:tr w:rsidR="00ED2FEA">
        <w:trPr>
          <w:trHeight w:val="770"/>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 xml:space="preserve"> 预算执行均衡性考核的资金范围不含当年12月下达的资金。</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r>
      <w:tr w:rsidR="00ED2FEA">
        <w:trPr>
          <w:trHeight w:val="312"/>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过程</w:t>
            </w: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业务管理</w:t>
            </w: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管理制度健全性</w:t>
            </w: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7</w:t>
            </w:r>
          </w:p>
        </w:tc>
        <w:tc>
          <w:tcPr>
            <w:tcW w:w="2181"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项目实施单位的业务管理制度是否健全，用以反映和考核业务管理制度对项目顺利实施的保障情况。</w:t>
            </w: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评价要点：</w:t>
            </w:r>
          </w:p>
        </w:tc>
        <w:tc>
          <w:tcPr>
            <w:tcW w:w="564"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8879A2">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7</w:t>
            </w:r>
          </w:p>
        </w:tc>
      </w:tr>
      <w:tr w:rsidR="00ED2FEA">
        <w:trPr>
          <w:trHeight w:val="1418"/>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①是否已制定或具有相应的业务管理制度；如：管理制度和业务流程、项目实施方案、绩效管理制度。按照实际情况酌情扣分（3分）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854"/>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②业务管理制度是否合法、合</w:t>
            </w:r>
            <w:proofErr w:type="gramStart"/>
            <w:r>
              <w:rPr>
                <w:rFonts w:ascii="仿宋" w:eastAsia="仿宋" w:hAnsi="仿宋" w:cs="仿宋" w:hint="eastAsia"/>
                <w:color w:val="000000"/>
                <w:kern w:val="0"/>
                <w:sz w:val="18"/>
                <w:szCs w:val="18"/>
              </w:rPr>
              <w:t>规</w:t>
            </w:r>
            <w:proofErr w:type="gramEnd"/>
            <w:r>
              <w:rPr>
                <w:rFonts w:ascii="仿宋" w:eastAsia="仿宋" w:hAnsi="仿宋" w:cs="仿宋" w:hint="eastAsia"/>
                <w:color w:val="000000"/>
                <w:kern w:val="0"/>
                <w:sz w:val="18"/>
                <w:szCs w:val="18"/>
              </w:rPr>
              <w:t>、完整。按照实际情况酌情扣分（4分）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312"/>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制度执行有效性</w:t>
            </w: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5</w:t>
            </w:r>
          </w:p>
        </w:tc>
        <w:tc>
          <w:tcPr>
            <w:tcW w:w="2181"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sz w:val="18"/>
                <w:szCs w:val="18"/>
              </w:rPr>
            </w:pPr>
            <w:r>
              <w:rPr>
                <w:rFonts w:ascii="仿宋" w:eastAsia="仿宋" w:hAnsi="仿宋" w:cs="仿宋" w:hint="eastAsia"/>
                <w:kern w:val="0"/>
                <w:sz w:val="18"/>
                <w:szCs w:val="18"/>
              </w:rPr>
              <w:t>项目实施是否符合相关业务管理规定，用以反映和考核业务管理制度的有效执行情况。</w:t>
            </w: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评价要点：</w:t>
            </w:r>
          </w:p>
        </w:tc>
        <w:tc>
          <w:tcPr>
            <w:tcW w:w="564"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5</w:t>
            </w:r>
          </w:p>
        </w:tc>
      </w:tr>
      <w:tr w:rsidR="00ED2FEA">
        <w:trPr>
          <w:trHeight w:val="602"/>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①是否遵守相关法律法规和业务管理规定；（1.5分）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578"/>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②项目调整及支出调整手续是否完备；（1.5分）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722"/>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③项目合同书、验收报告、技术鉴定等资料是否齐全并及时归档；（1分）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842"/>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④项目实施的人员条件、场地设备、信息支撑等是否落实到位。（1分）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312"/>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项目质量可控性</w:t>
            </w: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5</w:t>
            </w:r>
          </w:p>
        </w:tc>
        <w:tc>
          <w:tcPr>
            <w:tcW w:w="2181"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sz w:val="18"/>
                <w:szCs w:val="18"/>
              </w:rPr>
            </w:pPr>
            <w:r>
              <w:rPr>
                <w:rFonts w:ascii="仿宋" w:eastAsia="仿宋" w:hAnsi="仿宋" w:cs="仿宋" w:hint="eastAsia"/>
                <w:kern w:val="0"/>
                <w:sz w:val="18"/>
                <w:szCs w:val="18"/>
              </w:rPr>
              <w:t>项目实施单位是否为达到项目质量要求而采取了必需的措施,用以反映和考核项目实施单位对项目质量的控制情况。</w:t>
            </w: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评价要点：</w:t>
            </w:r>
          </w:p>
        </w:tc>
        <w:tc>
          <w:tcPr>
            <w:tcW w:w="564"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5</w:t>
            </w:r>
          </w:p>
        </w:tc>
      </w:tr>
      <w:tr w:rsidR="00ED2FEA">
        <w:trPr>
          <w:trHeight w:val="1296"/>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①是否已制定或具有相应的项目质量要求或标准；（2.5分）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674"/>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②是否采取了相应的项目质量检查、验收等必需的控制措施或手段。（2.5分）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312"/>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财务管理</w:t>
            </w: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管理制度健全性</w:t>
            </w: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3</w:t>
            </w:r>
          </w:p>
        </w:tc>
        <w:tc>
          <w:tcPr>
            <w:tcW w:w="2181"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sz w:val="18"/>
                <w:szCs w:val="18"/>
              </w:rPr>
            </w:pPr>
            <w:r>
              <w:rPr>
                <w:rFonts w:ascii="仿宋" w:eastAsia="仿宋" w:hAnsi="仿宋" w:cs="仿宋" w:hint="eastAsia"/>
                <w:kern w:val="0"/>
                <w:sz w:val="18"/>
                <w:szCs w:val="18"/>
              </w:rPr>
              <w:t>项目实施单位的财务制度是否健全，用以反映和考核财务管理制度对资金规范、安全运行的保障情况。</w:t>
            </w: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评价要点：</w:t>
            </w:r>
          </w:p>
        </w:tc>
        <w:tc>
          <w:tcPr>
            <w:tcW w:w="564"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3</w:t>
            </w:r>
          </w:p>
        </w:tc>
      </w:tr>
      <w:tr w:rsidR="00ED2FEA">
        <w:trPr>
          <w:trHeight w:val="806"/>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①是否已制定或具有相应的项目资金管理办法；（1.5分）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842"/>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②项目资金管理办法是否符合相关财务会计制度的规定。（1.5分）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312"/>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资金使</w:t>
            </w:r>
            <w:r>
              <w:rPr>
                <w:rFonts w:ascii="仿宋" w:eastAsia="仿宋" w:hAnsi="仿宋" w:cs="仿宋" w:hint="eastAsia"/>
                <w:color w:val="000000"/>
                <w:kern w:val="0"/>
                <w:sz w:val="18"/>
                <w:szCs w:val="18"/>
              </w:rPr>
              <w:lastRenderedPageBreak/>
              <w:t>用合</w:t>
            </w:r>
            <w:proofErr w:type="gramStart"/>
            <w:r>
              <w:rPr>
                <w:rFonts w:ascii="仿宋" w:eastAsia="仿宋" w:hAnsi="仿宋" w:cs="仿宋" w:hint="eastAsia"/>
                <w:color w:val="000000"/>
                <w:kern w:val="0"/>
                <w:sz w:val="18"/>
                <w:szCs w:val="18"/>
              </w:rPr>
              <w:t>规</w:t>
            </w:r>
            <w:proofErr w:type="gramEnd"/>
            <w:r>
              <w:rPr>
                <w:rFonts w:ascii="仿宋" w:eastAsia="仿宋" w:hAnsi="仿宋" w:cs="仿宋" w:hint="eastAsia"/>
                <w:color w:val="000000"/>
                <w:kern w:val="0"/>
                <w:sz w:val="18"/>
                <w:szCs w:val="18"/>
              </w:rPr>
              <w:t>性</w:t>
            </w: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lastRenderedPageBreak/>
              <w:t>5</w:t>
            </w:r>
          </w:p>
        </w:tc>
        <w:tc>
          <w:tcPr>
            <w:tcW w:w="2181"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sz w:val="18"/>
                <w:szCs w:val="18"/>
              </w:rPr>
            </w:pPr>
            <w:r>
              <w:rPr>
                <w:rFonts w:ascii="仿宋" w:eastAsia="仿宋" w:hAnsi="仿宋" w:cs="仿宋" w:hint="eastAsia"/>
                <w:kern w:val="0"/>
                <w:sz w:val="18"/>
                <w:szCs w:val="18"/>
              </w:rPr>
              <w:t>项目资金使用是否符合相</w:t>
            </w:r>
            <w:r>
              <w:rPr>
                <w:rFonts w:ascii="仿宋" w:eastAsia="仿宋" w:hAnsi="仿宋" w:cs="仿宋" w:hint="eastAsia"/>
                <w:kern w:val="0"/>
                <w:sz w:val="18"/>
                <w:szCs w:val="18"/>
              </w:rPr>
              <w:lastRenderedPageBreak/>
              <w:t>关的财务管理制度规定，用以反映和考核项目资金的规范运行情况。</w:t>
            </w: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lastRenderedPageBreak/>
              <w:t>评价要点：</w:t>
            </w:r>
          </w:p>
        </w:tc>
        <w:tc>
          <w:tcPr>
            <w:tcW w:w="564"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5</w:t>
            </w:r>
          </w:p>
        </w:tc>
      </w:tr>
      <w:tr w:rsidR="00ED2FEA">
        <w:trPr>
          <w:trHeight w:val="974"/>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①是否符合国家财经法规和财务管理制度以及有关专项资金管理办法的规定；（1分）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722"/>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②资金的拨付是否有完整的审批程序和手续；（1分）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650"/>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③项目的重大开支是否经过评估认证；（1分）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734"/>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④是否符合项目预算批复或合同规定的用途；（1分）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686"/>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⑤是否存在截留、挤占、挪用、虚列支出等情况。（1分）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312"/>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财务监控有效性</w:t>
            </w: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5</w:t>
            </w:r>
          </w:p>
        </w:tc>
        <w:tc>
          <w:tcPr>
            <w:tcW w:w="2181"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sz w:val="18"/>
                <w:szCs w:val="18"/>
              </w:rPr>
            </w:pPr>
            <w:r>
              <w:rPr>
                <w:rFonts w:ascii="仿宋" w:eastAsia="仿宋" w:hAnsi="仿宋" w:cs="仿宋" w:hint="eastAsia"/>
                <w:kern w:val="0"/>
                <w:sz w:val="18"/>
                <w:szCs w:val="18"/>
              </w:rPr>
              <w:t>项目实施单位是否为保障资金的安全、规范运行而采取了必要的监控措施，用以反映和考核项目实施单位对资金运行的控制情况。</w:t>
            </w: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评价要点：</w:t>
            </w:r>
          </w:p>
        </w:tc>
        <w:tc>
          <w:tcPr>
            <w:tcW w:w="564"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5</w:t>
            </w:r>
          </w:p>
        </w:tc>
      </w:tr>
      <w:tr w:rsidR="00ED2FEA">
        <w:trPr>
          <w:trHeight w:val="638"/>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①是否已制定或具有相应的监控机制；（2分）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818"/>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②是否采取了相应的财务检查等必要的监控措施或手段。（3分）</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620"/>
        </w:trPr>
        <w:tc>
          <w:tcPr>
            <w:tcW w:w="568" w:type="dxa"/>
            <w:vMerge w:val="restart"/>
            <w:tcBorders>
              <w:top w:val="single" w:sz="4" w:space="0" w:color="000000"/>
              <w:left w:val="single" w:sz="4" w:space="0" w:color="000000"/>
              <w:bottom w:val="nil"/>
              <w:right w:val="single" w:sz="4" w:space="0" w:color="000000"/>
            </w:tcBorders>
            <w:shd w:val="clear" w:color="auto" w:fill="FFFFFF"/>
            <w:noWrap/>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产出</w:t>
            </w:r>
          </w:p>
        </w:tc>
        <w:tc>
          <w:tcPr>
            <w:tcW w:w="568" w:type="dxa"/>
            <w:vMerge w:val="restar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项目产出</w:t>
            </w:r>
          </w:p>
        </w:tc>
        <w:tc>
          <w:tcPr>
            <w:tcW w:w="568" w:type="dxa"/>
            <w:vMerge w:val="restar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项目完成率</w:t>
            </w:r>
          </w:p>
        </w:tc>
        <w:tc>
          <w:tcPr>
            <w:tcW w:w="886" w:type="dxa"/>
            <w:vMerge w:val="restar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7</w:t>
            </w:r>
          </w:p>
        </w:tc>
        <w:tc>
          <w:tcPr>
            <w:tcW w:w="2181" w:type="dxa"/>
            <w:vMerge w:val="restar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sz w:val="18"/>
                <w:szCs w:val="18"/>
              </w:rPr>
            </w:pPr>
            <w:r>
              <w:rPr>
                <w:rFonts w:ascii="仿宋" w:eastAsia="仿宋" w:hAnsi="仿宋" w:cs="仿宋" w:hint="eastAsia"/>
                <w:kern w:val="0"/>
                <w:sz w:val="18"/>
                <w:szCs w:val="18"/>
              </w:rPr>
              <w:t>数字化城管部件、事件立案总数35万宗以上，事件案件结案率、处理率、公众投诉处理率都达到99%以上。</w:t>
            </w: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评价要点：</w:t>
            </w:r>
          </w:p>
        </w:tc>
        <w:tc>
          <w:tcPr>
            <w:tcW w:w="564" w:type="dxa"/>
            <w:vMerge w:val="restar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7</w:t>
            </w:r>
          </w:p>
        </w:tc>
      </w:tr>
      <w:tr w:rsidR="00ED2FEA">
        <w:trPr>
          <w:trHeight w:val="620"/>
        </w:trPr>
        <w:tc>
          <w:tcPr>
            <w:tcW w:w="568" w:type="dxa"/>
            <w:vMerge/>
            <w:tcBorders>
              <w:top w:val="single" w:sz="4" w:space="0" w:color="000000"/>
              <w:left w:val="single" w:sz="4" w:space="0" w:color="000000"/>
              <w:bottom w:val="nil"/>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项目是否根据年初设定目标完成（7分）</w:t>
            </w:r>
          </w:p>
        </w:tc>
        <w:tc>
          <w:tcPr>
            <w:tcW w:w="564" w:type="dxa"/>
            <w:vMerge/>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312"/>
        </w:trPr>
        <w:tc>
          <w:tcPr>
            <w:tcW w:w="568" w:type="dxa"/>
            <w:vMerge/>
            <w:tcBorders>
              <w:top w:val="single" w:sz="4" w:space="0" w:color="000000"/>
              <w:left w:val="single" w:sz="4" w:space="0" w:color="000000"/>
              <w:bottom w:val="nil"/>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完成及时率</w:t>
            </w: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8</w:t>
            </w:r>
          </w:p>
        </w:tc>
        <w:tc>
          <w:tcPr>
            <w:tcW w:w="2181"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sz w:val="18"/>
                <w:szCs w:val="18"/>
              </w:rPr>
            </w:pPr>
            <w:r>
              <w:rPr>
                <w:rFonts w:ascii="仿宋" w:eastAsia="仿宋" w:hAnsi="仿宋" w:cs="仿宋" w:hint="eastAsia"/>
                <w:kern w:val="0"/>
                <w:sz w:val="18"/>
                <w:szCs w:val="18"/>
              </w:rPr>
              <w:t>项目实际提前完成时间与计划完成时间的比率，用以反映和考核项目产出时效目标的实现程度。</w:t>
            </w: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评价要点：</w:t>
            </w:r>
          </w:p>
        </w:tc>
        <w:tc>
          <w:tcPr>
            <w:tcW w:w="564"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8</w:t>
            </w:r>
          </w:p>
        </w:tc>
      </w:tr>
      <w:tr w:rsidR="00ED2FEA">
        <w:trPr>
          <w:trHeight w:val="852"/>
        </w:trPr>
        <w:tc>
          <w:tcPr>
            <w:tcW w:w="568" w:type="dxa"/>
            <w:vMerge/>
            <w:tcBorders>
              <w:top w:val="single" w:sz="4" w:space="0" w:color="000000"/>
              <w:left w:val="single" w:sz="4" w:space="0" w:color="000000"/>
              <w:bottom w:val="nil"/>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得分值=[（计划完成时间-实际完成时间）/计划完成时间]×100%*8。</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90"/>
        </w:trPr>
        <w:tc>
          <w:tcPr>
            <w:tcW w:w="568" w:type="dxa"/>
            <w:vMerge/>
            <w:tcBorders>
              <w:top w:val="single" w:sz="4" w:space="0" w:color="000000"/>
              <w:left w:val="single" w:sz="4" w:space="0" w:color="000000"/>
              <w:bottom w:val="nil"/>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实际完成时间：项目实施单位完成该项目实际所耗用的时间。</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672"/>
        </w:trPr>
        <w:tc>
          <w:tcPr>
            <w:tcW w:w="568" w:type="dxa"/>
            <w:vMerge/>
            <w:tcBorders>
              <w:top w:val="single" w:sz="4" w:space="0" w:color="000000"/>
              <w:left w:val="single" w:sz="4" w:space="0" w:color="000000"/>
              <w:bottom w:val="nil"/>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计划完成时间：按照项目实施计划或相关规定完成该项目所需的时间。</w:t>
            </w:r>
          </w:p>
        </w:tc>
        <w:tc>
          <w:tcPr>
            <w:tcW w:w="564"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620"/>
        </w:trPr>
        <w:tc>
          <w:tcPr>
            <w:tcW w:w="568" w:type="dxa"/>
            <w:vMerge/>
            <w:tcBorders>
              <w:top w:val="single" w:sz="4" w:space="0" w:color="000000"/>
              <w:left w:val="single" w:sz="4" w:space="0" w:color="000000"/>
              <w:bottom w:val="nil"/>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val="restar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验收合格率</w:t>
            </w:r>
          </w:p>
        </w:tc>
        <w:tc>
          <w:tcPr>
            <w:tcW w:w="886" w:type="dxa"/>
            <w:vMerge w:val="restar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8</w:t>
            </w:r>
          </w:p>
        </w:tc>
        <w:tc>
          <w:tcPr>
            <w:tcW w:w="2181" w:type="dxa"/>
            <w:vMerge w:val="restar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sz w:val="18"/>
                <w:szCs w:val="18"/>
              </w:rPr>
            </w:pPr>
            <w:r>
              <w:rPr>
                <w:rFonts w:ascii="仿宋" w:eastAsia="仿宋" w:hAnsi="仿宋" w:cs="仿宋" w:hint="eastAsia"/>
                <w:kern w:val="0"/>
                <w:sz w:val="18"/>
                <w:szCs w:val="18"/>
              </w:rPr>
              <w:t>2018年数字化城管部件、事件案件结案率、处理率名列全市第一。</w:t>
            </w: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评价要点：</w:t>
            </w:r>
          </w:p>
        </w:tc>
        <w:tc>
          <w:tcPr>
            <w:tcW w:w="564" w:type="dxa"/>
            <w:vMerge w:val="restar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8</w:t>
            </w:r>
          </w:p>
        </w:tc>
      </w:tr>
      <w:tr w:rsidR="00ED2FEA">
        <w:trPr>
          <w:trHeight w:val="620"/>
        </w:trPr>
        <w:tc>
          <w:tcPr>
            <w:tcW w:w="568" w:type="dxa"/>
            <w:vMerge/>
            <w:tcBorders>
              <w:top w:val="single" w:sz="4" w:space="0" w:color="000000"/>
              <w:left w:val="single" w:sz="4" w:space="0" w:color="000000"/>
              <w:bottom w:val="nil"/>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886" w:type="dxa"/>
            <w:vMerge/>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vMerge/>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sz w:val="18"/>
                <w:szCs w:val="18"/>
              </w:rPr>
            </w:pP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项目是否根据年初设定目标完成。（8分）</w:t>
            </w:r>
          </w:p>
        </w:tc>
        <w:tc>
          <w:tcPr>
            <w:tcW w:w="564" w:type="dxa"/>
            <w:vMerge/>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1140"/>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效果</w:t>
            </w: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项目效益</w:t>
            </w: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经济效益</w:t>
            </w:r>
          </w:p>
        </w:tc>
        <w:tc>
          <w:tcPr>
            <w:tcW w:w="886" w:type="dxa"/>
            <w:vMerge w:val="restar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17</w:t>
            </w:r>
          </w:p>
        </w:tc>
        <w:tc>
          <w:tcPr>
            <w:tcW w:w="2181"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项目实施对经济发展所带来的直接或间接影响情况。</w:t>
            </w:r>
          </w:p>
        </w:tc>
        <w:tc>
          <w:tcPr>
            <w:tcW w:w="2952" w:type="dxa"/>
            <w:vMerge w:val="restar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1、能否提供提高了城市管理工作水平佐证材料(3分)</w:t>
            </w:r>
            <w:r>
              <w:rPr>
                <w:rFonts w:ascii="仿宋" w:eastAsia="仿宋" w:hAnsi="仿宋" w:cs="仿宋" w:hint="eastAsia"/>
                <w:kern w:val="0"/>
                <w:sz w:val="18"/>
                <w:szCs w:val="18"/>
              </w:rPr>
              <w:br/>
              <w:t>2、提供为建设更加美好城区贡献力量（人才培养）材料（10分）</w:t>
            </w:r>
            <w:r>
              <w:rPr>
                <w:rFonts w:ascii="仿宋" w:eastAsia="仿宋" w:hAnsi="仿宋" w:cs="仿宋" w:hint="eastAsia"/>
                <w:kern w:val="0"/>
                <w:sz w:val="18"/>
                <w:szCs w:val="18"/>
              </w:rPr>
              <w:br/>
              <w:t>3、提供减少城市管理成本，提高市容环境材料（4分）</w:t>
            </w:r>
          </w:p>
        </w:tc>
        <w:tc>
          <w:tcPr>
            <w:tcW w:w="564" w:type="dxa"/>
            <w:vMerge w:val="restart"/>
            <w:tcBorders>
              <w:top w:val="single" w:sz="4" w:space="0" w:color="000000"/>
              <w:left w:val="single" w:sz="4" w:space="0" w:color="000000"/>
              <w:bottom w:val="nil"/>
              <w:right w:val="single" w:sz="4" w:space="0" w:color="000000"/>
            </w:tcBorders>
            <w:shd w:val="clear" w:color="auto" w:fill="auto"/>
            <w:noWrap/>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17</w:t>
            </w:r>
          </w:p>
        </w:tc>
      </w:tr>
      <w:tr w:rsidR="00ED2FEA">
        <w:trPr>
          <w:trHeight w:val="1010"/>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社会效益</w:t>
            </w:r>
          </w:p>
        </w:tc>
        <w:tc>
          <w:tcPr>
            <w:tcW w:w="886" w:type="dxa"/>
            <w:vMerge/>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2181"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项目实施对社会发展所带来的直接或间接影响情况。</w:t>
            </w:r>
          </w:p>
        </w:tc>
        <w:tc>
          <w:tcPr>
            <w:tcW w:w="2952" w:type="dxa"/>
            <w:vMerge/>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ED2FEA" w:rsidRDefault="00ED2FEA">
            <w:pPr>
              <w:jc w:val="left"/>
              <w:rPr>
                <w:rFonts w:ascii="仿宋" w:eastAsia="仿宋" w:hAnsi="仿宋" w:cs="仿宋"/>
                <w:sz w:val="18"/>
                <w:szCs w:val="18"/>
              </w:rPr>
            </w:pPr>
          </w:p>
        </w:tc>
        <w:tc>
          <w:tcPr>
            <w:tcW w:w="564" w:type="dxa"/>
            <w:vMerge/>
            <w:tcBorders>
              <w:top w:val="single" w:sz="4" w:space="0" w:color="000000"/>
              <w:left w:val="single" w:sz="4" w:space="0" w:color="000000"/>
              <w:bottom w:val="nil"/>
              <w:right w:val="single" w:sz="4" w:space="0" w:color="000000"/>
            </w:tcBorders>
            <w:shd w:val="clear" w:color="auto" w:fill="auto"/>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r>
      <w:tr w:rsidR="00ED2FEA">
        <w:trPr>
          <w:trHeight w:val="5540"/>
        </w:trPr>
        <w:tc>
          <w:tcPr>
            <w:tcW w:w="568" w:type="dxa"/>
            <w:vMerge/>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ED2FEA">
            <w:pPr>
              <w:jc w:val="center"/>
              <w:rPr>
                <w:rFonts w:ascii="仿宋" w:eastAsia="仿宋" w:hAnsi="仿宋" w:cs="仿宋"/>
                <w:color w:val="000000"/>
                <w:sz w:val="18"/>
                <w:szCs w:val="18"/>
              </w:rPr>
            </w:pPr>
          </w:p>
        </w:tc>
        <w:tc>
          <w:tcPr>
            <w:tcW w:w="568"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社会公众或服务对象满意度</w:t>
            </w:r>
          </w:p>
        </w:tc>
        <w:tc>
          <w:tcPr>
            <w:tcW w:w="886"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5</w:t>
            </w:r>
          </w:p>
        </w:tc>
        <w:tc>
          <w:tcPr>
            <w:tcW w:w="2181"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项目服务对象对项目实施及效果的满意程度。</w:t>
            </w:r>
            <w:r>
              <w:rPr>
                <w:rFonts w:ascii="仿宋" w:eastAsia="仿宋" w:hAnsi="仿宋" w:cs="仿宋" w:hint="eastAsia"/>
                <w:kern w:val="0"/>
                <w:sz w:val="18"/>
                <w:szCs w:val="18"/>
              </w:rPr>
              <w:br/>
              <w:t>服务对象满意度的评价要点在于：</w:t>
            </w:r>
            <w:r>
              <w:rPr>
                <w:rFonts w:ascii="仿宋" w:eastAsia="仿宋" w:hAnsi="仿宋" w:cs="仿宋" w:hint="eastAsia"/>
                <w:kern w:val="0"/>
                <w:sz w:val="18"/>
                <w:szCs w:val="18"/>
              </w:rPr>
              <w:br/>
              <w:t>（1）项目直接服务对象如项目直接受益者或所服务的部门（单位）、群体或个人对项目实施效果的满意程度或投诉上访次数；</w:t>
            </w:r>
            <w:r>
              <w:rPr>
                <w:rFonts w:ascii="仿宋" w:eastAsia="仿宋" w:hAnsi="仿宋" w:cs="仿宋" w:hint="eastAsia"/>
                <w:kern w:val="0"/>
                <w:sz w:val="18"/>
                <w:szCs w:val="18"/>
              </w:rPr>
              <w:br/>
              <w:t>（2）项目间接服务对象例如社会公众满意程度（问卷调查情况），人大代表、政协委员提案意见情况，新闻媒体曝光次数等；</w:t>
            </w:r>
            <w:r>
              <w:rPr>
                <w:rFonts w:ascii="仿宋" w:eastAsia="仿宋" w:hAnsi="仿宋" w:cs="仿宋" w:hint="eastAsia"/>
                <w:kern w:val="0"/>
                <w:sz w:val="18"/>
                <w:szCs w:val="18"/>
              </w:rPr>
              <w:br/>
              <w:t>（3）是否有采取问卷调查、抽样访谈等手段专门开展满意度调查或测评。</w:t>
            </w:r>
          </w:p>
        </w:tc>
        <w:tc>
          <w:tcPr>
            <w:tcW w:w="295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sz w:val="18"/>
                <w:szCs w:val="18"/>
              </w:rPr>
            </w:pPr>
            <w:r>
              <w:rPr>
                <w:rFonts w:ascii="仿宋" w:eastAsia="仿宋" w:hAnsi="仿宋" w:cs="仿宋" w:hint="eastAsia"/>
                <w:kern w:val="0"/>
                <w:sz w:val="18"/>
                <w:szCs w:val="18"/>
              </w:rPr>
              <w:t>服务对象满意程度的高低（0-3分，根据实际情况酌情计分），有采取问卷调查、抽样访谈等手段专门开展满意度调查或测评（2分）</w:t>
            </w:r>
          </w:p>
        </w:tc>
        <w:tc>
          <w:tcPr>
            <w:tcW w:w="564"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D2FEA" w:rsidRDefault="008879A2">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5</w:t>
            </w:r>
          </w:p>
        </w:tc>
      </w:tr>
      <w:tr w:rsidR="00ED2FEA">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left"/>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总分：</w:t>
            </w:r>
          </w:p>
        </w:tc>
        <w:tc>
          <w:tcPr>
            <w:tcW w:w="56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w:t>
            </w:r>
          </w:p>
        </w:tc>
        <w:tc>
          <w:tcPr>
            <w:tcW w:w="56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w:t>
            </w:r>
          </w:p>
        </w:tc>
        <w:tc>
          <w:tcPr>
            <w:tcW w:w="886"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100</w:t>
            </w:r>
          </w:p>
        </w:tc>
        <w:tc>
          <w:tcPr>
            <w:tcW w:w="218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w:t>
            </w:r>
          </w:p>
        </w:tc>
        <w:tc>
          <w:tcPr>
            <w:tcW w:w="295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D2FEA" w:rsidRDefault="00C000B5">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w:t>
            </w:r>
          </w:p>
        </w:tc>
        <w:tc>
          <w:tcPr>
            <w:tcW w:w="564"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ED2FEA" w:rsidRDefault="00C000B5" w:rsidP="008879A2">
            <w:pPr>
              <w:widowControl/>
              <w:jc w:val="center"/>
              <w:textAlignment w:val="center"/>
              <w:rPr>
                <w:rFonts w:ascii="仿宋" w:eastAsia="仿宋" w:hAnsi="仿宋" w:cs="仿宋"/>
                <w:color w:val="000000"/>
                <w:sz w:val="18"/>
                <w:szCs w:val="18"/>
              </w:rPr>
            </w:pPr>
            <w:r>
              <w:rPr>
                <w:rFonts w:ascii="仿宋" w:eastAsia="仿宋" w:hAnsi="仿宋" w:cs="仿宋" w:hint="eastAsia"/>
                <w:color w:val="000000"/>
                <w:kern w:val="0"/>
                <w:sz w:val="18"/>
                <w:szCs w:val="18"/>
              </w:rPr>
              <w:t>9</w:t>
            </w:r>
            <w:r w:rsidR="008879A2">
              <w:rPr>
                <w:rFonts w:ascii="仿宋" w:eastAsia="仿宋" w:hAnsi="仿宋" w:cs="仿宋" w:hint="eastAsia"/>
                <w:color w:val="000000"/>
                <w:kern w:val="0"/>
                <w:sz w:val="18"/>
                <w:szCs w:val="18"/>
              </w:rPr>
              <w:t>9</w:t>
            </w:r>
          </w:p>
        </w:tc>
      </w:tr>
    </w:tbl>
    <w:p w:rsidR="00ED2FEA" w:rsidRDefault="00C000B5">
      <w:pPr>
        <w:ind w:firstLineChars="200" w:firstLine="640"/>
        <w:rPr>
          <w:rFonts w:ascii="黑体" w:eastAsia="黑体" w:hAnsi="黑体"/>
          <w:sz w:val="32"/>
          <w:szCs w:val="32"/>
        </w:rPr>
      </w:pPr>
      <w:r>
        <w:rPr>
          <w:rFonts w:ascii="黑体" w:eastAsia="黑体" w:hAnsi="黑体" w:cs="黑体" w:hint="eastAsia"/>
          <w:sz w:val="32"/>
          <w:szCs w:val="32"/>
        </w:rPr>
        <w:t>三、取得的成效</w:t>
      </w:r>
    </w:p>
    <w:p w:rsidR="00ED2FEA" w:rsidRDefault="00C000B5">
      <w:pPr>
        <w:pStyle w:val="2"/>
        <w:spacing w:line="500" w:lineRule="exact"/>
        <w:ind w:firstLineChars="200" w:firstLine="640"/>
        <w:rPr>
          <w:rFonts w:ascii="仿宋_GB2312" w:eastAsia="仿宋_GB2312" w:hAnsi="仿宋_GB2312" w:cs="仿宋_GB2312"/>
          <w:b w:val="0"/>
          <w:bCs w:val="0"/>
          <w:sz w:val="32"/>
          <w:szCs w:val="32"/>
        </w:rPr>
      </w:pPr>
      <w:bookmarkStart w:id="1" w:name="_Toc526664007"/>
      <w:bookmarkStart w:id="2" w:name="_Toc532806502"/>
      <w:bookmarkStart w:id="3" w:name="_Toc32637"/>
      <w:bookmarkStart w:id="4" w:name="_Toc12518"/>
      <w:bookmarkStart w:id="5" w:name="_Toc2763318"/>
      <w:bookmarkStart w:id="6" w:name="_Toc1631"/>
      <w:r>
        <w:rPr>
          <w:rFonts w:ascii="仿宋_GB2312" w:eastAsia="仿宋_GB2312" w:hAnsi="仿宋_GB2312" w:cs="仿宋_GB2312"/>
          <w:b w:val="0"/>
          <w:bCs w:val="0"/>
          <w:sz w:val="32"/>
          <w:szCs w:val="32"/>
        </w:rPr>
        <w:t>（一）</w:t>
      </w:r>
      <w:bookmarkEnd w:id="1"/>
      <w:bookmarkEnd w:id="2"/>
      <w:r>
        <w:rPr>
          <w:rFonts w:ascii="仿宋_GB2312" w:eastAsia="仿宋_GB2312" w:hAnsi="仿宋_GB2312" w:cs="仿宋_GB2312"/>
          <w:b w:val="0"/>
          <w:bCs w:val="0"/>
          <w:sz w:val="32"/>
          <w:szCs w:val="32"/>
        </w:rPr>
        <w:t>项目管理制度健全，财务监管制度执行有效</w:t>
      </w:r>
      <w:bookmarkEnd w:id="3"/>
      <w:bookmarkEnd w:id="4"/>
      <w:bookmarkEnd w:id="5"/>
      <w:bookmarkEnd w:id="6"/>
    </w:p>
    <w:p w:rsidR="00ED2FEA" w:rsidRDefault="0036422B">
      <w:pPr>
        <w:widowControl/>
        <w:spacing w:line="360" w:lineRule="auto"/>
        <w:ind w:firstLineChars="200" w:firstLine="640"/>
        <w:rPr>
          <w:rFonts w:ascii="仿宋_GB2312" w:eastAsia="仿宋_GB2312" w:hAnsi="仿宋_GB2312" w:cs="仿宋_GB2312"/>
          <w:sz w:val="32"/>
          <w:szCs w:val="32"/>
        </w:rPr>
      </w:pPr>
      <w:r w:rsidRPr="00145A2F">
        <w:rPr>
          <w:rFonts w:ascii="仿宋_GB2312" w:eastAsia="仿宋_GB2312" w:hAnsi="宋体" w:cs="宋体" w:hint="eastAsia"/>
          <w:color w:val="000000"/>
          <w:kern w:val="0"/>
          <w:sz w:val="32"/>
          <w:szCs w:val="32"/>
        </w:rPr>
        <w:t>城管通数据终端（手机）通讯费</w:t>
      </w:r>
      <w:r w:rsidR="00C000B5">
        <w:rPr>
          <w:rFonts w:ascii="仿宋_GB2312" w:eastAsia="仿宋_GB2312" w:hAnsi="仿宋_GB2312" w:cs="仿宋_GB2312"/>
          <w:sz w:val="32"/>
          <w:szCs w:val="32"/>
        </w:rPr>
        <w:t>项目，建立健全的管理制度，并严格按照相关管理制度开展各项工作。财务管理制度健全，财务凭证齐全，会计账务清晰，经费按项目分别核算，专款专用；指标未进行档案管理制度执行有效性分析可以不进行描述本项目在执行过程中，制定相应的监控机制；定期进行成本核算；采取了相应的财务检查等必要的监控措施。健全规范的项目管理制度，为项目的顺利实施奠定坚实的基础。</w:t>
      </w:r>
    </w:p>
    <w:p w:rsidR="00ED2FEA" w:rsidRDefault="00C000B5" w:rsidP="00940A60">
      <w:pPr>
        <w:pStyle w:val="20"/>
        <w:spacing w:line="500" w:lineRule="exact"/>
        <w:ind w:firstLine="640"/>
        <w:rPr>
          <w:rFonts w:hAnsi="仿宋_GB2312" w:cs="仿宋_GB2312"/>
          <w:b w:val="0"/>
          <w:sz w:val="32"/>
          <w:szCs w:val="32"/>
        </w:rPr>
      </w:pPr>
      <w:bookmarkStart w:id="7" w:name="_Toc27049"/>
      <w:bookmarkStart w:id="8" w:name="_Toc17483"/>
      <w:bookmarkStart w:id="9" w:name="_Toc18571"/>
      <w:r>
        <w:rPr>
          <w:rFonts w:hAnsi="仿宋_GB2312" w:cs="仿宋_GB2312" w:hint="eastAsia"/>
          <w:b w:val="0"/>
          <w:sz w:val="32"/>
          <w:szCs w:val="32"/>
        </w:rPr>
        <w:t>（二）项目管理制度完善，财务管理体系健全</w:t>
      </w:r>
      <w:bookmarkEnd w:id="7"/>
      <w:bookmarkEnd w:id="8"/>
      <w:bookmarkEnd w:id="9"/>
    </w:p>
    <w:p w:rsidR="00ED2FEA" w:rsidRDefault="0036422B">
      <w:pPr>
        <w:widowControl/>
        <w:spacing w:line="360" w:lineRule="auto"/>
        <w:ind w:firstLineChars="200" w:firstLine="640"/>
        <w:rPr>
          <w:rFonts w:ascii="仿宋_GB2312" w:eastAsia="仿宋_GB2312" w:hAnsi="仿宋_GB2312" w:cs="仿宋_GB2312"/>
          <w:sz w:val="32"/>
          <w:szCs w:val="32"/>
        </w:rPr>
      </w:pPr>
      <w:r w:rsidRPr="00145A2F">
        <w:rPr>
          <w:rFonts w:ascii="仿宋_GB2312" w:eastAsia="仿宋_GB2312" w:hAnsi="宋体" w:cs="宋体" w:hint="eastAsia"/>
          <w:color w:val="000000"/>
          <w:kern w:val="0"/>
          <w:sz w:val="32"/>
          <w:szCs w:val="32"/>
        </w:rPr>
        <w:t>城管通数据终端（手机）通讯费</w:t>
      </w:r>
      <w:r w:rsidR="00C000B5">
        <w:rPr>
          <w:rFonts w:ascii="仿宋_GB2312" w:eastAsia="仿宋_GB2312" w:hAnsi="仿宋_GB2312" w:cs="仿宋_GB2312" w:hint="eastAsia"/>
          <w:sz w:val="32"/>
          <w:szCs w:val="32"/>
        </w:rPr>
        <w:t>项目的财务管理体系健全。聘请了具有专业资格的会计人员；有健全的财务管理制</w:t>
      </w:r>
      <w:r w:rsidR="00C000B5">
        <w:rPr>
          <w:rFonts w:ascii="仿宋_GB2312" w:eastAsia="仿宋_GB2312" w:hAnsi="仿宋_GB2312" w:cs="仿宋_GB2312" w:hint="eastAsia"/>
          <w:sz w:val="32"/>
          <w:szCs w:val="32"/>
        </w:rPr>
        <w:lastRenderedPageBreak/>
        <w:t xml:space="preserve">度；按规定设立各子项目明细账，分别核算；费用报销附件齐全，会计资料清晰，装订整齐；并且实行会计电算化。  </w:t>
      </w:r>
    </w:p>
    <w:p w:rsidR="00ED2FEA" w:rsidRPr="0036422B" w:rsidRDefault="0036422B" w:rsidP="0036422B">
      <w:pPr>
        <w:ind w:firstLineChars="200" w:firstLine="640"/>
        <w:rPr>
          <w:rFonts w:ascii="宋体" w:hAnsi="宋体" w:cs="宋体"/>
          <w:color w:val="000000"/>
          <w:kern w:val="0"/>
          <w:sz w:val="32"/>
          <w:szCs w:val="32"/>
        </w:rPr>
      </w:pPr>
      <w:r w:rsidRPr="00145A2F">
        <w:rPr>
          <w:rFonts w:ascii="仿宋_GB2312" w:eastAsia="仿宋_GB2312" w:hAnsi="宋体" w:cs="宋体" w:hint="eastAsia"/>
          <w:color w:val="000000"/>
          <w:kern w:val="0"/>
          <w:sz w:val="32"/>
          <w:szCs w:val="32"/>
        </w:rPr>
        <w:t>城管通数据终端（手机）通讯费</w:t>
      </w:r>
      <w:r w:rsidR="00C000B5">
        <w:rPr>
          <w:rFonts w:ascii="仿宋_GB2312" w:eastAsia="仿宋_GB2312" w:hAnsi="仿宋_GB2312" w:cs="仿宋_GB2312" w:hint="eastAsia"/>
          <w:sz w:val="32"/>
          <w:szCs w:val="32"/>
        </w:rPr>
        <w:t>项目严格执行本单位的财务开支事前审批制度，用款需填写用款审批表，经领导和财务共同审批后用款。将审批的关口前移，避免了资金的盲目使用，提前防控财务风险。</w:t>
      </w:r>
    </w:p>
    <w:p w:rsidR="00ED2FEA" w:rsidRPr="0036422B" w:rsidRDefault="0036422B" w:rsidP="0036422B">
      <w:pPr>
        <w:ind w:firstLineChars="200" w:firstLine="640"/>
        <w:rPr>
          <w:rFonts w:ascii="宋体" w:hAnsi="宋体" w:cs="宋体"/>
          <w:color w:val="000000"/>
          <w:kern w:val="0"/>
          <w:sz w:val="32"/>
          <w:szCs w:val="32"/>
        </w:rPr>
      </w:pPr>
      <w:r w:rsidRPr="00145A2F">
        <w:rPr>
          <w:rFonts w:ascii="仿宋_GB2312" w:eastAsia="仿宋_GB2312" w:hAnsi="宋体" w:cs="宋体" w:hint="eastAsia"/>
          <w:color w:val="000000"/>
          <w:kern w:val="0"/>
          <w:sz w:val="32"/>
          <w:szCs w:val="32"/>
        </w:rPr>
        <w:t>城管通数据终端（手机）通讯费</w:t>
      </w:r>
      <w:r w:rsidR="00C000B5">
        <w:rPr>
          <w:rFonts w:ascii="仿宋_GB2312" w:eastAsia="仿宋_GB2312" w:hAnsi="仿宋_GB2312" w:cs="仿宋_GB2312" w:hint="eastAsia"/>
          <w:sz w:val="32"/>
          <w:szCs w:val="32"/>
        </w:rPr>
        <w:t>项目严格按照制度规范执行，有效</w:t>
      </w:r>
      <w:proofErr w:type="gramStart"/>
      <w:r w:rsidR="00C000B5">
        <w:rPr>
          <w:rFonts w:ascii="仿宋_GB2312" w:eastAsia="仿宋_GB2312" w:hAnsi="仿宋_GB2312" w:cs="仿宋_GB2312" w:hint="eastAsia"/>
          <w:sz w:val="32"/>
          <w:szCs w:val="32"/>
        </w:rPr>
        <w:t>保障保障</w:t>
      </w:r>
      <w:proofErr w:type="gramEnd"/>
      <w:r w:rsidR="00C000B5">
        <w:rPr>
          <w:rFonts w:ascii="仿宋_GB2312" w:eastAsia="仿宋_GB2312" w:hAnsi="仿宋_GB2312" w:cs="仿宋_GB2312" w:hint="eastAsia"/>
          <w:sz w:val="32"/>
          <w:szCs w:val="32"/>
        </w:rPr>
        <w:t>资金安全。在实施期间资金支出做到了专款专用；各款项支付凭证、发票符合资金使用范围；资金得拨付有完整得审批程序和手续；项目的重大资金开支经过了评估认证。</w:t>
      </w:r>
    </w:p>
    <w:p w:rsidR="00ED2FEA" w:rsidRDefault="00C000B5">
      <w:pPr>
        <w:ind w:firstLine="645"/>
        <w:rPr>
          <w:rFonts w:ascii="黑体" w:eastAsia="黑体" w:hAnsi="黑体"/>
          <w:sz w:val="32"/>
          <w:szCs w:val="32"/>
        </w:rPr>
      </w:pPr>
      <w:r>
        <w:rPr>
          <w:rFonts w:ascii="黑体" w:eastAsia="黑体" w:hAnsi="黑体" w:cs="黑体" w:hint="eastAsia"/>
          <w:sz w:val="32"/>
          <w:szCs w:val="32"/>
        </w:rPr>
        <w:t>四、存在的问题</w:t>
      </w:r>
    </w:p>
    <w:p w:rsidR="00ED2FEA" w:rsidRDefault="00C000B5">
      <w:pPr>
        <w:widowControl/>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绩效目标是贯穿项目实施的整个周期，指导着项目的实施方向；而绩效指标是绩效目标的具体化，对项目实施的各个阶段起着考核、监督、引导的作用。</w:t>
      </w:r>
      <w:r>
        <w:rPr>
          <w:rFonts w:ascii="仿宋_GB2312" w:eastAsia="仿宋_GB2312" w:hAnsi="仿宋_GB2312" w:cs="仿宋_GB2312" w:hint="eastAsia"/>
          <w:sz w:val="32"/>
          <w:szCs w:val="32"/>
        </w:rPr>
        <w:t>本</w:t>
      </w:r>
      <w:r>
        <w:rPr>
          <w:rFonts w:ascii="仿宋_GB2312" w:eastAsia="仿宋_GB2312" w:hAnsi="仿宋_GB2312" w:cs="仿宋_GB2312"/>
          <w:sz w:val="32"/>
          <w:szCs w:val="32"/>
        </w:rPr>
        <w:t>单位虽然按照财政要求填报绩效目标申报表，但是所填报的绩效目标不够科学，时效绩效指标</w:t>
      </w:r>
      <w:r>
        <w:rPr>
          <w:rFonts w:ascii="仿宋_GB2312" w:eastAsia="仿宋_GB2312" w:hAnsi="仿宋_GB2312" w:cs="仿宋_GB2312" w:hint="eastAsia"/>
          <w:sz w:val="32"/>
          <w:szCs w:val="32"/>
        </w:rPr>
        <w:t>、资金使用安排</w:t>
      </w:r>
      <w:r>
        <w:rPr>
          <w:rFonts w:ascii="仿宋_GB2312" w:eastAsia="仿宋_GB2312" w:hAnsi="仿宋_GB2312" w:cs="仿宋_GB2312"/>
          <w:sz w:val="32"/>
          <w:szCs w:val="32"/>
        </w:rPr>
        <w:t>不</w:t>
      </w:r>
      <w:r>
        <w:rPr>
          <w:rFonts w:ascii="仿宋_GB2312" w:eastAsia="仿宋_GB2312" w:hAnsi="仿宋_GB2312" w:cs="仿宋_GB2312" w:hint="eastAsia"/>
          <w:sz w:val="32"/>
          <w:szCs w:val="32"/>
        </w:rPr>
        <w:t>够</w:t>
      </w:r>
      <w:r>
        <w:rPr>
          <w:rFonts w:ascii="仿宋_GB2312" w:eastAsia="仿宋_GB2312" w:hAnsi="仿宋_GB2312" w:cs="仿宋_GB2312"/>
          <w:sz w:val="32"/>
          <w:szCs w:val="32"/>
        </w:rPr>
        <w:t>明确化，绩效指标表述有待进一步完善。</w:t>
      </w:r>
    </w:p>
    <w:p w:rsidR="00ED2FEA" w:rsidRDefault="00C000B5">
      <w:pPr>
        <w:ind w:firstLine="645"/>
        <w:rPr>
          <w:rFonts w:ascii="黑体" w:eastAsia="黑体" w:hAnsi="黑体"/>
          <w:sz w:val="32"/>
          <w:szCs w:val="32"/>
        </w:rPr>
      </w:pPr>
      <w:r>
        <w:rPr>
          <w:rFonts w:ascii="黑体" w:eastAsia="黑体" w:hAnsi="黑体" w:cs="黑体" w:hint="eastAsia"/>
          <w:sz w:val="32"/>
          <w:szCs w:val="32"/>
        </w:rPr>
        <w:t>五、相关建议和整改措施</w:t>
      </w:r>
    </w:p>
    <w:p w:rsidR="00ED2FEA" w:rsidRDefault="00C000B5">
      <w:pPr>
        <w:ind w:firstLine="645"/>
        <w:rPr>
          <w:rFonts w:ascii="仿宋_GB2312" w:eastAsia="仿宋_GB2312" w:cs="仿宋_GB2312"/>
          <w:sz w:val="32"/>
          <w:szCs w:val="32"/>
        </w:rPr>
      </w:pPr>
      <w:r>
        <w:rPr>
          <w:rFonts w:ascii="仿宋_GB2312" w:eastAsia="仿宋_GB2312" w:cs="仿宋_GB2312" w:hint="eastAsia"/>
          <w:sz w:val="32"/>
          <w:szCs w:val="32"/>
        </w:rPr>
        <w:t>进行项目申报时，根据项目内容和项目特性填报绩效目标申报表，并且依据绩效目标设定绩效指标时，要充分考虑绩效指标是否清晰、细化、可衡量等，以更好的反映和考核</w:t>
      </w:r>
      <w:r>
        <w:rPr>
          <w:rFonts w:ascii="仿宋_GB2312" w:eastAsia="仿宋_GB2312" w:cs="仿宋_GB2312" w:hint="eastAsia"/>
          <w:sz w:val="32"/>
          <w:szCs w:val="32"/>
        </w:rPr>
        <w:lastRenderedPageBreak/>
        <w:t>项目绩效目标与项目实施的相符情况，提高预算管理水平。</w:t>
      </w:r>
    </w:p>
    <w:sectPr w:rsidR="00ED2FEA" w:rsidSect="00ED2FE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E0F" w:rsidRDefault="00CD5E0F" w:rsidP="00ED2FEA">
      <w:r>
        <w:separator/>
      </w:r>
    </w:p>
  </w:endnote>
  <w:endnote w:type="continuationSeparator" w:id="0">
    <w:p w:rsidR="00CD5E0F" w:rsidRDefault="00CD5E0F" w:rsidP="00ED2F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FEA" w:rsidRDefault="00FC4A80">
    <w:pPr>
      <w:pStyle w:val="a3"/>
      <w:framePr w:wrap="around" w:vAnchor="text" w:hAnchor="margin" w:xAlign="outside" w:y="1"/>
      <w:rPr>
        <w:rStyle w:val="a6"/>
        <w:rFonts w:cs="Times New Roman"/>
      </w:rPr>
    </w:pPr>
    <w:r>
      <w:rPr>
        <w:rStyle w:val="a6"/>
      </w:rPr>
      <w:fldChar w:fldCharType="begin"/>
    </w:r>
    <w:r w:rsidR="00C000B5">
      <w:rPr>
        <w:rStyle w:val="a6"/>
      </w:rPr>
      <w:instrText xml:space="preserve">PAGE  </w:instrText>
    </w:r>
    <w:r>
      <w:rPr>
        <w:rStyle w:val="a6"/>
      </w:rPr>
      <w:fldChar w:fldCharType="separate"/>
    </w:r>
    <w:r w:rsidR="00DF0067">
      <w:rPr>
        <w:rStyle w:val="a6"/>
        <w:noProof/>
      </w:rPr>
      <w:t>10</w:t>
    </w:r>
    <w:r>
      <w:rPr>
        <w:rStyle w:val="a6"/>
      </w:rPr>
      <w:fldChar w:fldCharType="end"/>
    </w:r>
  </w:p>
  <w:p w:rsidR="00ED2FEA" w:rsidRDefault="00ED2FEA">
    <w:pP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E0F" w:rsidRDefault="00CD5E0F" w:rsidP="00ED2FEA">
      <w:r>
        <w:separator/>
      </w:r>
    </w:p>
  </w:footnote>
  <w:footnote w:type="continuationSeparator" w:id="0">
    <w:p w:rsidR="00CD5E0F" w:rsidRDefault="00CD5E0F" w:rsidP="00ED2F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01A3"/>
    <w:rsid w:val="00013D68"/>
    <w:rsid w:val="0009317C"/>
    <w:rsid w:val="00145A2F"/>
    <w:rsid w:val="00156C4D"/>
    <w:rsid w:val="00181B7B"/>
    <w:rsid w:val="00196F96"/>
    <w:rsid w:val="001B6D30"/>
    <w:rsid w:val="001C58FF"/>
    <w:rsid w:val="001C7892"/>
    <w:rsid w:val="001F22C8"/>
    <w:rsid w:val="00216BAE"/>
    <w:rsid w:val="00227F8F"/>
    <w:rsid w:val="00237E7C"/>
    <w:rsid w:val="002563D9"/>
    <w:rsid w:val="002B32EE"/>
    <w:rsid w:val="002C00F9"/>
    <w:rsid w:val="002D14B6"/>
    <w:rsid w:val="002D2241"/>
    <w:rsid w:val="002F36DD"/>
    <w:rsid w:val="002F4801"/>
    <w:rsid w:val="00324D55"/>
    <w:rsid w:val="0033286C"/>
    <w:rsid w:val="0033345A"/>
    <w:rsid w:val="00341C1B"/>
    <w:rsid w:val="00345A0F"/>
    <w:rsid w:val="00353F49"/>
    <w:rsid w:val="0036422B"/>
    <w:rsid w:val="00374069"/>
    <w:rsid w:val="00386582"/>
    <w:rsid w:val="00386D38"/>
    <w:rsid w:val="003A37FD"/>
    <w:rsid w:val="003B2474"/>
    <w:rsid w:val="003B331A"/>
    <w:rsid w:val="003F21D4"/>
    <w:rsid w:val="00436142"/>
    <w:rsid w:val="00466056"/>
    <w:rsid w:val="00493345"/>
    <w:rsid w:val="004B2317"/>
    <w:rsid w:val="004B6563"/>
    <w:rsid w:val="00504FA5"/>
    <w:rsid w:val="00527CB5"/>
    <w:rsid w:val="00531E4D"/>
    <w:rsid w:val="005A61E0"/>
    <w:rsid w:val="005C0399"/>
    <w:rsid w:val="005D3A75"/>
    <w:rsid w:val="006829E2"/>
    <w:rsid w:val="006B0583"/>
    <w:rsid w:val="006C08C0"/>
    <w:rsid w:val="006F3ED8"/>
    <w:rsid w:val="00740314"/>
    <w:rsid w:val="0074126B"/>
    <w:rsid w:val="00741931"/>
    <w:rsid w:val="00781CD1"/>
    <w:rsid w:val="007956D9"/>
    <w:rsid w:val="007B3CA7"/>
    <w:rsid w:val="007C4628"/>
    <w:rsid w:val="007D4963"/>
    <w:rsid w:val="007E2748"/>
    <w:rsid w:val="0083403B"/>
    <w:rsid w:val="008457BB"/>
    <w:rsid w:val="00854C0B"/>
    <w:rsid w:val="00867D30"/>
    <w:rsid w:val="00867F87"/>
    <w:rsid w:val="008879A2"/>
    <w:rsid w:val="008E31B9"/>
    <w:rsid w:val="008F0D04"/>
    <w:rsid w:val="008F49D2"/>
    <w:rsid w:val="00907D9F"/>
    <w:rsid w:val="009164F2"/>
    <w:rsid w:val="00920009"/>
    <w:rsid w:val="00935023"/>
    <w:rsid w:val="00940A60"/>
    <w:rsid w:val="009533B5"/>
    <w:rsid w:val="00974605"/>
    <w:rsid w:val="00976E59"/>
    <w:rsid w:val="009A143D"/>
    <w:rsid w:val="009F43DF"/>
    <w:rsid w:val="00A439C8"/>
    <w:rsid w:val="00A6342C"/>
    <w:rsid w:val="00A63DA6"/>
    <w:rsid w:val="00A713D4"/>
    <w:rsid w:val="00AC3E91"/>
    <w:rsid w:val="00B065BF"/>
    <w:rsid w:val="00B361A9"/>
    <w:rsid w:val="00B63618"/>
    <w:rsid w:val="00BA71DC"/>
    <w:rsid w:val="00BD2AE7"/>
    <w:rsid w:val="00BE0E8E"/>
    <w:rsid w:val="00BE1196"/>
    <w:rsid w:val="00BE226F"/>
    <w:rsid w:val="00BF308C"/>
    <w:rsid w:val="00C000B5"/>
    <w:rsid w:val="00C24251"/>
    <w:rsid w:val="00C4279C"/>
    <w:rsid w:val="00C55EE5"/>
    <w:rsid w:val="00CA01A3"/>
    <w:rsid w:val="00CA0DA9"/>
    <w:rsid w:val="00CB4B87"/>
    <w:rsid w:val="00CB506D"/>
    <w:rsid w:val="00CD5E0F"/>
    <w:rsid w:val="00D171CB"/>
    <w:rsid w:val="00D32C9A"/>
    <w:rsid w:val="00D337CC"/>
    <w:rsid w:val="00D41B8F"/>
    <w:rsid w:val="00D556A2"/>
    <w:rsid w:val="00D57D55"/>
    <w:rsid w:val="00D65D87"/>
    <w:rsid w:val="00D908B5"/>
    <w:rsid w:val="00D91C7F"/>
    <w:rsid w:val="00DC53EE"/>
    <w:rsid w:val="00DE1831"/>
    <w:rsid w:val="00DF0067"/>
    <w:rsid w:val="00E04D96"/>
    <w:rsid w:val="00E059F3"/>
    <w:rsid w:val="00E2350E"/>
    <w:rsid w:val="00E46404"/>
    <w:rsid w:val="00E51DAF"/>
    <w:rsid w:val="00E62C5C"/>
    <w:rsid w:val="00E772C1"/>
    <w:rsid w:val="00E80D80"/>
    <w:rsid w:val="00E949AB"/>
    <w:rsid w:val="00ED2FEA"/>
    <w:rsid w:val="00F0748E"/>
    <w:rsid w:val="00F1261C"/>
    <w:rsid w:val="00F411B1"/>
    <w:rsid w:val="00FA591D"/>
    <w:rsid w:val="00FC4A80"/>
    <w:rsid w:val="00FF1475"/>
    <w:rsid w:val="04BD2854"/>
    <w:rsid w:val="0EFE78ED"/>
    <w:rsid w:val="13D6553A"/>
    <w:rsid w:val="19D25DE5"/>
    <w:rsid w:val="1A9A524F"/>
    <w:rsid w:val="1CBA6024"/>
    <w:rsid w:val="215E27F1"/>
    <w:rsid w:val="26B76D44"/>
    <w:rsid w:val="284F4C4D"/>
    <w:rsid w:val="2A7B0057"/>
    <w:rsid w:val="3029112B"/>
    <w:rsid w:val="3C7C70F4"/>
    <w:rsid w:val="404639AD"/>
    <w:rsid w:val="434B799C"/>
    <w:rsid w:val="481F0EAA"/>
    <w:rsid w:val="4B657011"/>
    <w:rsid w:val="5CC52CFB"/>
    <w:rsid w:val="640E7C2A"/>
    <w:rsid w:val="700E3DFB"/>
    <w:rsid w:val="73B228C0"/>
    <w:rsid w:val="77F4650A"/>
    <w:rsid w:val="7CE164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lsdException w:name="caption" w:locked="1" w:uiPriority="0" w:qFormat="1"/>
    <w:lsdException w:name="page number" w:semiHidden="0" w:unhideWhenUsed="0" w:qFormat="1"/>
    <w:lsdException w:name="Title" w:locked="1" w:semiHidden="0" w:uiPriority="0" w:unhideWhenUsed="0" w:qFormat="1"/>
    <w:lsdException w:name="Default Paragraph Font"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FEA"/>
    <w:pPr>
      <w:widowControl w:val="0"/>
      <w:jc w:val="both"/>
    </w:pPr>
    <w:rPr>
      <w:kern w:val="2"/>
      <w:sz w:val="21"/>
      <w:szCs w:val="21"/>
    </w:rPr>
  </w:style>
  <w:style w:type="paragraph" w:styleId="2">
    <w:name w:val="heading 2"/>
    <w:basedOn w:val="a"/>
    <w:next w:val="a"/>
    <w:qFormat/>
    <w:locked/>
    <w:rsid w:val="00ED2FEA"/>
    <w:pPr>
      <w:keepNext/>
      <w:keepLines/>
      <w:spacing w:line="360" w:lineRule="auto"/>
      <w:outlineLvl w:val="1"/>
    </w:pPr>
    <w:rPr>
      <w:b/>
      <w:bCs/>
      <w:sz w:val="3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D2FEA"/>
    <w:pPr>
      <w:tabs>
        <w:tab w:val="center" w:pos="4153"/>
        <w:tab w:val="right" w:pos="8306"/>
      </w:tabs>
      <w:snapToGrid w:val="0"/>
      <w:jc w:val="left"/>
    </w:pPr>
    <w:rPr>
      <w:rFonts w:ascii="Calibri" w:hAnsi="Calibri" w:cs="Calibri"/>
      <w:sz w:val="18"/>
      <w:szCs w:val="18"/>
    </w:rPr>
  </w:style>
  <w:style w:type="paragraph" w:styleId="a4">
    <w:name w:val="header"/>
    <w:basedOn w:val="a"/>
    <w:link w:val="Char0"/>
    <w:uiPriority w:val="99"/>
    <w:semiHidden/>
    <w:qFormat/>
    <w:rsid w:val="00ED2FEA"/>
    <w:pPr>
      <w:pBdr>
        <w:bottom w:val="single" w:sz="6" w:space="1" w:color="auto"/>
      </w:pBdr>
      <w:tabs>
        <w:tab w:val="center" w:pos="4153"/>
        <w:tab w:val="right" w:pos="8306"/>
      </w:tabs>
      <w:snapToGrid w:val="0"/>
      <w:jc w:val="center"/>
    </w:pPr>
    <w:rPr>
      <w:rFonts w:ascii="Calibri" w:hAnsi="Calibri" w:cs="Calibri"/>
      <w:sz w:val="18"/>
      <w:szCs w:val="18"/>
    </w:rPr>
  </w:style>
  <w:style w:type="paragraph" w:styleId="a5">
    <w:name w:val="Normal (Web)"/>
    <w:basedOn w:val="a"/>
    <w:qFormat/>
    <w:rsid w:val="00ED2FEA"/>
    <w:pPr>
      <w:spacing w:before="100" w:beforeAutospacing="1" w:after="100" w:afterAutospacing="1"/>
      <w:jc w:val="left"/>
    </w:pPr>
    <w:rPr>
      <w:kern w:val="0"/>
      <w:sz w:val="24"/>
    </w:rPr>
  </w:style>
  <w:style w:type="character" w:styleId="a6">
    <w:name w:val="page number"/>
    <w:basedOn w:val="a0"/>
    <w:uiPriority w:val="99"/>
    <w:qFormat/>
    <w:rsid w:val="00ED2FEA"/>
  </w:style>
  <w:style w:type="character" w:customStyle="1" w:styleId="Char0">
    <w:name w:val="页眉 Char"/>
    <w:basedOn w:val="a0"/>
    <w:link w:val="a4"/>
    <w:uiPriority w:val="99"/>
    <w:semiHidden/>
    <w:locked/>
    <w:rsid w:val="00ED2FEA"/>
    <w:rPr>
      <w:sz w:val="18"/>
      <w:szCs w:val="18"/>
    </w:rPr>
  </w:style>
  <w:style w:type="character" w:customStyle="1" w:styleId="Char">
    <w:name w:val="页脚 Char"/>
    <w:basedOn w:val="a0"/>
    <w:link w:val="a3"/>
    <w:uiPriority w:val="99"/>
    <w:semiHidden/>
    <w:qFormat/>
    <w:locked/>
    <w:rsid w:val="00ED2FEA"/>
    <w:rPr>
      <w:sz w:val="18"/>
      <w:szCs w:val="18"/>
    </w:rPr>
  </w:style>
  <w:style w:type="paragraph" w:customStyle="1" w:styleId="20">
    <w:name w:val="2"/>
    <w:basedOn w:val="a"/>
    <w:qFormat/>
    <w:rsid w:val="00ED2FEA"/>
    <w:pPr>
      <w:adjustRightInd w:val="0"/>
      <w:snapToGrid w:val="0"/>
      <w:spacing w:line="360" w:lineRule="auto"/>
      <w:ind w:firstLineChars="200" w:firstLine="562"/>
      <w:outlineLvl w:val="1"/>
    </w:pPr>
    <w:rPr>
      <w:rFonts w:ascii="仿宋_GB2312" w:eastAsia="仿宋_GB2312" w:hAnsi="仿宋"/>
      <w:b/>
      <w:sz w:val="28"/>
    </w:rPr>
  </w:style>
</w:styles>
</file>

<file path=word/webSettings.xml><?xml version="1.0" encoding="utf-8"?>
<w:webSettings xmlns:r="http://schemas.openxmlformats.org/officeDocument/2006/relationships" xmlns:w="http://schemas.openxmlformats.org/wordprocessingml/2006/main">
  <w:divs>
    <w:div w:id="1019434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11</Pages>
  <Words>847</Words>
  <Characters>4828</Characters>
  <Application>Microsoft Office Word</Application>
  <DocSecurity>0</DocSecurity>
  <Lines>40</Lines>
  <Paragraphs>11</Paragraphs>
  <ScaleCrop>false</ScaleCrop>
  <Company>Microsoft</Company>
  <LinksUpToDate>false</LinksUpToDate>
  <CharactersWithSpaces>5664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沈洋</dc:creator>
  <cp:lastModifiedBy>陈嘉敏</cp:lastModifiedBy>
  <cp:revision>3</cp:revision>
  <cp:lastPrinted>2019-04-10T07:56:00Z</cp:lastPrinted>
  <dcterms:created xsi:type="dcterms:W3CDTF">2020-12-10T02:08:00Z</dcterms:created>
  <dcterms:modified xsi:type="dcterms:W3CDTF">2020-12-10T03:25:00Z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