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表.9</w:t>
      </w:r>
    </w:p>
    <w:p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国有资本经营预算支出情况表</w:t>
      </w:r>
    </w:p>
    <w:p>
      <w:pPr>
        <w:spacing w:line="420" w:lineRule="exact"/>
      </w:pP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13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1796"/>
        <w:gridCol w:w="3128"/>
        <w:gridCol w:w="1796"/>
        <w:gridCol w:w="156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106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 盐田区总工会 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938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预算单位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科目编码</w:t>
            </w:r>
          </w:p>
        </w:tc>
        <w:tc>
          <w:tcPr>
            <w:tcW w:w="3128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科目名称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支出总计</w:t>
            </w:r>
          </w:p>
        </w:tc>
        <w:tc>
          <w:tcPr>
            <w:tcW w:w="1565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1638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盐田区总工会</w:t>
            </w:r>
          </w:p>
        </w:tc>
        <w:tc>
          <w:tcPr>
            <w:tcW w:w="1796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注：此项资金无预算。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AFE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179D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63AFE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  <w:rsid w:val="42412222"/>
    <w:rsid w:val="6B1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2020-06-10T07:13:00Z</dcterms:created>
  <dc:creator>总工会收发文</dc:creator>
  <cp:lastModifiedBy>Administrator</cp:lastModifiedBy>
  <dcterms:modified xsi:type="dcterms:W3CDTF">2021-05-24T08:42:30Z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