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r>
        <w:rPr>
          <w:rFonts w:hint="eastAsia" w:ascii="仿宋_GB2312" w:hAnsi="宋体" w:eastAsia="仿宋_GB2312" w:cs="仿宋_GB2312"/>
          <w:sz w:val="32"/>
          <w:szCs w:val="32"/>
        </w:rPr>
        <w:t>附件</w:t>
      </w:r>
      <w:r>
        <w:rPr>
          <w:rFonts w:ascii="仿宋_GB2312" w:hAnsi="宋体" w:eastAsia="仿宋_GB2312" w:cs="仿宋_GB2312"/>
          <w:sz w:val="32"/>
          <w:szCs w:val="32"/>
        </w:rPr>
        <w:t>3</w:t>
      </w:r>
    </w:p>
    <w:p>
      <w:pPr>
        <w:rPr>
          <w:rFonts w:ascii="宋体"/>
          <w:sz w:val="44"/>
          <w:szCs w:val="44"/>
        </w:rPr>
      </w:pPr>
    </w:p>
    <w:p>
      <w:pPr>
        <w:rPr>
          <w:rFonts w:ascii="宋体"/>
          <w:sz w:val="44"/>
          <w:szCs w:val="44"/>
        </w:rPr>
      </w:pPr>
    </w:p>
    <w:p>
      <w:pPr>
        <w:rPr>
          <w:rFonts w:ascii="宋体"/>
          <w:sz w:val="44"/>
          <w:szCs w:val="44"/>
        </w:rPr>
      </w:pPr>
    </w:p>
    <w:p>
      <w:pPr>
        <w:rPr>
          <w:rFonts w:ascii="宋体"/>
          <w:sz w:val="44"/>
          <w:szCs w:val="44"/>
        </w:rPr>
      </w:pPr>
    </w:p>
    <w:p>
      <w:pPr>
        <w:jc w:val="center"/>
        <w:rPr>
          <w:rFonts w:ascii="宋体"/>
          <w:sz w:val="44"/>
          <w:szCs w:val="44"/>
        </w:rPr>
      </w:pPr>
      <w:r>
        <w:rPr>
          <w:rFonts w:ascii="宋体" w:hAnsi="宋体" w:cs="宋体"/>
          <w:sz w:val="44"/>
          <w:szCs w:val="44"/>
        </w:rPr>
        <w:t>2018</w:t>
      </w:r>
      <w:r>
        <w:rPr>
          <w:rFonts w:hint="eastAsia" w:ascii="宋体" w:hAnsi="宋体" w:cs="宋体"/>
          <w:sz w:val="44"/>
          <w:szCs w:val="44"/>
        </w:rPr>
        <w:t>年度重点项目支出</w:t>
      </w:r>
    </w:p>
    <w:p>
      <w:pPr>
        <w:jc w:val="center"/>
        <w:rPr>
          <w:rFonts w:ascii="宋体"/>
          <w:sz w:val="44"/>
          <w:szCs w:val="44"/>
        </w:rPr>
      </w:pPr>
      <w:r>
        <w:rPr>
          <w:rFonts w:hint="eastAsia" w:ascii="宋体" w:hAnsi="宋体" w:cs="宋体"/>
          <w:sz w:val="44"/>
          <w:szCs w:val="44"/>
        </w:rPr>
        <w:t>绩效评价报告</w:t>
      </w: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jc w:val="center"/>
        <w:rPr>
          <w:rFonts w:ascii="楷体_GB2312" w:hAnsi="宋体" w:eastAsia="楷体_GB2312"/>
          <w:sz w:val="36"/>
          <w:szCs w:val="36"/>
        </w:rPr>
      </w:pPr>
    </w:p>
    <w:p>
      <w:pPr>
        <w:spacing w:line="360" w:lineRule="auto"/>
        <w:ind w:firstLine="640" w:firstLineChars="200"/>
        <w:rPr>
          <w:rFonts w:ascii="仿宋_GB2312" w:eastAsia="仿宋_GB2312"/>
          <w:sz w:val="32"/>
          <w:szCs w:val="32"/>
        </w:rPr>
      </w:pPr>
      <w:r>
        <w:rPr>
          <w:rFonts w:hint="eastAsia" w:ascii="仿宋_GB2312" w:eastAsia="仿宋_GB2312" w:cs="仿宋_GB2312"/>
          <w:sz w:val="32"/>
          <w:szCs w:val="32"/>
        </w:rPr>
        <w:t>项目名称：盐田区盐田河综合管理服务项目</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rPr>
        <w:t>主管部门（公章）：</w:t>
      </w:r>
      <w:r>
        <w:rPr>
          <w:rFonts w:hint="eastAsia" w:ascii="仿宋_GB2312" w:eastAsia="仿宋_GB2312" w:cs="仿宋_GB2312"/>
          <w:sz w:val="32"/>
          <w:szCs w:val="32"/>
          <w:lang w:val="en-US" w:eastAsia="zh-CN"/>
        </w:rPr>
        <w:t>深圳市盐田区防洪排涝设施管理所</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rPr>
        <w:t>项目负责人：</w:t>
      </w:r>
      <w:r>
        <w:rPr>
          <w:rFonts w:hint="eastAsia" w:ascii="仿宋_GB2312" w:eastAsia="仿宋_GB2312" w:cs="仿宋_GB2312"/>
          <w:sz w:val="32"/>
          <w:szCs w:val="32"/>
          <w:lang w:val="en-US" w:eastAsia="zh-CN"/>
        </w:rPr>
        <w:t>徐骋</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rPr>
        <w:t>填报人：</w:t>
      </w:r>
      <w:r>
        <w:rPr>
          <w:rFonts w:hint="eastAsia" w:ascii="仿宋_GB2312" w:eastAsia="仿宋_GB2312" w:cs="仿宋_GB2312"/>
          <w:sz w:val="32"/>
          <w:szCs w:val="32"/>
          <w:lang w:val="en-US" w:eastAsia="zh-CN"/>
        </w:rPr>
        <w:t>陈嘉怡</w:t>
      </w:r>
    </w:p>
    <w:p>
      <w:pPr>
        <w:spacing w:line="360" w:lineRule="auto"/>
        <w:ind w:firstLine="640" w:firstLineChars="200"/>
        <w:rPr>
          <w:rFonts w:hint="default" w:ascii="仿宋_GB2312" w:eastAsia="仿宋_GB2312"/>
          <w:sz w:val="32"/>
          <w:szCs w:val="32"/>
          <w:lang w:val="en-US" w:eastAsia="zh-CN"/>
        </w:rPr>
      </w:pPr>
      <w:r>
        <w:rPr>
          <w:rFonts w:hint="eastAsia" w:ascii="仿宋_GB2312" w:eastAsia="仿宋_GB2312" w:cs="仿宋_GB2312"/>
          <w:sz w:val="32"/>
          <w:szCs w:val="32"/>
        </w:rPr>
        <w:t>联系电话：</w:t>
      </w:r>
      <w:r>
        <w:rPr>
          <w:rFonts w:hint="eastAsia" w:ascii="仿宋_GB2312" w:eastAsia="仿宋_GB2312" w:cs="仿宋_GB2312"/>
          <w:sz w:val="32"/>
          <w:szCs w:val="32"/>
          <w:lang w:val="en-US" w:eastAsia="zh-CN"/>
        </w:rPr>
        <w:t>25284103</w:t>
      </w:r>
    </w:p>
    <w:p>
      <w:pPr>
        <w:jc w:val="center"/>
        <w:rPr>
          <w:rFonts w:ascii="仿宋_GB2312" w:eastAsia="仿宋_GB2312"/>
          <w:sz w:val="32"/>
          <w:szCs w:val="32"/>
        </w:rPr>
      </w:pPr>
    </w:p>
    <w:p>
      <w:pPr>
        <w:jc w:val="center"/>
        <w:rPr>
          <w:rFonts w:ascii="楷体_GB2312" w:hAnsi="宋体" w:eastAsia="楷体_GB2312"/>
          <w:sz w:val="36"/>
          <w:szCs w:val="36"/>
        </w:rPr>
      </w:pPr>
    </w:p>
    <w:p>
      <w:pPr>
        <w:rPr>
          <w:rFonts w:ascii="楷体_GB2312" w:hAnsi="宋体" w:eastAsia="楷体_GB2312"/>
          <w:sz w:val="36"/>
          <w:szCs w:val="36"/>
        </w:rPr>
      </w:pPr>
    </w:p>
    <w:p>
      <w:pPr>
        <w:rPr>
          <w:rFonts w:ascii="黑体" w:eastAsia="黑体"/>
          <w:sz w:val="32"/>
          <w:szCs w:val="32"/>
        </w:rPr>
      </w:pPr>
      <w:r>
        <w:rPr>
          <w:rFonts w:ascii="仿宋_GB2312" w:eastAsia="仿宋_GB2312" w:cs="仿宋_GB2312"/>
          <w:sz w:val="32"/>
          <w:szCs w:val="32"/>
        </w:rPr>
        <w:t xml:space="preserve">    </w:t>
      </w:r>
      <w:r>
        <w:rPr>
          <w:rFonts w:hint="eastAsia" w:ascii="黑体" w:eastAsia="黑体" w:cs="黑体"/>
          <w:sz w:val="32"/>
          <w:szCs w:val="32"/>
        </w:rPr>
        <w:t>一、项目概况</w:t>
      </w:r>
    </w:p>
    <w:p>
      <w:pPr>
        <w:ind w:firstLine="645"/>
        <w:rPr>
          <w:rFonts w:hint="eastAsia" w:ascii="仿宋_GB2312" w:eastAsia="仿宋_GB2312" w:cs="仿宋_GB2312"/>
          <w:sz w:val="32"/>
          <w:szCs w:val="32"/>
        </w:rPr>
      </w:pPr>
      <w:r>
        <w:rPr>
          <w:rFonts w:hint="eastAsia" w:ascii="仿宋_GB2312" w:eastAsia="仿宋_GB2312" w:cs="仿宋_GB2312"/>
          <w:sz w:val="32"/>
          <w:szCs w:val="32"/>
        </w:rPr>
        <w:t>（一）项目背景、立项依据。</w:t>
      </w:r>
    </w:p>
    <w:p>
      <w:pPr>
        <w:ind w:firstLine="640" w:firstLineChars="200"/>
        <w:rPr>
          <w:rFonts w:hint="eastAsia" w:ascii="仿宋_GB2312" w:eastAsia="仿宋_GB2312" w:cs="仿宋_GB2312"/>
          <w:sz w:val="32"/>
          <w:szCs w:val="32"/>
        </w:rPr>
      </w:pPr>
      <w:r>
        <w:rPr>
          <w:rFonts w:hint="eastAsia" w:ascii="仿宋_GB2312" w:eastAsia="仿宋_GB2312"/>
          <w:sz w:val="32"/>
          <w:szCs w:val="32"/>
        </w:rPr>
        <w:t>为保证河道干净卫生及附属设施正常运行，做好水域保洁，保护河道生态环境，不断提升河道景观环境，为我区黄金海岸旅游事业添砖加瓦，我所开展了盐田河综合管理服务项目</w:t>
      </w:r>
    </w:p>
    <w:p>
      <w:pPr>
        <w:numPr>
          <w:ilvl w:val="0"/>
          <w:numId w:val="1"/>
        </w:numPr>
        <w:ind w:firstLine="645"/>
        <w:rPr>
          <w:rFonts w:hint="eastAsia" w:ascii="仿宋_GB2312" w:eastAsia="仿宋_GB2312" w:cs="仿宋_GB2312"/>
          <w:sz w:val="32"/>
          <w:szCs w:val="32"/>
        </w:rPr>
      </w:pPr>
      <w:r>
        <w:rPr>
          <w:rFonts w:hint="eastAsia" w:ascii="仿宋_GB2312" w:eastAsia="仿宋_GB2312" w:cs="仿宋_GB2312"/>
          <w:sz w:val="32"/>
          <w:szCs w:val="32"/>
        </w:rPr>
        <w:t>项目管理的组织架构和职责分工。</w:t>
      </w:r>
    </w:p>
    <w:p>
      <w:pPr>
        <w:numPr>
          <w:ilvl w:val="0"/>
          <w:numId w:val="0"/>
        </w:numPr>
        <w:ind w:firstLine="640" w:firstLineChars="200"/>
        <w:rPr>
          <w:rFonts w:hint="eastAsia" w:ascii="仿宋_GB2312" w:eastAsia="仿宋_GB2312" w:cs="仿宋_GB2312"/>
          <w:sz w:val="32"/>
          <w:szCs w:val="32"/>
        </w:rPr>
      </w:pPr>
      <w:r>
        <w:rPr>
          <w:rFonts w:hint="eastAsia" w:ascii="仿宋_GB2312" w:eastAsia="仿宋_GB2312"/>
          <w:sz w:val="32"/>
          <w:szCs w:val="32"/>
        </w:rPr>
        <w:t>盐田区</w:t>
      </w:r>
      <w:r>
        <w:rPr>
          <w:rFonts w:hint="eastAsia" w:ascii="仿宋_GB2312" w:eastAsia="仿宋_GB2312"/>
          <w:sz w:val="32"/>
          <w:szCs w:val="32"/>
          <w:lang w:val="en-US" w:eastAsia="zh-CN"/>
        </w:rPr>
        <w:t>防洪排涝设施管理所</w:t>
      </w:r>
      <w:r>
        <w:rPr>
          <w:rFonts w:hint="eastAsia" w:ascii="仿宋_GB2312" w:eastAsia="仿宋_GB2312"/>
          <w:sz w:val="32"/>
          <w:szCs w:val="32"/>
        </w:rPr>
        <w:t>建立了相应的管理制度并细化了工作流程，安排专人负责项目的预算申报、公开招标、资金支付等,所有程序均符合规范，</w:t>
      </w:r>
      <w:r>
        <w:rPr>
          <w:rFonts w:hint="eastAsia" w:ascii="仿宋" w:hAnsi="仿宋" w:eastAsia="仿宋" w:cs="仿宋"/>
          <w:kern w:val="0"/>
          <w:sz w:val="32"/>
          <w:szCs w:val="32"/>
        </w:rPr>
        <w:t>确保项目质量和资金的安全使用</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cs="仿宋_GB2312"/>
          <w:sz w:val="32"/>
          <w:szCs w:val="32"/>
        </w:rPr>
        <w:t>（三）项目资金管理情况。</w:t>
      </w:r>
    </w:p>
    <w:p>
      <w:pPr>
        <w:ind w:firstLine="645"/>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项目资金预算和分配情况。包括资金主管部门、使用单位，使用方式、范围，项目招投标情况、预算调整情况等。</w:t>
      </w:r>
    </w:p>
    <w:p>
      <w:pPr>
        <w:ind w:firstLine="645"/>
        <w:rPr>
          <w:rFonts w:hint="eastAsia" w:ascii="仿宋_GB2312" w:eastAsia="仿宋_GB2312" w:cs="仿宋_GB2312"/>
          <w:sz w:val="32"/>
          <w:szCs w:val="32"/>
        </w:rPr>
      </w:pPr>
      <w:r>
        <w:rPr>
          <w:rFonts w:hint="eastAsia" w:ascii="仿宋_GB2312" w:eastAsia="仿宋_GB2312" w:cs="仿宋_GB2312"/>
          <w:sz w:val="32"/>
          <w:szCs w:val="32"/>
        </w:rPr>
        <w:t>本项目年度预算为</w:t>
      </w:r>
      <w:r>
        <w:rPr>
          <w:rFonts w:hint="eastAsia" w:ascii="仿宋_GB2312" w:eastAsia="仿宋_GB2312" w:cs="仿宋_GB2312"/>
          <w:sz w:val="32"/>
          <w:szCs w:val="32"/>
          <w:lang w:val="en-US" w:eastAsia="zh-CN"/>
        </w:rPr>
        <w:t>284.55</w:t>
      </w:r>
      <w:r>
        <w:rPr>
          <w:rFonts w:hint="eastAsia" w:ascii="仿宋_GB2312" w:eastAsia="仿宋_GB2312" w:cs="仿宋_GB2312"/>
          <w:sz w:val="32"/>
          <w:szCs w:val="32"/>
        </w:rPr>
        <w:t>万元，全部为财政拨款，资金主管部门及使用单位为深圳市盐田区</w:t>
      </w:r>
      <w:r>
        <w:rPr>
          <w:rFonts w:hint="eastAsia" w:ascii="仿宋_GB2312" w:eastAsia="仿宋_GB2312" w:cs="仿宋_GB2312"/>
          <w:sz w:val="32"/>
          <w:szCs w:val="32"/>
          <w:lang w:val="en-US" w:eastAsia="zh-CN"/>
        </w:rPr>
        <w:t>防洪排涝设施管理所</w:t>
      </w:r>
      <w:r>
        <w:rPr>
          <w:rFonts w:hint="eastAsia" w:ascii="仿宋_GB2312" w:eastAsia="仿宋_GB2312" w:cs="仿宋_GB2312"/>
          <w:sz w:val="32"/>
          <w:szCs w:val="32"/>
        </w:rPr>
        <w:t>。根据深圳市盐田区政府采购</w:t>
      </w:r>
      <w:r>
        <w:rPr>
          <w:rFonts w:hint="eastAsia" w:ascii="仿宋_GB2312" w:eastAsia="仿宋_GB2312" w:cs="仿宋_GB2312"/>
          <w:color w:val="auto"/>
          <w:sz w:val="32"/>
          <w:szCs w:val="32"/>
        </w:rPr>
        <w:t>中心YTW</w:t>
      </w:r>
      <w:r>
        <w:rPr>
          <w:rFonts w:hint="eastAsia" w:ascii="仿宋_GB2312" w:eastAsia="仿宋_GB2312" w:cs="仿宋_GB2312"/>
          <w:color w:val="auto"/>
          <w:sz w:val="32"/>
          <w:szCs w:val="32"/>
          <w:lang w:val="en-US" w:eastAsia="zh-CN"/>
        </w:rPr>
        <w:t>17203</w:t>
      </w:r>
      <w:r>
        <w:rPr>
          <w:rFonts w:hint="eastAsia" w:ascii="仿宋_GB2312" w:eastAsia="仿宋_GB2312" w:cs="仿宋_GB2312"/>
          <w:sz w:val="32"/>
          <w:szCs w:val="32"/>
        </w:rPr>
        <w:t>号招标项目的投标结果</w:t>
      </w:r>
      <w:r>
        <w:rPr>
          <w:rFonts w:hint="eastAsia" w:ascii="仿宋_GB2312" w:eastAsia="仿宋_GB2312" w:cs="仿宋_GB2312"/>
          <w:sz w:val="32"/>
          <w:szCs w:val="32"/>
          <w:lang w:eastAsia="zh-CN"/>
        </w:rPr>
        <w:t>，</w:t>
      </w:r>
      <w:r>
        <w:rPr>
          <w:rFonts w:hint="eastAsia" w:ascii="仿宋_GB2312" w:eastAsia="仿宋_GB2312"/>
          <w:sz w:val="32"/>
          <w:szCs w:val="32"/>
        </w:rPr>
        <w:t>深圳市水务技术服务有限公司</w:t>
      </w:r>
      <w:r>
        <w:rPr>
          <w:rFonts w:hint="eastAsia" w:ascii="仿宋_GB2312" w:eastAsia="仿宋_GB2312" w:cs="仿宋_GB2312"/>
          <w:sz w:val="32"/>
          <w:szCs w:val="32"/>
        </w:rPr>
        <w:t>为中标方，中标金额为</w:t>
      </w:r>
      <w:r>
        <w:rPr>
          <w:rFonts w:hint="eastAsia" w:ascii="仿宋_GB2312" w:eastAsia="仿宋_GB2312" w:cs="仿宋_GB2312"/>
          <w:color w:val="auto"/>
          <w:sz w:val="32"/>
          <w:szCs w:val="32"/>
          <w:lang w:val="en-US" w:eastAsia="zh-CN"/>
        </w:rPr>
        <w:t>2845153.6</w:t>
      </w:r>
      <w:r>
        <w:rPr>
          <w:rFonts w:hint="eastAsia" w:ascii="仿宋_GB2312" w:eastAsia="仿宋_GB2312" w:cs="仿宋_GB2312"/>
          <w:sz w:val="32"/>
          <w:szCs w:val="32"/>
        </w:rPr>
        <w:t>元。</w:t>
      </w:r>
    </w:p>
    <w:p>
      <w:pPr>
        <w:ind w:firstLine="645"/>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项目资金管理和使用情况。包括财务管理状况，资产采购、配置、使用、处置及其收益管理情况，经费管理制度、办法的制定和执行情况。</w:t>
      </w:r>
    </w:p>
    <w:p>
      <w:pPr>
        <w:ind w:firstLine="645"/>
        <w:rPr>
          <w:rFonts w:ascii="仿宋_GB2312" w:eastAsia="仿宋_GB2312"/>
          <w:sz w:val="32"/>
          <w:szCs w:val="32"/>
        </w:rPr>
      </w:pPr>
      <w:r>
        <w:rPr>
          <w:rFonts w:hint="eastAsia" w:ascii="仿宋_GB2312" w:eastAsia="仿宋_GB2312" w:cs="仿宋_GB2312"/>
          <w:sz w:val="32"/>
          <w:szCs w:val="32"/>
        </w:rPr>
        <w:t>（四）项目绩效目标及实现情况。绩效目标内容应与向财政部门编报的绩效目标保持一致，跨年度的项目应区分年度目标和长期目标。</w:t>
      </w:r>
    </w:p>
    <w:p>
      <w:pPr>
        <w:ind w:firstLine="645"/>
        <w:rPr>
          <w:rFonts w:ascii="黑体" w:eastAsia="黑体"/>
          <w:sz w:val="32"/>
          <w:szCs w:val="32"/>
        </w:rPr>
      </w:pPr>
      <w:r>
        <w:rPr>
          <w:rFonts w:hint="eastAsia" w:ascii="黑体" w:eastAsia="黑体" w:cs="黑体"/>
          <w:sz w:val="32"/>
          <w:szCs w:val="32"/>
        </w:rPr>
        <w:t>二、项目绩效评价结论和分析</w:t>
      </w:r>
    </w:p>
    <w:p>
      <w:pPr>
        <w:ind w:firstLine="645"/>
        <w:rPr>
          <w:rFonts w:hint="eastAsia" w:ascii="仿宋_GB2312" w:eastAsia="仿宋_GB2312" w:cs="仿宋_GB2312"/>
          <w:sz w:val="32"/>
          <w:szCs w:val="32"/>
        </w:rPr>
      </w:pPr>
      <w:r>
        <w:rPr>
          <w:rFonts w:hint="eastAsia" w:ascii="仿宋_GB2312" w:eastAsia="仿宋_GB2312" w:cs="仿宋_GB2312"/>
          <w:sz w:val="32"/>
          <w:szCs w:val="32"/>
        </w:rPr>
        <w:t>（一）项目绩效评价结论。</w:t>
      </w:r>
    </w:p>
    <w:p>
      <w:pPr>
        <w:ind w:firstLine="645"/>
        <w:rPr>
          <w:rFonts w:hint="eastAsia" w:ascii="仿宋_GB2312" w:eastAsia="仿宋_GB2312" w:cs="仿宋_GB2312"/>
          <w:sz w:val="32"/>
          <w:szCs w:val="32"/>
        </w:rPr>
      </w:pPr>
      <w:r>
        <w:rPr>
          <w:rFonts w:hint="eastAsia" w:ascii="仿宋_GB2312" w:eastAsia="仿宋_GB2312"/>
          <w:sz w:val="32"/>
          <w:szCs w:val="32"/>
        </w:rPr>
        <w:t>总体上看，该项目2018年预算执行的各项工作完成情况良好，达到了预期效果，评价为良好。</w:t>
      </w:r>
    </w:p>
    <w:p>
      <w:pPr>
        <w:spacing w:line="600" w:lineRule="exact"/>
        <w:ind w:firstLine="640" w:firstLineChars="200"/>
        <w:jc w:val="left"/>
        <w:rPr>
          <w:rFonts w:ascii="仿宋_GB2312" w:eastAsia="仿宋_GB2312"/>
          <w:sz w:val="32"/>
          <w:szCs w:val="32"/>
        </w:rPr>
      </w:pPr>
      <w:r>
        <w:rPr>
          <w:rFonts w:hint="eastAsia" w:ascii="仿宋_GB2312" w:eastAsia="仿宋_GB2312" w:cs="仿宋_GB2312"/>
          <w:sz w:val="32"/>
          <w:szCs w:val="32"/>
        </w:rPr>
        <w:t>（二）项目绩效分析。</w:t>
      </w:r>
    </w:p>
    <w:p>
      <w:pPr>
        <w:spacing w:line="600" w:lineRule="exact"/>
        <w:ind w:firstLine="640" w:firstLineChars="200"/>
        <w:jc w:val="left"/>
        <w:rPr>
          <w:rFonts w:ascii="仿宋_GB2312" w:eastAsia="仿宋_GB2312" w:cs="仿宋_GB2312"/>
          <w:color w:val="auto"/>
          <w:sz w:val="32"/>
          <w:szCs w:val="32"/>
        </w:rPr>
      </w:pPr>
      <w:r>
        <w:rPr>
          <w:rFonts w:hint="eastAsia" w:ascii="仿宋_GB2312" w:eastAsia="仿宋_GB2312" w:cs="仿宋_GB2312"/>
          <w:color w:val="auto"/>
          <w:sz w:val="32"/>
          <w:szCs w:val="32"/>
        </w:rPr>
        <w:t>1.项目目标明确，立项规范；目标合理符合部门年度工作计划；决策程序符合规定并按照规定履行相关义务；制定相应的资金管理办法，资金分配合理到位，保证了项目的进度。</w:t>
      </w:r>
    </w:p>
    <w:p>
      <w:pPr>
        <w:spacing w:line="600" w:lineRule="exact"/>
        <w:ind w:firstLine="640" w:firstLineChars="200"/>
        <w:jc w:val="left"/>
        <w:rPr>
          <w:rFonts w:ascii="仿宋_GB2312" w:eastAsia="仿宋_GB2312" w:cs="仿宋_GB2312"/>
          <w:color w:val="FF0000"/>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本项目资金到位率100%，项目时效为:201</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12</w:t>
      </w:r>
      <w:r>
        <w:rPr>
          <w:rFonts w:hint="eastAsia" w:ascii="仿宋_GB2312" w:eastAsia="仿宋_GB2312" w:cs="仿宋_GB2312"/>
          <w:color w:val="auto"/>
          <w:sz w:val="32"/>
          <w:szCs w:val="32"/>
        </w:rPr>
        <w:t>月完成公开招标工作</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2018年1月-12月</w:t>
      </w:r>
      <w:r>
        <w:rPr>
          <w:rFonts w:hint="eastAsia" w:ascii="仿宋_GB2312" w:eastAsia="仿宋_GB2312" w:cs="仿宋_GB2312"/>
          <w:color w:val="auto"/>
          <w:sz w:val="32"/>
          <w:szCs w:val="32"/>
        </w:rPr>
        <w:t>开展</w:t>
      </w:r>
      <w:r>
        <w:rPr>
          <w:rFonts w:hint="eastAsia" w:ascii="仿宋_GB2312" w:eastAsia="仿宋_GB2312" w:cs="仿宋_GB2312"/>
          <w:color w:val="auto"/>
          <w:sz w:val="32"/>
          <w:szCs w:val="32"/>
          <w:lang w:val="en-US" w:eastAsia="zh-CN"/>
        </w:rPr>
        <w:t>日常管养服务工作</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每月进行作业、绿化、卫生评分考核，三项考核均合格方可支付全部服务费用</w:t>
      </w:r>
      <w:r>
        <w:rPr>
          <w:rFonts w:hint="eastAsia" w:ascii="仿宋_GB2312" w:eastAsia="仿宋_GB2312" w:cs="仿宋_GB2312"/>
          <w:color w:val="auto"/>
          <w:sz w:val="32"/>
          <w:szCs w:val="32"/>
        </w:rPr>
        <w:t>。项目组织实施机构</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实施方案</w:t>
      </w:r>
      <w:r>
        <w:rPr>
          <w:rFonts w:hint="eastAsia" w:ascii="仿宋_GB2312" w:eastAsia="仿宋_GB2312" w:cs="仿宋_GB2312"/>
          <w:color w:val="auto"/>
          <w:sz w:val="32"/>
          <w:szCs w:val="32"/>
        </w:rPr>
        <w:t>健全，分工明确，严格按照管理进度推进工作。</w:t>
      </w:r>
    </w:p>
    <w:p>
      <w:pPr>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3. 项目产出:完成盐田河两岸绿化及景观设施运行维护管理，河道全长3.9公里</w:t>
      </w:r>
      <w:r>
        <w:rPr>
          <w:rFonts w:hint="eastAsia" w:ascii="仿宋_GB2312" w:eastAsia="仿宋_GB2312" w:cs="仿宋_GB2312"/>
          <w:color w:val="auto"/>
          <w:sz w:val="32"/>
          <w:szCs w:val="32"/>
          <w:lang w:eastAsia="zh-CN"/>
        </w:rPr>
        <w:t>；保证河道干净卫生及附属设施正常运行；</w:t>
      </w:r>
      <w:r>
        <w:rPr>
          <w:rFonts w:hint="eastAsia" w:ascii="仿宋_GB2312" w:eastAsia="仿宋_GB2312" w:cs="仿宋_GB2312"/>
          <w:color w:val="auto"/>
          <w:sz w:val="32"/>
          <w:szCs w:val="32"/>
          <w:lang w:val="en-US" w:eastAsia="zh-CN"/>
        </w:rPr>
        <w:t>对河道排放口进行全天巡查。发现污水、泥浆水等异常情况第一时间报告，并核查来源。</w:t>
      </w:r>
    </w:p>
    <w:p>
      <w:pPr>
        <w:ind w:firstLine="645"/>
        <w:rPr>
          <w:rFonts w:hint="eastAsia" w:ascii="仿宋_GB2312" w:eastAsia="仿宋_GB2312" w:cs="仿宋_GB2312"/>
          <w:color w:val="auto"/>
          <w:sz w:val="32"/>
          <w:szCs w:val="32"/>
          <w:lang w:val="en-US" w:eastAsia="zh-CN"/>
        </w:rPr>
      </w:pPr>
    </w:p>
    <w:p>
      <w:pPr>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（三）总体评价。</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盐田区防洪所组织相关人员对自评通知和评价指标体系进行了专题研究和深入学习，并制定本次</w:t>
      </w:r>
      <w:r>
        <w:rPr>
          <w:rFonts w:hint="eastAsia" w:ascii="仿宋_GB2312" w:eastAsia="仿宋_GB2312"/>
          <w:color w:val="auto"/>
          <w:sz w:val="32"/>
          <w:szCs w:val="32"/>
          <w:lang w:val="en-US" w:eastAsia="zh-CN"/>
        </w:rPr>
        <w:t>重点项目</w:t>
      </w:r>
      <w:r>
        <w:rPr>
          <w:rFonts w:hint="eastAsia" w:ascii="仿宋_GB2312" w:eastAsia="仿宋_GB2312"/>
          <w:color w:val="auto"/>
          <w:sz w:val="32"/>
          <w:szCs w:val="32"/>
        </w:rPr>
        <w:t>绩效自评工作方案、抽样策略、穿行测试路径和衡工量值方法，依据自评通知要求开展2</w:t>
      </w:r>
      <w:r>
        <w:rPr>
          <w:rFonts w:ascii="仿宋_GB2312" w:eastAsia="仿宋_GB2312"/>
          <w:color w:val="auto"/>
          <w:sz w:val="32"/>
          <w:szCs w:val="32"/>
        </w:rPr>
        <w:t>01</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年度</w:t>
      </w:r>
      <w:r>
        <w:rPr>
          <w:rFonts w:hint="eastAsia" w:ascii="仿宋_GB2312" w:eastAsia="仿宋_GB2312"/>
          <w:color w:val="auto"/>
          <w:sz w:val="32"/>
          <w:szCs w:val="32"/>
          <w:lang w:val="en-US" w:eastAsia="zh-CN"/>
        </w:rPr>
        <w:t>重点项目</w:t>
      </w:r>
      <w:r>
        <w:rPr>
          <w:rFonts w:hint="eastAsia" w:ascii="仿宋_GB2312" w:eastAsia="仿宋_GB2312"/>
          <w:color w:val="auto"/>
          <w:sz w:val="32"/>
          <w:szCs w:val="32"/>
        </w:rPr>
        <w:t>绩效自评和自评评分。本次绩效自评指标体系总分为1</w:t>
      </w:r>
      <w:r>
        <w:rPr>
          <w:rFonts w:ascii="仿宋_GB2312" w:eastAsia="仿宋_GB2312"/>
          <w:color w:val="auto"/>
          <w:sz w:val="32"/>
          <w:szCs w:val="32"/>
        </w:rPr>
        <w:t>00</w:t>
      </w:r>
      <w:r>
        <w:rPr>
          <w:rFonts w:hint="eastAsia" w:ascii="仿宋_GB2312" w:eastAsia="仿宋_GB2312"/>
          <w:color w:val="auto"/>
          <w:sz w:val="32"/>
          <w:szCs w:val="32"/>
        </w:rPr>
        <w:t>分，</w:t>
      </w:r>
      <w:r>
        <w:rPr>
          <w:rFonts w:hint="eastAsia" w:ascii="仿宋_GB2312" w:eastAsia="仿宋_GB2312"/>
          <w:color w:val="auto"/>
          <w:sz w:val="32"/>
          <w:szCs w:val="32"/>
          <w:lang w:val="en-US" w:eastAsia="zh-CN"/>
        </w:rPr>
        <w:t>项目</w:t>
      </w:r>
      <w:r>
        <w:rPr>
          <w:rFonts w:hint="eastAsia" w:ascii="仿宋_GB2312" w:eastAsia="仿宋_GB2312"/>
          <w:color w:val="auto"/>
          <w:sz w:val="32"/>
          <w:szCs w:val="32"/>
        </w:rPr>
        <w:t>自评得分为</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分。具体得分情况如下：</w:t>
      </w: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0" w:firstLineChars="200"/>
        <w:rPr>
          <w:rFonts w:hint="eastAsia" w:ascii="仿宋_GB2312" w:eastAsia="仿宋_GB2312"/>
          <w:color w:val="auto"/>
          <w:sz w:val="32"/>
          <w:szCs w:val="32"/>
        </w:rPr>
      </w:pPr>
    </w:p>
    <w:p>
      <w:pPr>
        <w:spacing w:line="600" w:lineRule="exact"/>
        <w:ind w:firstLine="643" w:firstLineChars="200"/>
        <w:jc w:val="center"/>
        <w:rPr>
          <w:rFonts w:ascii="仿宋_GB2312" w:eastAsia="仿宋_GB2312"/>
          <w:b/>
          <w:color w:val="auto"/>
          <w:sz w:val="32"/>
          <w:szCs w:val="32"/>
        </w:rPr>
      </w:pPr>
      <w:r>
        <w:rPr>
          <w:rFonts w:hint="eastAsia" w:ascii="仿宋_GB2312" w:eastAsia="仿宋_GB2312"/>
          <w:b/>
          <w:color w:val="auto"/>
          <w:sz w:val="32"/>
          <w:szCs w:val="32"/>
        </w:rPr>
        <w:t>表</w:t>
      </w:r>
      <w:r>
        <w:rPr>
          <w:rFonts w:ascii="仿宋_GB2312" w:eastAsia="仿宋_GB2312"/>
          <w:b/>
          <w:color w:val="auto"/>
          <w:sz w:val="32"/>
          <w:szCs w:val="32"/>
        </w:rPr>
        <w:t>2</w:t>
      </w:r>
      <w:r>
        <w:rPr>
          <w:rFonts w:hint="eastAsia" w:ascii="仿宋_GB2312" w:eastAsia="仿宋_GB2312"/>
          <w:b/>
          <w:color w:val="auto"/>
          <w:sz w:val="32"/>
          <w:szCs w:val="32"/>
        </w:rPr>
        <w:t>：自评得分一览表</w:t>
      </w:r>
    </w:p>
    <w:tbl>
      <w:tblPr>
        <w:tblStyle w:val="7"/>
        <w:tblW w:w="865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
      <w:tblGrid>
        <w:gridCol w:w="1980"/>
        <w:gridCol w:w="1276"/>
        <w:gridCol w:w="1984"/>
        <w:gridCol w:w="1276"/>
        <w:gridCol w:w="2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14" w:hRule="atLeast"/>
          <w:tblHeader/>
          <w:jc w:val="center"/>
        </w:trPr>
        <w:tc>
          <w:tcPr>
            <w:tcW w:w="6516" w:type="dxa"/>
            <w:gridSpan w:val="4"/>
            <w:tcBorders>
              <w:top w:val="single" w:color="auto" w:sz="12" w:space="0"/>
              <w:bottom w:val="single" w:color="auto" w:sz="4"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评价指标</w:t>
            </w:r>
          </w:p>
        </w:tc>
        <w:tc>
          <w:tcPr>
            <w:tcW w:w="2142" w:type="dxa"/>
            <w:vMerge w:val="restart"/>
            <w:tcBorders>
              <w:top w:val="single" w:color="auto" w:sz="12"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自评</w:t>
            </w:r>
          </w:p>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14" w:hRule="atLeast"/>
          <w:tblHeader/>
          <w:jc w:val="center"/>
        </w:trPr>
        <w:tc>
          <w:tcPr>
            <w:tcW w:w="3256" w:type="dxa"/>
            <w:gridSpan w:val="2"/>
            <w:tcBorders>
              <w:top w:val="single" w:color="auto" w:sz="4" w:space="0"/>
              <w:bottom w:val="single" w:color="auto" w:sz="4"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一级指标</w:t>
            </w:r>
          </w:p>
        </w:tc>
        <w:tc>
          <w:tcPr>
            <w:tcW w:w="3260" w:type="dxa"/>
            <w:gridSpan w:val="2"/>
            <w:tcBorders>
              <w:top w:val="single" w:color="auto" w:sz="4" w:space="0"/>
              <w:bottom w:val="single" w:color="auto" w:sz="4"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二级指标</w:t>
            </w:r>
          </w:p>
        </w:tc>
        <w:tc>
          <w:tcPr>
            <w:tcW w:w="2142" w:type="dxa"/>
            <w:vMerge w:val="continue"/>
            <w:vAlign w:val="center"/>
          </w:tcPr>
          <w:p>
            <w:pPr>
              <w:spacing w:line="360" w:lineRule="exact"/>
              <w:jc w:val="center"/>
              <w:rPr>
                <w:rFonts w:ascii="仿宋_GB2312" w:eastAsia="仿宋_GB2312"/>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00" w:hRule="atLeast"/>
          <w:tblHeader/>
          <w:jc w:val="center"/>
        </w:trPr>
        <w:tc>
          <w:tcPr>
            <w:tcW w:w="1980" w:type="dxa"/>
            <w:tcBorders>
              <w:top w:val="single" w:color="auto" w:sz="4" w:space="0"/>
              <w:bottom w:val="single" w:color="auto" w:sz="12"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名称</w:t>
            </w:r>
          </w:p>
        </w:tc>
        <w:tc>
          <w:tcPr>
            <w:tcW w:w="1276" w:type="dxa"/>
            <w:tcBorders>
              <w:top w:val="single" w:color="auto" w:sz="4" w:space="0"/>
              <w:bottom w:val="single" w:color="auto" w:sz="12"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权重</w:t>
            </w:r>
          </w:p>
        </w:tc>
        <w:tc>
          <w:tcPr>
            <w:tcW w:w="1984" w:type="dxa"/>
            <w:tcBorders>
              <w:top w:val="single" w:color="auto" w:sz="4" w:space="0"/>
              <w:bottom w:val="single" w:color="auto" w:sz="12"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名称</w:t>
            </w:r>
          </w:p>
        </w:tc>
        <w:tc>
          <w:tcPr>
            <w:tcW w:w="1276" w:type="dxa"/>
            <w:tcBorders>
              <w:top w:val="single" w:color="auto" w:sz="4" w:space="0"/>
              <w:bottom w:val="single" w:color="auto" w:sz="12" w:space="0"/>
            </w:tcBorders>
            <w:vAlign w:val="center"/>
          </w:tcPr>
          <w:p>
            <w:pPr>
              <w:spacing w:line="360" w:lineRule="exact"/>
              <w:jc w:val="center"/>
              <w:rPr>
                <w:rFonts w:ascii="仿宋_GB2312" w:eastAsia="仿宋_GB2312"/>
                <w:b/>
                <w:color w:val="auto"/>
                <w:sz w:val="28"/>
                <w:szCs w:val="28"/>
              </w:rPr>
            </w:pPr>
            <w:r>
              <w:rPr>
                <w:rFonts w:hint="eastAsia" w:ascii="仿宋_GB2312" w:eastAsia="仿宋_GB2312"/>
                <w:b/>
                <w:color w:val="auto"/>
                <w:sz w:val="28"/>
                <w:szCs w:val="28"/>
              </w:rPr>
              <w:t>权重</w:t>
            </w:r>
          </w:p>
        </w:tc>
        <w:tc>
          <w:tcPr>
            <w:tcW w:w="2142" w:type="dxa"/>
            <w:vMerge w:val="continue"/>
            <w:tcBorders>
              <w:bottom w:val="single" w:color="auto" w:sz="12" w:space="0"/>
            </w:tcBorders>
            <w:vAlign w:val="center"/>
          </w:tcPr>
          <w:p>
            <w:pPr>
              <w:spacing w:line="360" w:lineRule="exact"/>
              <w:jc w:val="center"/>
              <w:rPr>
                <w:rFonts w:ascii="仿宋_GB2312" w:eastAsia="仿宋_GB2312"/>
                <w:color w:val="auto"/>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71" w:hRule="atLeast"/>
          <w:jc w:val="center"/>
        </w:trPr>
        <w:tc>
          <w:tcPr>
            <w:tcW w:w="1980" w:type="dxa"/>
            <w:vMerge w:val="restart"/>
            <w:tcBorders>
              <w:top w:val="single" w:color="auto" w:sz="12"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项目决策</w:t>
            </w:r>
          </w:p>
        </w:tc>
        <w:tc>
          <w:tcPr>
            <w:tcW w:w="1276" w:type="dxa"/>
            <w:vMerge w:val="restart"/>
            <w:tcBorders>
              <w:top w:val="single" w:color="auto" w:sz="12" w:space="0"/>
            </w:tcBorders>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2</w:t>
            </w:r>
            <w:r>
              <w:rPr>
                <w:rFonts w:hint="eastAsia" w:ascii="仿宋_GB2312" w:eastAsia="仿宋_GB2312"/>
                <w:color w:val="auto"/>
                <w:sz w:val="28"/>
                <w:szCs w:val="28"/>
                <w:lang w:val="en-US" w:eastAsia="zh-CN"/>
              </w:rPr>
              <w:t>5</w:t>
            </w:r>
          </w:p>
        </w:tc>
        <w:tc>
          <w:tcPr>
            <w:tcW w:w="1984" w:type="dxa"/>
            <w:tcBorders>
              <w:top w:val="single" w:color="auto" w:sz="12"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项目立项</w:t>
            </w:r>
          </w:p>
        </w:tc>
        <w:tc>
          <w:tcPr>
            <w:tcW w:w="1276" w:type="dxa"/>
            <w:tcBorders>
              <w:top w:val="single" w:color="auto" w:sz="12" w:space="0"/>
            </w:tcBorders>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7</w:t>
            </w:r>
          </w:p>
        </w:tc>
        <w:tc>
          <w:tcPr>
            <w:tcW w:w="2142" w:type="dxa"/>
            <w:tcBorders>
              <w:top w:val="single" w:color="auto" w:sz="12" w:space="0"/>
            </w:tcBorders>
            <w:vAlign w:val="center"/>
          </w:tcPr>
          <w:p>
            <w:pPr>
              <w:spacing w:line="360" w:lineRule="exact"/>
              <w:jc w:val="center"/>
              <w:rPr>
                <w:rFonts w:hint="eastAsia" w:ascii="仿宋_GB2312" w:eastAsia="仿宋_GB2312"/>
                <w:color w:val="auto"/>
                <w:sz w:val="28"/>
                <w:szCs w:val="28"/>
                <w:lang w:val="en-US" w:eastAsia="zh-CN"/>
              </w:rPr>
            </w:pPr>
            <w:r>
              <w:rPr>
                <w:rFonts w:hint="default" w:ascii="仿宋_GB2312" w:eastAsia="仿宋_GB2312"/>
                <w:color w:val="auto"/>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0" w:hRule="atLeast"/>
          <w:jc w:val="center"/>
        </w:trPr>
        <w:tc>
          <w:tcPr>
            <w:tcW w:w="1980" w:type="dxa"/>
            <w:vMerge w:val="continue"/>
            <w:tcBorders/>
            <w:vAlign w:val="center"/>
          </w:tcPr>
          <w:p>
            <w:pPr>
              <w:spacing w:line="360" w:lineRule="exact"/>
              <w:rPr>
                <w:rFonts w:ascii="仿宋_GB2312" w:eastAsia="仿宋_GB2312"/>
                <w:color w:val="auto"/>
                <w:sz w:val="28"/>
                <w:szCs w:val="28"/>
              </w:rPr>
            </w:pPr>
          </w:p>
        </w:tc>
        <w:tc>
          <w:tcPr>
            <w:tcW w:w="1276" w:type="dxa"/>
            <w:vMerge w:val="continue"/>
            <w:tcBorders/>
            <w:vAlign w:val="center"/>
          </w:tcPr>
          <w:p>
            <w:pPr>
              <w:spacing w:line="360" w:lineRule="exact"/>
              <w:jc w:val="center"/>
              <w:rPr>
                <w:rFonts w:ascii="仿宋_GB2312" w:eastAsia="仿宋_GB2312"/>
                <w:color w:val="auto"/>
                <w:sz w:val="28"/>
                <w:szCs w:val="28"/>
              </w:rPr>
            </w:pPr>
          </w:p>
        </w:tc>
        <w:tc>
          <w:tcPr>
            <w:tcW w:w="1984" w:type="dxa"/>
            <w:tcBorders>
              <w:bottom w:val="nil"/>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绩效目标</w:t>
            </w:r>
          </w:p>
        </w:tc>
        <w:tc>
          <w:tcPr>
            <w:tcW w:w="1276" w:type="dxa"/>
            <w:tcBorders>
              <w:bottom w:val="nil"/>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lang w:val="en-US" w:eastAsia="zh-CN"/>
              </w:rPr>
              <w:t>12</w:t>
            </w:r>
          </w:p>
        </w:tc>
        <w:tc>
          <w:tcPr>
            <w:tcW w:w="2142" w:type="dxa"/>
            <w:tcBorders>
              <w:bottom w:val="nil"/>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0" w:hRule="atLeast"/>
          <w:jc w:val="center"/>
        </w:trPr>
        <w:tc>
          <w:tcPr>
            <w:tcW w:w="1980" w:type="dxa"/>
            <w:vMerge w:val="continue"/>
            <w:tcBorders>
              <w:bottom w:val="single" w:color="auto" w:sz="4" w:space="0"/>
            </w:tcBorders>
            <w:vAlign w:val="center"/>
          </w:tcPr>
          <w:p>
            <w:pPr>
              <w:spacing w:line="360" w:lineRule="exact"/>
              <w:rPr>
                <w:rFonts w:ascii="仿宋_GB2312" w:eastAsia="仿宋_GB2312"/>
                <w:color w:val="auto"/>
                <w:sz w:val="28"/>
                <w:szCs w:val="28"/>
              </w:rPr>
            </w:pPr>
          </w:p>
        </w:tc>
        <w:tc>
          <w:tcPr>
            <w:tcW w:w="1276" w:type="dxa"/>
            <w:vMerge w:val="continue"/>
            <w:tcBorders>
              <w:bottom w:val="single" w:color="auto" w:sz="4" w:space="0"/>
            </w:tcBorders>
            <w:vAlign w:val="center"/>
          </w:tcPr>
          <w:p>
            <w:pPr>
              <w:spacing w:line="360" w:lineRule="exact"/>
              <w:jc w:val="center"/>
              <w:rPr>
                <w:rFonts w:ascii="仿宋_GB2312" w:eastAsia="仿宋_GB2312"/>
                <w:color w:val="auto"/>
                <w:sz w:val="28"/>
                <w:szCs w:val="28"/>
              </w:rPr>
            </w:pPr>
          </w:p>
        </w:tc>
        <w:tc>
          <w:tcPr>
            <w:tcW w:w="1984" w:type="dxa"/>
            <w:tcBorders>
              <w:top w:val="nil"/>
              <w:bottom w:val="single" w:color="auto" w:sz="4" w:space="0"/>
            </w:tcBorders>
            <w:vAlign w:val="center"/>
          </w:tcPr>
          <w:p>
            <w:pPr>
              <w:spacing w:line="360" w:lineRule="exact"/>
              <w:jc w:val="center"/>
              <w:rPr>
                <w:rFonts w:hint="eastAsia" w:ascii="仿宋_GB2312" w:eastAsia="仿宋_GB2312"/>
                <w:color w:val="auto"/>
                <w:sz w:val="28"/>
                <w:szCs w:val="28"/>
              </w:rPr>
            </w:pPr>
            <w:r>
              <w:rPr>
                <w:rFonts w:hint="eastAsia" w:ascii="仿宋_GB2312" w:eastAsia="仿宋_GB2312"/>
                <w:color w:val="auto"/>
                <w:sz w:val="28"/>
                <w:szCs w:val="28"/>
              </w:rPr>
              <w:t>资金预算</w:t>
            </w:r>
          </w:p>
        </w:tc>
        <w:tc>
          <w:tcPr>
            <w:tcW w:w="1276" w:type="dxa"/>
            <w:tcBorders>
              <w:top w:val="nil"/>
              <w:bottom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c>
          <w:tcPr>
            <w:tcW w:w="2142" w:type="dxa"/>
            <w:tcBorders>
              <w:top w:val="nil"/>
              <w:bottom w:val="single" w:color="auto" w:sz="4" w:space="0"/>
            </w:tcBorders>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00" w:hRule="atLeast"/>
          <w:jc w:val="center"/>
        </w:trPr>
        <w:tc>
          <w:tcPr>
            <w:tcW w:w="1980" w:type="dxa"/>
            <w:vMerge w:val="restart"/>
            <w:tcBorders>
              <w:top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项目管理</w:t>
            </w:r>
          </w:p>
        </w:tc>
        <w:tc>
          <w:tcPr>
            <w:tcW w:w="1276" w:type="dxa"/>
            <w:vMerge w:val="restart"/>
            <w:tcBorders>
              <w:top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30</w:t>
            </w:r>
          </w:p>
        </w:tc>
        <w:tc>
          <w:tcPr>
            <w:tcW w:w="1984" w:type="dxa"/>
            <w:tcBorders>
              <w:top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资金落实</w:t>
            </w:r>
          </w:p>
        </w:tc>
        <w:tc>
          <w:tcPr>
            <w:tcW w:w="1276" w:type="dxa"/>
            <w:tcBorders>
              <w:top w:val="single" w:color="auto" w:sz="4" w:space="0"/>
            </w:tcBorders>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6</w:t>
            </w:r>
          </w:p>
        </w:tc>
        <w:tc>
          <w:tcPr>
            <w:tcW w:w="2142" w:type="dxa"/>
            <w:tcBorders>
              <w:top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08" w:hRule="atLeast"/>
          <w:jc w:val="center"/>
        </w:trPr>
        <w:tc>
          <w:tcPr>
            <w:tcW w:w="1980" w:type="dxa"/>
            <w:vMerge w:val="continue"/>
            <w:vAlign w:val="center"/>
          </w:tcPr>
          <w:p>
            <w:pPr>
              <w:spacing w:line="360" w:lineRule="exact"/>
              <w:rPr>
                <w:rFonts w:ascii="仿宋_GB2312" w:eastAsia="仿宋_GB2312"/>
                <w:color w:val="auto"/>
                <w:sz w:val="28"/>
                <w:szCs w:val="28"/>
              </w:rPr>
            </w:pPr>
          </w:p>
        </w:tc>
        <w:tc>
          <w:tcPr>
            <w:tcW w:w="1276" w:type="dxa"/>
            <w:vMerge w:val="continue"/>
            <w:vAlign w:val="center"/>
          </w:tcPr>
          <w:p>
            <w:pPr>
              <w:spacing w:line="360" w:lineRule="exact"/>
              <w:jc w:val="center"/>
              <w:rPr>
                <w:rFonts w:ascii="仿宋_GB2312" w:eastAsia="仿宋_GB2312"/>
                <w:color w:val="auto"/>
                <w:sz w:val="28"/>
                <w:szCs w:val="28"/>
              </w:rPr>
            </w:pPr>
          </w:p>
        </w:tc>
        <w:tc>
          <w:tcPr>
            <w:tcW w:w="1984"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项目实施</w:t>
            </w:r>
          </w:p>
        </w:tc>
        <w:tc>
          <w:tcPr>
            <w:tcW w:w="1276"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7</w:t>
            </w:r>
          </w:p>
        </w:tc>
        <w:tc>
          <w:tcPr>
            <w:tcW w:w="2142" w:type="dxa"/>
            <w:vAlign w:val="center"/>
          </w:tcPr>
          <w:p>
            <w:pPr>
              <w:spacing w:line="360" w:lineRule="exact"/>
              <w:jc w:val="center"/>
              <w:rPr>
                <w:rFonts w:ascii="仿宋_GB2312" w:eastAsia="仿宋_GB2312"/>
                <w:color w:val="auto"/>
                <w:sz w:val="28"/>
                <w:szCs w:val="28"/>
              </w:rPr>
            </w:pPr>
            <w:r>
              <w:rPr>
                <w:rFonts w:ascii="仿宋_GB2312" w:eastAsia="仿宋_GB2312"/>
                <w:color w:val="auto"/>
                <w:sz w:val="28"/>
                <w:szCs w:val="2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98" w:hRule="atLeast"/>
          <w:jc w:val="center"/>
        </w:trPr>
        <w:tc>
          <w:tcPr>
            <w:tcW w:w="1980" w:type="dxa"/>
            <w:vMerge w:val="continue"/>
            <w:vAlign w:val="center"/>
          </w:tcPr>
          <w:p>
            <w:pPr>
              <w:spacing w:line="360" w:lineRule="exact"/>
              <w:rPr>
                <w:rFonts w:ascii="仿宋_GB2312" w:eastAsia="仿宋_GB2312"/>
                <w:color w:val="auto"/>
                <w:sz w:val="28"/>
                <w:szCs w:val="28"/>
              </w:rPr>
            </w:pPr>
          </w:p>
        </w:tc>
        <w:tc>
          <w:tcPr>
            <w:tcW w:w="1276" w:type="dxa"/>
            <w:vMerge w:val="continue"/>
            <w:vAlign w:val="center"/>
          </w:tcPr>
          <w:p>
            <w:pPr>
              <w:spacing w:line="360" w:lineRule="exact"/>
              <w:jc w:val="center"/>
              <w:rPr>
                <w:rFonts w:ascii="仿宋_GB2312" w:eastAsia="仿宋_GB2312"/>
                <w:color w:val="auto"/>
                <w:sz w:val="28"/>
                <w:szCs w:val="28"/>
              </w:rPr>
            </w:pPr>
          </w:p>
        </w:tc>
        <w:tc>
          <w:tcPr>
            <w:tcW w:w="1984"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业务管理</w:t>
            </w:r>
          </w:p>
        </w:tc>
        <w:tc>
          <w:tcPr>
            <w:tcW w:w="1276" w:type="dxa"/>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p>
        </w:tc>
        <w:tc>
          <w:tcPr>
            <w:tcW w:w="2142" w:type="dxa"/>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90" w:hRule="atLeast"/>
          <w:jc w:val="center"/>
        </w:trPr>
        <w:tc>
          <w:tcPr>
            <w:tcW w:w="1980" w:type="dxa"/>
            <w:vMerge w:val="continue"/>
            <w:vAlign w:val="center"/>
          </w:tcPr>
          <w:p>
            <w:pPr>
              <w:spacing w:line="360" w:lineRule="exact"/>
              <w:rPr>
                <w:rFonts w:ascii="仿宋_GB2312" w:eastAsia="仿宋_GB2312"/>
                <w:color w:val="auto"/>
                <w:sz w:val="28"/>
                <w:szCs w:val="28"/>
              </w:rPr>
            </w:pPr>
          </w:p>
        </w:tc>
        <w:tc>
          <w:tcPr>
            <w:tcW w:w="1276" w:type="dxa"/>
            <w:vMerge w:val="continue"/>
            <w:vAlign w:val="center"/>
          </w:tcPr>
          <w:p>
            <w:pPr>
              <w:spacing w:line="360" w:lineRule="exact"/>
              <w:jc w:val="center"/>
              <w:rPr>
                <w:rFonts w:ascii="仿宋_GB2312" w:eastAsia="仿宋_GB2312"/>
                <w:color w:val="auto"/>
                <w:sz w:val="28"/>
                <w:szCs w:val="28"/>
              </w:rPr>
            </w:pPr>
          </w:p>
        </w:tc>
        <w:tc>
          <w:tcPr>
            <w:tcW w:w="1984"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财务管理</w:t>
            </w:r>
          </w:p>
        </w:tc>
        <w:tc>
          <w:tcPr>
            <w:tcW w:w="1276" w:type="dxa"/>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10</w:t>
            </w:r>
          </w:p>
        </w:tc>
        <w:tc>
          <w:tcPr>
            <w:tcW w:w="2142" w:type="dxa"/>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85" w:hRule="atLeast"/>
          <w:jc w:val="center"/>
        </w:trPr>
        <w:tc>
          <w:tcPr>
            <w:tcW w:w="1980" w:type="dxa"/>
            <w:vMerge w:val="restart"/>
            <w:tcBorders>
              <w:top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项目产出</w:t>
            </w:r>
          </w:p>
        </w:tc>
        <w:tc>
          <w:tcPr>
            <w:tcW w:w="1276" w:type="dxa"/>
            <w:vMerge w:val="restart"/>
            <w:tcBorders>
              <w:top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25</w:t>
            </w:r>
          </w:p>
        </w:tc>
        <w:tc>
          <w:tcPr>
            <w:tcW w:w="1984" w:type="dxa"/>
            <w:tcBorders>
              <w:top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实际完成率</w:t>
            </w:r>
          </w:p>
        </w:tc>
        <w:tc>
          <w:tcPr>
            <w:tcW w:w="1276" w:type="dxa"/>
            <w:tcBorders>
              <w:top w:val="single" w:color="auto" w:sz="4" w:space="0"/>
            </w:tcBorders>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p>
        </w:tc>
        <w:tc>
          <w:tcPr>
            <w:tcW w:w="2142" w:type="dxa"/>
            <w:tcBorders>
              <w:top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1" w:hRule="atLeast"/>
          <w:jc w:val="center"/>
        </w:trPr>
        <w:tc>
          <w:tcPr>
            <w:tcW w:w="1980" w:type="dxa"/>
            <w:vMerge w:val="continue"/>
            <w:vAlign w:val="center"/>
          </w:tcPr>
          <w:p>
            <w:pPr>
              <w:spacing w:line="360" w:lineRule="exact"/>
              <w:rPr>
                <w:rFonts w:ascii="仿宋_GB2312" w:eastAsia="仿宋_GB2312"/>
                <w:color w:val="auto"/>
                <w:sz w:val="28"/>
                <w:szCs w:val="28"/>
              </w:rPr>
            </w:pPr>
          </w:p>
        </w:tc>
        <w:tc>
          <w:tcPr>
            <w:tcW w:w="1276" w:type="dxa"/>
            <w:vMerge w:val="continue"/>
            <w:vAlign w:val="center"/>
          </w:tcPr>
          <w:p>
            <w:pPr>
              <w:spacing w:line="360" w:lineRule="exact"/>
              <w:jc w:val="center"/>
              <w:rPr>
                <w:rFonts w:ascii="仿宋_GB2312" w:eastAsia="仿宋_GB2312"/>
                <w:color w:val="auto"/>
                <w:sz w:val="28"/>
                <w:szCs w:val="28"/>
              </w:rPr>
            </w:pPr>
          </w:p>
        </w:tc>
        <w:tc>
          <w:tcPr>
            <w:tcW w:w="1984"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完成及时率</w:t>
            </w:r>
          </w:p>
        </w:tc>
        <w:tc>
          <w:tcPr>
            <w:tcW w:w="1276" w:type="dxa"/>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5</w:t>
            </w:r>
          </w:p>
        </w:tc>
        <w:tc>
          <w:tcPr>
            <w:tcW w:w="2142" w:type="dxa"/>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01" w:hRule="atLeast"/>
          <w:jc w:val="center"/>
        </w:trPr>
        <w:tc>
          <w:tcPr>
            <w:tcW w:w="1980" w:type="dxa"/>
            <w:vMerge w:val="continue"/>
            <w:vAlign w:val="center"/>
          </w:tcPr>
          <w:p>
            <w:pPr>
              <w:spacing w:line="360" w:lineRule="exact"/>
              <w:rPr>
                <w:rFonts w:ascii="仿宋_GB2312" w:eastAsia="仿宋_GB2312"/>
                <w:color w:val="auto"/>
                <w:sz w:val="28"/>
                <w:szCs w:val="28"/>
              </w:rPr>
            </w:pPr>
          </w:p>
        </w:tc>
        <w:tc>
          <w:tcPr>
            <w:tcW w:w="1276" w:type="dxa"/>
            <w:vMerge w:val="continue"/>
            <w:vAlign w:val="center"/>
          </w:tcPr>
          <w:p>
            <w:pPr>
              <w:spacing w:line="360" w:lineRule="exact"/>
              <w:jc w:val="center"/>
              <w:rPr>
                <w:rFonts w:ascii="仿宋_GB2312" w:eastAsia="仿宋_GB2312"/>
                <w:color w:val="auto"/>
                <w:sz w:val="28"/>
                <w:szCs w:val="28"/>
              </w:rPr>
            </w:pPr>
          </w:p>
        </w:tc>
        <w:tc>
          <w:tcPr>
            <w:tcW w:w="1984" w:type="dxa"/>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质量达标率</w:t>
            </w:r>
          </w:p>
        </w:tc>
        <w:tc>
          <w:tcPr>
            <w:tcW w:w="1276" w:type="dxa"/>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p>
        </w:tc>
        <w:tc>
          <w:tcPr>
            <w:tcW w:w="2142" w:type="dxa"/>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91" w:hRule="atLeast"/>
          <w:jc w:val="center"/>
        </w:trPr>
        <w:tc>
          <w:tcPr>
            <w:tcW w:w="1980" w:type="dxa"/>
            <w:vMerge w:val="continue"/>
            <w:tcBorders>
              <w:bottom w:val="single" w:color="auto" w:sz="4" w:space="0"/>
            </w:tcBorders>
            <w:vAlign w:val="center"/>
          </w:tcPr>
          <w:p>
            <w:pPr>
              <w:spacing w:line="360" w:lineRule="exact"/>
              <w:rPr>
                <w:rFonts w:ascii="仿宋_GB2312" w:eastAsia="仿宋_GB2312"/>
                <w:color w:val="auto"/>
                <w:sz w:val="28"/>
                <w:szCs w:val="28"/>
              </w:rPr>
            </w:pPr>
          </w:p>
        </w:tc>
        <w:tc>
          <w:tcPr>
            <w:tcW w:w="1276" w:type="dxa"/>
            <w:vMerge w:val="continue"/>
            <w:tcBorders>
              <w:bottom w:val="single" w:color="auto" w:sz="4" w:space="0"/>
            </w:tcBorders>
            <w:vAlign w:val="center"/>
          </w:tcPr>
          <w:p>
            <w:pPr>
              <w:spacing w:line="360" w:lineRule="exact"/>
              <w:jc w:val="center"/>
              <w:rPr>
                <w:rFonts w:ascii="仿宋_GB2312" w:eastAsia="仿宋_GB2312"/>
                <w:color w:val="auto"/>
                <w:sz w:val="28"/>
                <w:szCs w:val="28"/>
              </w:rPr>
            </w:pPr>
          </w:p>
        </w:tc>
        <w:tc>
          <w:tcPr>
            <w:tcW w:w="1984" w:type="dxa"/>
            <w:tcBorders>
              <w:bottom w:val="single" w:color="auto" w:sz="4" w:space="0"/>
            </w:tcBorders>
            <w:vAlign w:val="center"/>
          </w:tcPr>
          <w:p>
            <w:pPr>
              <w:spacing w:line="360" w:lineRule="exact"/>
              <w:jc w:val="center"/>
              <w:rPr>
                <w:rFonts w:ascii="仿宋_GB2312" w:eastAsia="仿宋_GB2312"/>
                <w:color w:val="auto"/>
                <w:sz w:val="28"/>
                <w:szCs w:val="28"/>
              </w:rPr>
            </w:pPr>
            <w:r>
              <w:rPr>
                <w:rFonts w:hint="eastAsia" w:ascii="仿宋_GB2312" w:eastAsia="仿宋_GB2312"/>
                <w:color w:val="auto"/>
                <w:sz w:val="28"/>
                <w:szCs w:val="28"/>
              </w:rPr>
              <w:t>成本节约率</w:t>
            </w:r>
          </w:p>
        </w:tc>
        <w:tc>
          <w:tcPr>
            <w:tcW w:w="1276" w:type="dxa"/>
            <w:tcBorders>
              <w:bottom w:val="single" w:color="auto" w:sz="4" w:space="0"/>
            </w:tcBorders>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6</w:t>
            </w:r>
          </w:p>
        </w:tc>
        <w:tc>
          <w:tcPr>
            <w:tcW w:w="2142" w:type="dxa"/>
            <w:tcBorders>
              <w:bottom w:val="single" w:color="auto" w:sz="4" w:space="0"/>
            </w:tcBorders>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491" w:hRule="atLeast"/>
          <w:jc w:val="center"/>
        </w:trPr>
        <w:tc>
          <w:tcPr>
            <w:tcW w:w="1980" w:type="dxa"/>
            <w:vMerge w:val="restart"/>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项目</w:t>
            </w:r>
            <w:r>
              <w:rPr>
                <w:rFonts w:hint="eastAsia" w:ascii="仿宋_GB2312" w:eastAsia="仿宋_GB2312"/>
                <w:color w:val="auto"/>
                <w:sz w:val="28"/>
                <w:szCs w:val="28"/>
                <w:lang w:val="en-US" w:eastAsia="zh-CN"/>
              </w:rPr>
              <w:t>效益</w:t>
            </w:r>
          </w:p>
        </w:tc>
        <w:tc>
          <w:tcPr>
            <w:tcW w:w="1276" w:type="dxa"/>
            <w:vMerge w:val="restart"/>
            <w:vAlign w:val="center"/>
          </w:tcPr>
          <w:p>
            <w:pPr>
              <w:spacing w:line="360" w:lineRule="exact"/>
              <w:jc w:val="center"/>
              <w:rPr>
                <w:rFonts w:hint="default" w:ascii="仿宋_GB2312" w:eastAsia="仿宋_GB2312"/>
                <w:color w:val="auto"/>
                <w:sz w:val="28"/>
                <w:szCs w:val="28"/>
                <w:lang w:val="en-US"/>
              </w:rPr>
            </w:pPr>
            <w:r>
              <w:rPr>
                <w:rFonts w:hint="eastAsia" w:ascii="仿宋_GB2312" w:eastAsia="仿宋_GB2312"/>
                <w:color w:val="auto"/>
                <w:sz w:val="28"/>
                <w:szCs w:val="28"/>
                <w:lang w:val="en-US" w:eastAsia="zh-CN"/>
              </w:rPr>
              <w:t>20</w:t>
            </w:r>
          </w:p>
        </w:tc>
        <w:tc>
          <w:tcPr>
            <w:tcW w:w="1984" w:type="dxa"/>
            <w:tcBorders>
              <w:bottom w:val="nil"/>
            </w:tcBorders>
            <w:vAlign w:val="center"/>
          </w:tcPr>
          <w:p>
            <w:pPr>
              <w:spacing w:line="36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经济效益</w:t>
            </w:r>
          </w:p>
        </w:tc>
        <w:tc>
          <w:tcPr>
            <w:tcW w:w="1276" w:type="dxa"/>
            <w:tcBorders>
              <w:bottom w:val="nil"/>
            </w:tcBorders>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c>
          <w:tcPr>
            <w:tcW w:w="2142" w:type="dxa"/>
            <w:tcBorders>
              <w:bottom w:val="nil"/>
            </w:tcBorders>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4" w:hRule="atLeast"/>
          <w:jc w:val="center"/>
        </w:trPr>
        <w:tc>
          <w:tcPr>
            <w:tcW w:w="1980" w:type="dxa"/>
            <w:vMerge w:val="continue"/>
            <w:tcBorders/>
            <w:vAlign w:val="center"/>
          </w:tcPr>
          <w:p>
            <w:pPr>
              <w:spacing w:line="360" w:lineRule="exact"/>
              <w:rPr>
                <w:rFonts w:ascii="仿宋_GB2312" w:eastAsia="仿宋_GB2312"/>
                <w:b/>
                <w:color w:val="auto"/>
                <w:sz w:val="28"/>
                <w:szCs w:val="28"/>
              </w:rPr>
            </w:pPr>
          </w:p>
        </w:tc>
        <w:tc>
          <w:tcPr>
            <w:tcW w:w="1276" w:type="dxa"/>
            <w:vMerge w:val="continue"/>
            <w:tcBorders/>
            <w:vAlign w:val="center"/>
          </w:tcPr>
          <w:p>
            <w:pPr>
              <w:spacing w:line="360" w:lineRule="exact"/>
              <w:jc w:val="center"/>
              <w:rPr>
                <w:color w:val="auto"/>
              </w:rPr>
            </w:pPr>
          </w:p>
        </w:tc>
        <w:tc>
          <w:tcPr>
            <w:tcW w:w="1984" w:type="dxa"/>
            <w:tcBorders>
              <w:top w:val="nil"/>
              <w:bottom w:val="nil"/>
            </w:tcBorders>
            <w:vAlign w:val="center"/>
          </w:tcPr>
          <w:p>
            <w:pPr>
              <w:spacing w:line="360" w:lineRule="exact"/>
              <w:jc w:val="center"/>
              <w:rPr>
                <w:rFonts w:hint="eastAsia" w:eastAsia="宋体"/>
                <w:color w:val="auto"/>
                <w:lang w:eastAsia="zh-CN"/>
              </w:rPr>
            </w:pPr>
            <w:r>
              <w:rPr>
                <w:rFonts w:hint="eastAsia" w:ascii="仿宋_GB2312" w:eastAsia="仿宋_GB2312"/>
                <w:color w:val="auto"/>
                <w:sz w:val="28"/>
                <w:szCs w:val="28"/>
                <w:lang w:val="en-US" w:eastAsia="zh-CN"/>
              </w:rPr>
              <w:t>社会效益</w:t>
            </w:r>
          </w:p>
        </w:tc>
        <w:tc>
          <w:tcPr>
            <w:tcW w:w="1276" w:type="dxa"/>
            <w:tcBorders>
              <w:top w:val="nil"/>
              <w:bottom w:val="nil"/>
            </w:tcBorders>
            <w:vAlign w:val="center"/>
          </w:tcPr>
          <w:p>
            <w:pPr>
              <w:spacing w:line="360" w:lineRule="exact"/>
              <w:jc w:val="center"/>
              <w:rPr>
                <w:color w:val="auto"/>
              </w:rPr>
            </w:pPr>
            <w:r>
              <w:rPr>
                <w:rFonts w:hint="eastAsia" w:ascii="仿宋_GB2312" w:eastAsia="仿宋_GB2312"/>
                <w:color w:val="auto"/>
                <w:sz w:val="28"/>
                <w:szCs w:val="28"/>
                <w:lang w:val="en-US" w:eastAsia="zh-CN"/>
              </w:rPr>
              <w:t>4</w:t>
            </w:r>
          </w:p>
        </w:tc>
        <w:tc>
          <w:tcPr>
            <w:tcW w:w="2142" w:type="dxa"/>
            <w:tcBorders>
              <w:top w:val="nil"/>
              <w:bottom w:val="nil"/>
            </w:tcBorders>
            <w:shd w:val="clear" w:color="auto" w:fill="auto"/>
            <w:vAlign w:val="center"/>
          </w:tcPr>
          <w:p>
            <w:pPr>
              <w:spacing w:line="360" w:lineRule="exact"/>
              <w:jc w:val="center"/>
              <w:rPr>
                <w:rFonts w:hint="default" w:eastAsiaTheme="minorEastAsia"/>
                <w:b/>
                <w:color w:val="auto"/>
                <w:lang w:val="en-US" w:eastAsia="zh-CN"/>
              </w:rPr>
            </w:pPr>
            <w:r>
              <w:rPr>
                <w:rFonts w:hint="eastAsia" w:ascii="仿宋_GB2312" w:eastAsia="仿宋_GB2312"/>
                <w:color w:val="auto"/>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4" w:hRule="atLeast"/>
          <w:jc w:val="center"/>
        </w:trPr>
        <w:tc>
          <w:tcPr>
            <w:tcW w:w="1980" w:type="dxa"/>
            <w:vMerge w:val="continue"/>
            <w:tcBorders/>
            <w:vAlign w:val="center"/>
          </w:tcPr>
          <w:p>
            <w:pPr>
              <w:spacing w:line="360" w:lineRule="exact"/>
              <w:rPr>
                <w:rFonts w:ascii="仿宋_GB2312" w:eastAsia="仿宋_GB2312"/>
                <w:b/>
                <w:color w:val="auto"/>
                <w:sz w:val="28"/>
                <w:szCs w:val="28"/>
              </w:rPr>
            </w:pPr>
          </w:p>
        </w:tc>
        <w:tc>
          <w:tcPr>
            <w:tcW w:w="1276" w:type="dxa"/>
            <w:vMerge w:val="continue"/>
            <w:tcBorders/>
            <w:vAlign w:val="center"/>
          </w:tcPr>
          <w:p>
            <w:pPr>
              <w:spacing w:line="360" w:lineRule="exact"/>
              <w:jc w:val="center"/>
              <w:rPr>
                <w:color w:val="auto"/>
              </w:rPr>
            </w:pPr>
          </w:p>
        </w:tc>
        <w:tc>
          <w:tcPr>
            <w:tcW w:w="1984" w:type="dxa"/>
            <w:tcBorders>
              <w:top w:val="nil"/>
            </w:tcBorders>
            <w:vAlign w:val="center"/>
          </w:tcPr>
          <w:p>
            <w:pPr>
              <w:spacing w:line="360" w:lineRule="exact"/>
              <w:jc w:val="center"/>
              <w:rPr>
                <w:rFonts w:hint="eastAsia" w:eastAsia="宋体"/>
                <w:color w:val="auto"/>
                <w:lang w:eastAsia="zh-CN"/>
              </w:rPr>
            </w:pPr>
            <w:r>
              <w:rPr>
                <w:rFonts w:hint="eastAsia" w:ascii="仿宋_GB2312" w:eastAsia="仿宋_GB2312"/>
                <w:color w:val="auto"/>
                <w:sz w:val="28"/>
                <w:szCs w:val="28"/>
                <w:lang w:val="en-US" w:eastAsia="zh-CN"/>
              </w:rPr>
              <w:t>生态效益</w:t>
            </w:r>
          </w:p>
        </w:tc>
        <w:tc>
          <w:tcPr>
            <w:tcW w:w="1276" w:type="dxa"/>
            <w:tcBorders>
              <w:top w:val="nil"/>
            </w:tcBorders>
            <w:vAlign w:val="center"/>
          </w:tcPr>
          <w:p>
            <w:pPr>
              <w:spacing w:line="360" w:lineRule="exact"/>
              <w:jc w:val="center"/>
              <w:rPr>
                <w:color w:val="auto"/>
              </w:rPr>
            </w:pPr>
            <w:r>
              <w:rPr>
                <w:rFonts w:hint="eastAsia" w:ascii="仿宋_GB2312" w:eastAsia="仿宋_GB2312"/>
                <w:color w:val="auto"/>
                <w:sz w:val="28"/>
                <w:szCs w:val="28"/>
                <w:lang w:val="en-US" w:eastAsia="zh-CN"/>
              </w:rPr>
              <w:t>4</w:t>
            </w:r>
          </w:p>
        </w:tc>
        <w:tc>
          <w:tcPr>
            <w:tcW w:w="2142" w:type="dxa"/>
            <w:tcBorders>
              <w:top w:val="nil"/>
            </w:tcBorders>
            <w:vAlign w:val="center"/>
          </w:tcPr>
          <w:p>
            <w:pPr>
              <w:spacing w:line="360" w:lineRule="exact"/>
              <w:jc w:val="center"/>
              <w:rPr>
                <w:rFonts w:hint="default" w:eastAsiaTheme="minorEastAsia"/>
                <w:b/>
                <w:color w:val="auto"/>
                <w:lang w:val="en-US" w:eastAsia="zh-CN"/>
              </w:rPr>
            </w:pPr>
            <w:r>
              <w:rPr>
                <w:rFonts w:hint="eastAsia" w:ascii="仿宋_GB2312" w:eastAsia="仿宋_GB2312"/>
                <w:color w:val="auto"/>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4" w:hRule="atLeast"/>
          <w:jc w:val="center"/>
        </w:trPr>
        <w:tc>
          <w:tcPr>
            <w:tcW w:w="1980" w:type="dxa"/>
            <w:vMerge w:val="continue"/>
            <w:tcBorders/>
            <w:vAlign w:val="center"/>
          </w:tcPr>
          <w:p>
            <w:pPr>
              <w:spacing w:line="360" w:lineRule="exact"/>
              <w:rPr>
                <w:rFonts w:ascii="仿宋_GB2312" w:eastAsia="仿宋_GB2312"/>
                <w:b/>
                <w:color w:val="auto"/>
                <w:sz w:val="28"/>
                <w:szCs w:val="28"/>
              </w:rPr>
            </w:pPr>
          </w:p>
        </w:tc>
        <w:tc>
          <w:tcPr>
            <w:tcW w:w="1276" w:type="dxa"/>
            <w:vMerge w:val="continue"/>
            <w:tcBorders/>
            <w:vAlign w:val="center"/>
          </w:tcPr>
          <w:p>
            <w:pPr>
              <w:spacing w:line="360" w:lineRule="exact"/>
              <w:jc w:val="center"/>
              <w:rPr>
                <w:color w:val="auto"/>
              </w:rPr>
            </w:pPr>
          </w:p>
        </w:tc>
        <w:tc>
          <w:tcPr>
            <w:tcW w:w="1984" w:type="dxa"/>
            <w:vAlign w:val="center"/>
          </w:tcPr>
          <w:p>
            <w:pPr>
              <w:spacing w:line="360" w:lineRule="exact"/>
              <w:jc w:val="center"/>
              <w:rPr>
                <w:rFonts w:hint="eastAsia" w:eastAsia="宋体"/>
                <w:color w:val="auto"/>
                <w:lang w:eastAsia="zh-CN"/>
              </w:rPr>
            </w:pPr>
            <w:r>
              <w:rPr>
                <w:rFonts w:hint="eastAsia" w:ascii="仿宋_GB2312" w:eastAsia="仿宋_GB2312"/>
                <w:color w:val="auto"/>
                <w:sz w:val="28"/>
                <w:szCs w:val="28"/>
                <w:lang w:val="en-US" w:eastAsia="zh-CN"/>
              </w:rPr>
              <w:t>可持续性影响</w:t>
            </w:r>
          </w:p>
        </w:tc>
        <w:tc>
          <w:tcPr>
            <w:tcW w:w="1276" w:type="dxa"/>
            <w:vAlign w:val="center"/>
          </w:tcPr>
          <w:p>
            <w:pPr>
              <w:spacing w:line="360" w:lineRule="exact"/>
              <w:jc w:val="center"/>
              <w:rPr>
                <w:color w:val="auto"/>
              </w:rPr>
            </w:pPr>
            <w:r>
              <w:rPr>
                <w:rFonts w:hint="eastAsia" w:ascii="仿宋_GB2312" w:eastAsia="仿宋_GB2312"/>
                <w:color w:val="auto"/>
                <w:sz w:val="28"/>
                <w:szCs w:val="28"/>
                <w:lang w:val="en-US" w:eastAsia="zh-CN"/>
              </w:rPr>
              <w:t>4</w:t>
            </w:r>
          </w:p>
        </w:tc>
        <w:tc>
          <w:tcPr>
            <w:tcW w:w="2142" w:type="dxa"/>
            <w:vAlign w:val="center"/>
          </w:tcPr>
          <w:p>
            <w:pPr>
              <w:spacing w:line="360" w:lineRule="exact"/>
              <w:jc w:val="center"/>
              <w:rPr>
                <w:rFonts w:hint="default" w:eastAsiaTheme="minorEastAsia"/>
                <w:b/>
                <w:color w:val="auto"/>
                <w:lang w:val="en-US" w:eastAsia="zh-CN"/>
              </w:rPr>
            </w:pPr>
            <w:r>
              <w:rPr>
                <w:rFonts w:hint="eastAsia" w:ascii="仿宋_GB2312" w:eastAsia="仿宋_GB2312"/>
                <w:color w:val="auto"/>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4" w:hRule="atLeast"/>
          <w:jc w:val="center"/>
        </w:trPr>
        <w:tc>
          <w:tcPr>
            <w:tcW w:w="1980" w:type="dxa"/>
            <w:vMerge w:val="continue"/>
            <w:tcBorders/>
            <w:vAlign w:val="center"/>
          </w:tcPr>
          <w:p>
            <w:pPr>
              <w:spacing w:line="360" w:lineRule="exact"/>
              <w:rPr>
                <w:rFonts w:ascii="仿宋_GB2312" w:eastAsia="仿宋_GB2312"/>
                <w:b/>
                <w:color w:val="auto"/>
                <w:sz w:val="28"/>
                <w:szCs w:val="28"/>
              </w:rPr>
            </w:pPr>
          </w:p>
        </w:tc>
        <w:tc>
          <w:tcPr>
            <w:tcW w:w="1276" w:type="dxa"/>
            <w:vMerge w:val="continue"/>
            <w:tcBorders/>
            <w:vAlign w:val="center"/>
          </w:tcPr>
          <w:p>
            <w:pPr>
              <w:spacing w:line="360" w:lineRule="exact"/>
              <w:jc w:val="center"/>
              <w:rPr>
                <w:color w:val="auto"/>
              </w:rPr>
            </w:pPr>
          </w:p>
        </w:tc>
        <w:tc>
          <w:tcPr>
            <w:tcW w:w="1984" w:type="dxa"/>
            <w:vAlign w:val="center"/>
          </w:tcPr>
          <w:p>
            <w:pPr>
              <w:spacing w:line="360" w:lineRule="exact"/>
              <w:jc w:val="center"/>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社会公众或服务对象满意度</w:t>
            </w:r>
          </w:p>
        </w:tc>
        <w:tc>
          <w:tcPr>
            <w:tcW w:w="1276" w:type="dxa"/>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c>
          <w:tcPr>
            <w:tcW w:w="2142" w:type="dxa"/>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28" w:type="dxa"/>
            <w:left w:w="108" w:type="dxa"/>
            <w:bottom w:w="28" w:type="dxa"/>
            <w:right w:w="108" w:type="dxa"/>
          </w:tblCellMar>
        </w:tblPrEx>
        <w:trPr>
          <w:trHeight w:val="514" w:hRule="atLeast"/>
          <w:jc w:val="center"/>
        </w:trPr>
        <w:tc>
          <w:tcPr>
            <w:tcW w:w="5240" w:type="dxa"/>
            <w:gridSpan w:val="3"/>
            <w:tcBorders>
              <w:bottom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总分</w:t>
            </w:r>
          </w:p>
        </w:tc>
        <w:tc>
          <w:tcPr>
            <w:tcW w:w="1276" w:type="dxa"/>
            <w:tcBorders>
              <w:bottom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100</w:t>
            </w:r>
          </w:p>
        </w:tc>
        <w:tc>
          <w:tcPr>
            <w:tcW w:w="2142" w:type="dxa"/>
            <w:tcBorders>
              <w:bottom w:val="single" w:color="auto" w:sz="4" w:space="0"/>
            </w:tcBorders>
            <w:vAlign w:val="center"/>
          </w:tcPr>
          <w:p>
            <w:pPr>
              <w:spacing w:line="360" w:lineRule="exact"/>
              <w:jc w:val="center"/>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100</w:t>
            </w:r>
          </w:p>
        </w:tc>
      </w:tr>
    </w:tbl>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根据区财政局要求，绩效评价工作小组依据自评通知中的整体支出绩效评价指标评分标准开展自评评分，得分情况具体如下：</w:t>
      </w:r>
    </w:p>
    <w:p>
      <w:pPr>
        <w:pStyle w:val="3"/>
        <w:ind w:firstLine="643" w:firstLineChars="200"/>
        <w:rPr>
          <w:rFonts w:ascii="仿宋_GB2312"/>
          <w:color w:val="auto"/>
        </w:rPr>
      </w:pPr>
      <w:bookmarkStart w:id="0" w:name="_Toc516243205"/>
      <w:bookmarkStart w:id="1" w:name="_Toc516666456"/>
      <w:bookmarkStart w:id="2" w:name="_Toc517050316"/>
      <w:r>
        <w:rPr>
          <w:rFonts w:hint="eastAsia" w:ascii="仿宋_GB2312"/>
          <w:color w:val="auto"/>
        </w:rPr>
        <w:t>1、项目决策情况（指标总分</w:t>
      </w:r>
      <w:r>
        <w:rPr>
          <w:rFonts w:hint="eastAsia" w:ascii="仿宋_GB2312"/>
          <w:color w:val="auto"/>
          <w:lang w:val="en-US" w:eastAsia="zh-CN"/>
        </w:rPr>
        <w:t>25</w:t>
      </w:r>
      <w:r>
        <w:rPr>
          <w:rFonts w:hint="eastAsia" w:ascii="仿宋_GB2312"/>
          <w:color w:val="auto"/>
        </w:rPr>
        <w:t>分，自评得分</w:t>
      </w:r>
      <w:r>
        <w:rPr>
          <w:rFonts w:hint="eastAsia" w:ascii="仿宋_GB2312"/>
          <w:color w:val="auto"/>
          <w:lang w:val="en-US" w:eastAsia="zh-CN"/>
        </w:rPr>
        <w:t>25</w:t>
      </w:r>
      <w:r>
        <w:rPr>
          <w:rFonts w:hint="eastAsia" w:ascii="仿宋_GB2312"/>
          <w:color w:val="auto"/>
        </w:rPr>
        <w:t>分）</w:t>
      </w:r>
      <w:bookmarkEnd w:id="0"/>
      <w:bookmarkEnd w:id="1"/>
      <w:bookmarkEnd w:id="2"/>
    </w:p>
    <w:p>
      <w:pPr>
        <w:spacing w:line="60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盐田区盐田河综合管理服务项目</w:t>
      </w:r>
      <w:r>
        <w:rPr>
          <w:rFonts w:hint="eastAsia" w:ascii="仿宋_GB2312" w:eastAsia="仿宋_GB2312"/>
          <w:color w:val="auto"/>
          <w:sz w:val="32"/>
          <w:szCs w:val="32"/>
        </w:rPr>
        <w:t>的申请、设立过程符合相关要求</w:t>
      </w:r>
      <w:r>
        <w:rPr>
          <w:rFonts w:hint="eastAsia" w:ascii="仿宋_GB2312" w:eastAsia="仿宋_GB2312"/>
          <w:color w:val="auto"/>
          <w:sz w:val="32"/>
          <w:szCs w:val="32"/>
          <w:lang w:eastAsia="zh-CN"/>
        </w:rPr>
        <w:t>，</w:t>
      </w:r>
      <w:r>
        <w:rPr>
          <w:rFonts w:hint="eastAsia" w:ascii="仿宋_GB2312" w:eastAsia="仿宋_GB2312"/>
          <w:color w:val="auto"/>
          <w:sz w:val="32"/>
          <w:szCs w:val="32"/>
        </w:rPr>
        <w:t>因此</w:t>
      </w:r>
      <w:r>
        <w:rPr>
          <w:rFonts w:hint="eastAsia" w:ascii="仿宋_GB2312" w:eastAsia="仿宋_GB2312"/>
          <w:color w:val="auto"/>
          <w:sz w:val="32"/>
          <w:szCs w:val="32"/>
          <w:lang w:val="en-US" w:eastAsia="zh-CN"/>
        </w:rPr>
        <w:t>项目立项</w:t>
      </w:r>
      <w:r>
        <w:rPr>
          <w:rFonts w:hint="eastAsia" w:ascii="仿宋_GB2312" w:eastAsia="仿宋_GB2312"/>
          <w:color w:val="auto"/>
          <w:sz w:val="32"/>
          <w:szCs w:val="32"/>
        </w:rPr>
        <w:t>得满分。</w:t>
      </w:r>
    </w:p>
    <w:p>
      <w:pPr>
        <w:spacing w:line="60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项目所设定的绩效目标依据充分，符合绩效目标管理要求，符合客观实际</w:t>
      </w:r>
      <w:r>
        <w:rPr>
          <w:rFonts w:hint="eastAsia" w:ascii="仿宋_GB2312" w:eastAsia="仿宋_GB2312"/>
          <w:color w:val="auto"/>
          <w:sz w:val="32"/>
          <w:szCs w:val="32"/>
          <w:lang w:eastAsia="zh-CN"/>
        </w:rPr>
        <w:t>，绩效指标清晰、细化、可衡量，</w:t>
      </w:r>
      <w:r>
        <w:rPr>
          <w:rFonts w:hint="eastAsia" w:ascii="仿宋_GB2312" w:eastAsia="仿宋_GB2312"/>
          <w:color w:val="auto"/>
          <w:sz w:val="32"/>
          <w:szCs w:val="32"/>
          <w:lang w:val="en-US" w:eastAsia="zh-CN"/>
        </w:rPr>
        <w:t>已</w:t>
      </w:r>
      <w:r>
        <w:rPr>
          <w:rFonts w:hint="eastAsia" w:ascii="仿宋_GB2312" w:eastAsia="仿宋_GB2312"/>
          <w:color w:val="auto"/>
          <w:sz w:val="32"/>
          <w:szCs w:val="32"/>
          <w:lang w:eastAsia="zh-CN"/>
        </w:rPr>
        <w:t>制定资金需求计划并纳入年初预算，年初资金预算与项目需求量相匹配，</w:t>
      </w:r>
      <w:r>
        <w:rPr>
          <w:rFonts w:hint="eastAsia" w:ascii="仿宋_GB2312" w:eastAsia="仿宋_GB2312"/>
          <w:color w:val="auto"/>
          <w:sz w:val="32"/>
          <w:szCs w:val="32"/>
          <w:lang w:val="en-US" w:eastAsia="zh-CN"/>
        </w:rPr>
        <w:t>因此</w:t>
      </w:r>
      <w:r>
        <w:rPr>
          <w:rFonts w:hint="eastAsia" w:ascii="仿宋_GB2312" w:eastAsia="仿宋_GB2312"/>
          <w:color w:val="auto"/>
          <w:sz w:val="32"/>
          <w:szCs w:val="32"/>
        </w:rPr>
        <w:t>绩效目标</w:t>
      </w:r>
      <w:r>
        <w:rPr>
          <w:rFonts w:hint="eastAsia" w:ascii="仿宋_GB2312" w:eastAsia="仿宋_GB2312"/>
          <w:color w:val="auto"/>
          <w:sz w:val="32"/>
          <w:szCs w:val="32"/>
          <w:lang w:val="en-US" w:eastAsia="zh-CN"/>
        </w:rPr>
        <w:t>和</w:t>
      </w:r>
      <w:r>
        <w:rPr>
          <w:rFonts w:hint="eastAsia" w:ascii="仿宋_GB2312" w:eastAsia="仿宋_GB2312"/>
          <w:color w:val="auto"/>
          <w:sz w:val="32"/>
          <w:szCs w:val="32"/>
        </w:rPr>
        <w:t>资金预算</w:t>
      </w:r>
      <w:r>
        <w:rPr>
          <w:rFonts w:hint="eastAsia" w:ascii="仿宋_GB2312" w:eastAsia="仿宋_GB2312"/>
          <w:color w:val="auto"/>
          <w:sz w:val="32"/>
          <w:szCs w:val="32"/>
          <w:lang w:val="en-US" w:eastAsia="zh-CN"/>
        </w:rPr>
        <w:t>得满分</w:t>
      </w:r>
      <w:r>
        <w:rPr>
          <w:rFonts w:hint="eastAsia" w:ascii="仿宋_GB2312" w:eastAsia="仿宋_GB2312"/>
          <w:color w:val="auto"/>
          <w:sz w:val="32"/>
          <w:szCs w:val="32"/>
        </w:rPr>
        <w:t>。</w:t>
      </w:r>
    </w:p>
    <w:p>
      <w:pPr>
        <w:pStyle w:val="3"/>
        <w:ind w:firstLine="643" w:firstLineChars="200"/>
        <w:rPr>
          <w:rFonts w:ascii="仿宋_GB2312"/>
          <w:color w:val="auto"/>
        </w:rPr>
      </w:pPr>
      <w:bookmarkStart w:id="3" w:name="_Toc516243206"/>
      <w:bookmarkStart w:id="4" w:name="_Toc517050317"/>
      <w:bookmarkStart w:id="5" w:name="_Toc516666457"/>
      <w:r>
        <w:rPr>
          <w:rFonts w:ascii="仿宋_GB2312"/>
          <w:color w:val="auto"/>
        </w:rPr>
        <w:t>2</w:t>
      </w:r>
      <w:r>
        <w:rPr>
          <w:rFonts w:hint="eastAsia" w:ascii="仿宋_GB2312"/>
          <w:color w:val="auto"/>
        </w:rPr>
        <w:t>、项目</w:t>
      </w:r>
      <w:r>
        <w:rPr>
          <w:rFonts w:hint="eastAsia" w:ascii="仿宋_GB2312"/>
          <w:color w:val="auto"/>
          <w:lang w:val="en-US" w:eastAsia="zh-CN"/>
        </w:rPr>
        <w:t>管理</w:t>
      </w:r>
      <w:r>
        <w:rPr>
          <w:rFonts w:hint="eastAsia" w:ascii="仿宋_GB2312"/>
          <w:color w:val="auto"/>
        </w:rPr>
        <w:t>情况（指标总分</w:t>
      </w:r>
      <w:r>
        <w:rPr>
          <w:rFonts w:hint="eastAsia" w:ascii="仿宋_GB2312"/>
          <w:color w:val="auto"/>
          <w:lang w:val="en-US" w:eastAsia="zh-CN"/>
        </w:rPr>
        <w:t>30</w:t>
      </w:r>
      <w:r>
        <w:rPr>
          <w:rFonts w:hint="eastAsia" w:ascii="仿宋_GB2312"/>
          <w:color w:val="auto"/>
        </w:rPr>
        <w:t>分，自评得分</w:t>
      </w:r>
      <w:r>
        <w:rPr>
          <w:rFonts w:hint="eastAsia" w:ascii="仿宋_GB2312"/>
          <w:color w:val="auto"/>
          <w:lang w:val="en-US" w:eastAsia="zh-CN"/>
        </w:rPr>
        <w:t>30</w:t>
      </w:r>
      <w:r>
        <w:rPr>
          <w:rFonts w:hint="eastAsia" w:ascii="仿宋_GB2312"/>
          <w:color w:val="auto"/>
        </w:rPr>
        <w:t>分）</w:t>
      </w:r>
      <w:bookmarkEnd w:id="3"/>
      <w:bookmarkEnd w:id="4"/>
      <w:bookmarkEnd w:id="5"/>
    </w:p>
    <w:p>
      <w:pPr>
        <w:spacing w:line="600" w:lineRule="exact"/>
        <w:ind w:firstLine="640" w:firstLineChars="200"/>
        <w:rPr>
          <w:rFonts w:hint="eastAsia" w:ascii="仿宋_GB2312" w:eastAsia="仿宋_GB2312"/>
          <w:color w:val="auto"/>
          <w:sz w:val="32"/>
          <w:szCs w:val="32"/>
          <w:lang w:val="en-US" w:eastAsia="zh-CN"/>
        </w:rPr>
      </w:pPr>
      <w:r>
        <w:rPr>
          <w:rFonts w:hint="eastAsia" w:ascii="仿宋_GB2312" w:eastAsia="仿宋_GB2312" w:cs="仿宋_GB2312"/>
          <w:color w:val="auto"/>
          <w:sz w:val="32"/>
          <w:szCs w:val="32"/>
        </w:rPr>
        <w:t>盐田区盐田河综合管理服务项目</w:t>
      </w:r>
      <w:r>
        <w:rPr>
          <w:rFonts w:hint="eastAsia" w:ascii="仿宋_GB2312" w:eastAsia="仿宋_GB2312"/>
          <w:color w:val="auto"/>
          <w:sz w:val="32"/>
          <w:szCs w:val="32"/>
        </w:rPr>
        <w:t>在项目</w:t>
      </w:r>
      <w:r>
        <w:rPr>
          <w:rFonts w:hint="eastAsia" w:ascii="仿宋_GB2312" w:eastAsia="仿宋_GB2312"/>
          <w:color w:val="auto"/>
          <w:sz w:val="32"/>
          <w:szCs w:val="32"/>
          <w:lang w:val="en-US" w:eastAsia="zh-CN"/>
        </w:rPr>
        <w:t>管理</w:t>
      </w:r>
      <w:r>
        <w:rPr>
          <w:rFonts w:hint="eastAsia" w:ascii="仿宋_GB2312" w:eastAsia="仿宋_GB2312"/>
          <w:color w:val="auto"/>
          <w:sz w:val="32"/>
          <w:szCs w:val="32"/>
        </w:rPr>
        <w:t>一级指标的自评总得分为</w:t>
      </w:r>
      <w:r>
        <w:rPr>
          <w:rFonts w:hint="eastAsia" w:ascii="仿宋_GB2312" w:eastAsia="仿宋_GB2312"/>
          <w:color w:val="auto"/>
          <w:sz w:val="32"/>
          <w:szCs w:val="32"/>
          <w:lang w:val="en-US" w:eastAsia="zh-CN"/>
        </w:rPr>
        <w:t>30</w:t>
      </w:r>
      <w:r>
        <w:rPr>
          <w:rFonts w:ascii="仿宋_GB2312" w:eastAsia="仿宋_GB2312"/>
          <w:color w:val="auto"/>
          <w:sz w:val="32"/>
          <w:szCs w:val="32"/>
        </w:rPr>
        <w:t>分，其中</w:t>
      </w:r>
      <w:r>
        <w:rPr>
          <w:rFonts w:hint="eastAsia" w:ascii="仿宋_GB2312" w:eastAsia="仿宋_GB2312"/>
          <w:color w:val="auto"/>
          <w:sz w:val="32"/>
          <w:szCs w:val="32"/>
        </w:rPr>
        <w:t>资金落实</w:t>
      </w:r>
      <w:r>
        <w:rPr>
          <w:rFonts w:ascii="仿宋_GB2312" w:eastAsia="仿宋_GB2312"/>
          <w:color w:val="auto"/>
          <w:sz w:val="32"/>
          <w:szCs w:val="32"/>
        </w:rPr>
        <w:t>、</w:t>
      </w:r>
      <w:r>
        <w:rPr>
          <w:rFonts w:hint="eastAsia" w:ascii="仿宋_GB2312" w:eastAsia="仿宋_GB2312"/>
          <w:color w:val="auto"/>
          <w:sz w:val="32"/>
          <w:szCs w:val="32"/>
        </w:rPr>
        <w:t>项目实施</w:t>
      </w:r>
      <w:r>
        <w:rPr>
          <w:rFonts w:hint="eastAsia" w:ascii="仿宋_GB2312" w:eastAsia="仿宋_GB2312"/>
          <w:color w:val="auto"/>
          <w:sz w:val="32"/>
          <w:szCs w:val="32"/>
          <w:lang w:eastAsia="zh-CN"/>
        </w:rPr>
        <w:t>、</w:t>
      </w:r>
      <w:r>
        <w:rPr>
          <w:rFonts w:hint="eastAsia" w:ascii="仿宋_GB2312" w:eastAsia="仿宋_GB2312"/>
          <w:color w:val="auto"/>
          <w:sz w:val="32"/>
          <w:szCs w:val="32"/>
        </w:rPr>
        <w:t>业务管理</w:t>
      </w:r>
      <w:r>
        <w:rPr>
          <w:rFonts w:hint="eastAsia" w:ascii="仿宋_GB2312" w:eastAsia="仿宋_GB2312"/>
          <w:color w:val="auto"/>
          <w:sz w:val="32"/>
          <w:szCs w:val="32"/>
          <w:lang w:eastAsia="zh-CN"/>
        </w:rPr>
        <w:t>、</w:t>
      </w:r>
      <w:r>
        <w:rPr>
          <w:rFonts w:hint="eastAsia" w:ascii="仿宋_GB2312" w:eastAsia="仿宋_GB2312"/>
          <w:color w:val="auto"/>
          <w:sz w:val="32"/>
          <w:szCs w:val="32"/>
        </w:rPr>
        <w:t>财务管理</w:t>
      </w:r>
      <w:r>
        <w:rPr>
          <w:rFonts w:ascii="仿宋_GB2312" w:eastAsia="仿宋_GB2312"/>
          <w:color w:val="auto"/>
          <w:sz w:val="32"/>
          <w:szCs w:val="32"/>
        </w:rPr>
        <w:t>等二级指标均为满分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具体如下：</w:t>
      </w:r>
    </w:p>
    <w:p>
      <w:pPr>
        <w:spacing w:line="600" w:lineRule="exact"/>
        <w:ind w:firstLine="640" w:firstLineChars="200"/>
        <w:rPr>
          <w:rFonts w:hint="default" w:ascii="仿宋_GB2312" w:eastAsia="仿宋_GB2312"/>
          <w:color w:val="auto"/>
          <w:sz w:val="32"/>
          <w:szCs w:val="32"/>
          <w:lang w:val="en-US" w:eastAsia="zh-CN"/>
        </w:rPr>
      </w:pPr>
      <w:r>
        <w:rPr>
          <w:rFonts w:hint="eastAsia" w:ascii="仿宋_GB2312" w:eastAsia="仿宋_GB2312" w:cs="仿宋_GB2312"/>
          <w:color w:val="auto"/>
          <w:sz w:val="32"/>
          <w:szCs w:val="32"/>
        </w:rPr>
        <w:t>本项目资金到位率100%，项目时效为:201</w:t>
      </w:r>
      <w:r>
        <w:rPr>
          <w:rFonts w:hint="eastAsia" w:ascii="仿宋_GB2312" w:eastAsia="仿宋_GB2312" w:cs="仿宋_GB2312"/>
          <w:color w:val="auto"/>
          <w:sz w:val="32"/>
          <w:szCs w:val="32"/>
          <w:lang w:val="en-US" w:eastAsia="zh-CN"/>
        </w:rPr>
        <w:t>7</w:t>
      </w:r>
      <w:r>
        <w:rPr>
          <w:rFonts w:hint="eastAsia" w:ascii="仿宋_GB2312" w:eastAsia="仿宋_GB2312" w:cs="仿宋_GB2312"/>
          <w:color w:val="auto"/>
          <w:sz w:val="32"/>
          <w:szCs w:val="32"/>
        </w:rPr>
        <w:t>年</w:t>
      </w:r>
      <w:r>
        <w:rPr>
          <w:rFonts w:hint="eastAsia" w:ascii="仿宋_GB2312" w:eastAsia="仿宋_GB2312" w:cs="仿宋_GB2312"/>
          <w:color w:val="auto"/>
          <w:sz w:val="32"/>
          <w:szCs w:val="32"/>
          <w:lang w:val="en-US" w:eastAsia="zh-CN"/>
        </w:rPr>
        <w:t>12</w:t>
      </w:r>
      <w:r>
        <w:rPr>
          <w:rFonts w:hint="eastAsia" w:ascii="仿宋_GB2312" w:eastAsia="仿宋_GB2312" w:cs="仿宋_GB2312"/>
          <w:color w:val="auto"/>
          <w:sz w:val="32"/>
          <w:szCs w:val="32"/>
        </w:rPr>
        <w:t>月完成公开招标工作</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2018年1月-12月</w:t>
      </w:r>
      <w:r>
        <w:rPr>
          <w:rFonts w:hint="eastAsia" w:ascii="仿宋_GB2312" w:eastAsia="仿宋_GB2312" w:cs="仿宋_GB2312"/>
          <w:color w:val="auto"/>
          <w:sz w:val="32"/>
          <w:szCs w:val="32"/>
        </w:rPr>
        <w:t>开展</w:t>
      </w:r>
      <w:r>
        <w:rPr>
          <w:rFonts w:hint="eastAsia" w:ascii="仿宋_GB2312" w:eastAsia="仿宋_GB2312" w:cs="仿宋_GB2312"/>
          <w:color w:val="auto"/>
          <w:sz w:val="32"/>
          <w:szCs w:val="32"/>
          <w:lang w:val="en-US" w:eastAsia="zh-CN"/>
        </w:rPr>
        <w:t>日常管养服务工作</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每月进行作业、绿化、卫生评分考核，三项考核均合格方可支付全部服务费用</w:t>
      </w:r>
      <w:r>
        <w:rPr>
          <w:rFonts w:hint="eastAsia" w:ascii="仿宋_GB2312" w:eastAsia="仿宋_GB2312" w:cs="仿宋_GB2312"/>
          <w:color w:val="auto"/>
          <w:sz w:val="32"/>
          <w:szCs w:val="32"/>
        </w:rPr>
        <w:t>。项目组织实施机构</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实施方案</w:t>
      </w:r>
      <w:r>
        <w:rPr>
          <w:rFonts w:hint="eastAsia" w:ascii="仿宋_GB2312" w:eastAsia="仿宋_GB2312" w:cs="仿宋_GB2312"/>
          <w:color w:val="auto"/>
          <w:sz w:val="32"/>
          <w:szCs w:val="32"/>
        </w:rPr>
        <w:t>健全，分工明确，严格按照管理进度推进工作。</w:t>
      </w:r>
    </w:p>
    <w:p>
      <w:pPr>
        <w:pStyle w:val="3"/>
        <w:ind w:firstLine="643" w:firstLineChars="200"/>
        <w:rPr>
          <w:rFonts w:ascii="仿宋_GB2312"/>
          <w:color w:val="auto"/>
        </w:rPr>
      </w:pPr>
      <w:bookmarkStart w:id="6" w:name="_Toc517050318"/>
      <w:bookmarkStart w:id="7" w:name="_Toc516243207"/>
      <w:bookmarkStart w:id="8" w:name="_Toc516666458"/>
      <w:r>
        <w:rPr>
          <w:rFonts w:ascii="仿宋_GB2312"/>
          <w:color w:val="auto"/>
        </w:rPr>
        <w:t>3</w:t>
      </w:r>
      <w:r>
        <w:rPr>
          <w:rFonts w:hint="eastAsia" w:ascii="仿宋_GB2312"/>
          <w:color w:val="auto"/>
        </w:rPr>
        <w:t>、</w:t>
      </w:r>
      <w:r>
        <w:rPr>
          <w:rFonts w:hint="eastAsia" w:ascii="仿宋_GB2312"/>
          <w:color w:val="auto"/>
          <w:lang w:val="en-US" w:eastAsia="zh-CN"/>
        </w:rPr>
        <w:t>项目产出情况</w:t>
      </w:r>
      <w:r>
        <w:rPr>
          <w:rFonts w:hint="eastAsia" w:ascii="仿宋_GB2312"/>
          <w:color w:val="auto"/>
        </w:rPr>
        <w:t>（指标总分</w:t>
      </w:r>
      <w:r>
        <w:rPr>
          <w:rFonts w:hint="eastAsia" w:ascii="仿宋_GB2312"/>
          <w:color w:val="auto"/>
          <w:lang w:val="en-US" w:eastAsia="zh-CN"/>
        </w:rPr>
        <w:t>25</w:t>
      </w:r>
      <w:r>
        <w:rPr>
          <w:rFonts w:hint="eastAsia" w:ascii="仿宋_GB2312"/>
          <w:color w:val="auto"/>
        </w:rPr>
        <w:t>分，自评得分</w:t>
      </w:r>
      <w:r>
        <w:rPr>
          <w:rFonts w:hint="eastAsia" w:ascii="仿宋_GB2312"/>
          <w:color w:val="auto"/>
          <w:lang w:val="en-US" w:eastAsia="zh-CN"/>
        </w:rPr>
        <w:t>25</w:t>
      </w:r>
      <w:r>
        <w:rPr>
          <w:rFonts w:hint="eastAsia" w:ascii="仿宋_GB2312"/>
          <w:color w:val="auto"/>
        </w:rPr>
        <w:t>分）</w:t>
      </w:r>
      <w:bookmarkEnd w:id="6"/>
      <w:bookmarkEnd w:id="7"/>
      <w:bookmarkEnd w:id="8"/>
    </w:p>
    <w:p>
      <w:pPr>
        <w:spacing w:line="60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盐田区盐田河综合管理服务项目</w:t>
      </w:r>
      <w:r>
        <w:rPr>
          <w:rFonts w:hint="eastAsia" w:ascii="仿宋_GB2312" w:eastAsia="仿宋_GB2312"/>
          <w:color w:val="auto"/>
          <w:sz w:val="32"/>
          <w:szCs w:val="32"/>
        </w:rPr>
        <w:t>在项目</w:t>
      </w:r>
      <w:r>
        <w:rPr>
          <w:rFonts w:hint="eastAsia" w:ascii="仿宋_GB2312" w:eastAsia="仿宋_GB2312"/>
          <w:color w:val="auto"/>
          <w:sz w:val="32"/>
          <w:szCs w:val="32"/>
          <w:lang w:val="en-US" w:eastAsia="zh-CN"/>
        </w:rPr>
        <w:t>产出</w:t>
      </w:r>
      <w:r>
        <w:rPr>
          <w:rFonts w:hint="eastAsia" w:ascii="仿宋_GB2312" w:eastAsia="仿宋_GB2312"/>
          <w:color w:val="auto"/>
          <w:sz w:val="32"/>
          <w:szCs w:val="32"/>
        </w:rPr>
        <w:t>一级指标的自评总得分为</w:t>
      </w:r>
      <w:r>
        <w:rPr>
          <w:rFonts w:hint="eastAsia" w:ascii="仿宋_GB2312" w:eastAsia="仿宋_GB2312"/>
          <w:color w:val="auto"/>
          <w:sz w:val="32"/>
          <w:szCs w:val="32"/>
          <w:lang w:val="en-US" w:eastAsia="zh-CN"/>
        </w:rPr>
        <w:t>25</w:t>
      </w:r>
      <w:r>
        <w:rPr>
          <w:rFonts w:ascii="仿宋_GB2312" w:eastAsia="仿宋_GB2312"/>
          <w:color w:val="auto"/>
          <w:sz w:val="32"/>
          <w:szCs w:val="32"/>
        </w:rPr>
        <w:t>分，其中</w:t>
      </w:r>
      <w:r>
        <w:rPr>
          <w:rFonts w:hint="eastAsia" w:ascii="仿宋_GB2312" w:eastAsia="仿宋_GB2312"/>
          <w:color w:val="auto"/>
          <w:sz w:val="32"/>
          <w:szCs w:val="32"/>
        </w:rPr>
        <w:t>实际完成率</w:t>
      </w:r>
      <w:r>
        <w:rPr>
          <w:rFonts w:ascii="仿宋_GB2312" w:eastAsia="仿宋_GB2312"/>
          <w:color w:val="auto"/>
          <w:sz w:val="32"/>
          <w:szCs w:val="32"/>
        </w:rPr>
        <w:t>、</w:t>
      </w:r>
      <w:r>
        <w:rPr>
          <w:rFonts w:hint="eastAsia" w:ascii="仿宋_GB2312" w:eastAsia="仿宋_GB2312"/>
          <w:color w:val="auto"/>
          <w:sz w:val="32"/>
          <w:szCs w:val="32"/>
          <w:lang w:val="en-US" w:eastAsia="zh-CN"/>
        </w:rPr>
        <w:t>完成及时率</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质量达标率</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成本节约率</w:t>
      </w:r>
      <w:r>
        <w:rPr>
          <w:rFonts w:ascii="仿宋_GB2312" w:eastAsia="仿宋_GB2312"/>
          <w:color w:val="auto"/>
          <w:sz w:val="32"/>
          <w:szCs w:val="32"/>
        </w:rPr>
        <w:t>等二级指标均为满分</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具体</w:t>
      </w:r>
      <w:r>
        <w:rPr>
          <w:rFonts w:hint="eastAsia" w:ascii="仿宋_GB2312" w:eastAsia="仿宋_GB2312" w:cs="仿宋_GB2312"/>
          <w:color w:val="auto"/>
          <w:sz w:val="32"/>
          <w:szCs w:val="32"/>
        </w:rPr>
        <w:t>项目产出</w:t>
      </w:r>
      <w:r>
        <w:rPr>
          <w:rFonts w:hint="eastAsia" w:ascii="仿宋_GB2312" w:eastAsia="仿宋_GB2312" w:cs="仿宋_GB2312"/>
          <w:color w:val="auto"/>
          <w:sz w:val="32"/>
          <w:szCs w:val="32"/>
          <w:lang w:val="en-US" w:eastAsia="zh-CN"/>
        </w:rPr>
        <w:t>情况如下</w:t>
      </w:r>
      <w:r>
        <w:rPr>
          <w:rFonts w:hint="eastAsia" w:ascii="仿宋_GB2312" w:eastAsia="仿宋_GB2312" w:cs="仿宋_GB2312"/>
          <w:color w:val="auto"/>
          <w:sz w:val="32"/>
          <w:szCs w:val="32"/>
        </w:rPr>
        <w:t>:</w:t>
      </w:r>
    </w:p>
    <w:p>
      <w:pPr>
        <w:ind w:firstLine="645"/>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rPr>
        <w:t>完成盐田河两岸绿化及景观设施运行维护管理，河道全长3.9公里</w:t>
      </w:r>
      <w:r>
        <w:rPr>
          <w:rFonts w:hint="eastAsia" w:ascii="仿宋_GB2312" w:eastAsia="仿宋_GB2312" w:cs="仿宋_GB2312"/>
          <w:color w:val="auto"/>
          <w:sz w:val="32"/>
          <w:szCs w:val="32"/>
          <w:lang w:eastAsia="zh-CN"/>
        </w:rPr>
        <w:t>；保证河道干净卫生及附属设施正常运行；</w:t>
      </w:r>
      <w:r>
        <w:rPr>
          <w:rFonts w:hint="eastAsia" w:ascii="仿宋_GB2312" w:eastAsia="仿宋_GB2312" w:cs="仿宋_GB2312"/>
          <w:color w:val="auto"/>
          <w:sz w:val="32"/>
          <w:szCs w:val="32"/>
          <w:lang w:val="en-US" w:eastAsia="zh-CN"/>
        </w:rPr>
        <w:t>对河道排放口进行全天巡查。发现污水、泥浆水等异常情况第一时间报告，并核查来源；实际成本284.51536万元，并未超过计划成本284.55万元。</w:t>
      </w:r>
    </w:p>
    <w:p>
      <w:pPr>
        <w:pStyle w:val="3"/>
        <w:ind w:firstLine="643" w:firstLineChars="200"/>
        <w:rPr>
          <w:rFonts w:hint="eastAsia" w:ascii="仿宋_GB2312" w:eastAsia="仿宋_GB2312" w:cs="仿宋_GB2312"/>
          <w:color w:val="auto"/>
          <w:sz w:val="32"/>
          <w:szCs w:val="32"/>
          <w:lang w:val="en-US" w:eastAsia="zh-CN"/>
        </w:rPr>
      </w:pPr>
      <w:r>
        <w:rPr>
          <w:rFonts w:hint="eastAsia" w:ascii="仿宋_GB2312"/>
          <w:color w:val="auto"/>
          <w:lang w:val="en-US" w:eastAsia="zh-CN"/>
        </w:rPr>
        <w:t>4</w:t>
      </w:r>
      <w:r>
        <w:rPr>
          <w:rFonts w:hint="eastAsia" w:ascii="仿宋_GB2312"/>
          <w:color w:val="auto"/>
        </w:rPr>
        <w:t>、</w:t>
      </w:r>
      <w:r>
        <w:rPr>
          <w:rFonts w:hint="eastAsia" w:ascii="仿宋_GB2312"/>
          <w:color w:val="auto"/>
          <w:lang w:val="en-US" w:eastAsia="zh-CN"/>
        </w:rPr>
        <w:t>项目效益情况</w:t>
      </w:r>
      <w:r>
        <w:rPr>
          <w:rFonts w:hint="eastAsia" w:ascii="仿宋_GB2312"/>
          <w:color w:val="auto"/>
        </w:rPr>
        <w:t>（指标总分</w:t>
      </w:r>
      <w:r>
        <w:rPr>
          <w:rFonts w:hint="eastAsia" w:ascii="仿宋_GB2312"/>
          <w:color w:val="auto"/>
          <w:lang w:val="en-US" w:eastAsia="zh-CN"/>
        </w:rPr>
        <w:t>20</w:t>
      </w:r>
      <w:r>
        <w:rPr>
          <w:rFonts w:hint="eastAsia" w:ascii="仿宋_GB2312"/>
          <w:color w:val="auto"/>
        </w:rPr>
        <w:t>分，自评得分</w:t>
      </w:r>
      <w:r>
        <w:rPr>
          <w:rFonts w:hint="eastAsia" w:ascii="仿宋_GB2312"/>
          <w:color w:val="auto"/>
          <w:lang w:val="en-US" w:eastAsia="zh-CN"/>
        </w:rPr>
        <w:t>20</w:t>
      </w:r>
      <w:r>
        <w:rPr>
          <w:rFonts w:hint="eastAsia" w:ascii="仿宋_GB2312"/>
          <w:color w:val="auto"/>
        </w:rPr>
        <w:t>分）</w:t>
      </w:r>
    </w:p>
    <w:p>
      <w:pPr>
        <w:ind w:firstLine="645"/>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lang w:val="en-US" w:eastAsia="zh-CN"/>
        </w:rPr>
        <w:t>此项得分20</w:t>
      </w:r>
      <w:bookmarkStart w:id="9" w:name="_GoBack"/>
      <w:bookmarkEnd w:id="9"/>
      <w:r>
        <w:rPr>
          <w:rFonts w:hint="eastAsia" w:ascii="仿宋_GB2312" w:eastAsia="仿宋_GB2312" w:cs="仿宋_GB2312"/>
          <w:sz w:val="32"/>
          <w:szCs w:val="32"/>
          <w:lang w:val="en-US" w:eastAsia="zh-CN"/>
        </w:rPr>
        <w:t>分，具体效益如下：调查周边居民对河道管理满足程度达到满意；打造优美的河道，为市民提供良好的休闲场所；做好水域保洁，保护河道生态环境；不断提升河道景观环境，为我区黄金海岸旅游事业添砖加瓦。</w:t>
      </w:r>
    </w:p>
    <w:p>
      <w:pPr>
        <w:ind w:firstLine="645"/>
        <w:rPr>
          <w:rFonts w:ascii="黑体" w:hAnsi="黑体" w:eastAsia="黑体"/>
          <w:sz w:val="32"/>
          <w:szCs w:val="32"/>
        </w:rPr>
      </w:pPr>
      <w:r>
        <w:rPr>
          <w:rFonts w:hint="eastAsia" w:ascii="黑体" w:hAnsi="黑体" w:eastAsia="黑体" w:cs="黑体"/>
          <w:sz w:val="32"/>
          <w:szCs w:val="32"/>
        </w:rPr>
        <w:t>三、取得的成效</w:t>
      </w:r>
    </w:p>
    <w:p>
      <w:pPr>
        <w:ind w:firstLine="645"/>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2018年度共补种乔木20科、灌木200株、草皮1500平方米；更换木栈道150米；维修更换草坪灯、太阳能灯共40个；新增垃圾桶15个；金属栏杆更换300米。盐田河水质全年水质达标，河道水环境优良，为盐田河沿岸居民营造了良好的生活环境。</w:t>
      </w:r>
    </w:p>
    <w:p>
      <w:pPr>
        <w:ind w:firstLine="645"/>
        <w:rPr>
          <w:rFonts w:ascii="黑体" w:hAnsi="黑体" w:eastAsia="黑体"/>
          <w:sz w:val="32"/>
          <w:szCs w:val="32"/>
        </w:rPr>
      </w:pPr>
      <w:r>
        <w:rPr>
          <w:rFonts w:hint="eastAsia" w:ascii="黑体" w:hAnsi="黑体" w:eastAsia="黑体" w:cs="黑体"/>
          <w:sz w:val="32"/>
          <w:szCs w:val="32"/>
        </w:rPr>
        <w:t>四、存在的问题</w:t>
      </w:r>
    </w:p>
    <w:p>
      <w:pPr>
        <w:ind w:firstLine="645"/>
        <w:rPr>
          <w:rFonts w:ascii="仿宋_GB2312" w:eastAsia="仿宋_GB2312"/>
          <w:sz w:val="32"/>
          <w:szCs w:val="32"/>
        </w:rPr>
      </w:pPr>
      <w:r>
        <w:rPr>
          <w:rFonts w:hint="eastAsia" w:ascii="仿宋_GB2312" w:eastAsia="仿宋_GB2312" w:cs="仿宋_GB2312"/>
          <w:sz w:val="32"/>
          <w:szCs w:val="32"/>
        </w:rPr>
        <w:t>无</w:t>
      </w:r>
    </w:p>
    <w:p>
      <w:pPr>
        <w:ind w:firstLine="645"/>
        <w:rPr>
          <w:rFonts w:ascii="黑体" w:hAnsi="黑体" w:eastAsia="黑体"/>
          <w:sz w:val="32"/>
          <w:szCs w:val="32"/>
        </w:rPr>
      </w:pPr>
      <w:r>
        <w:rPr>
          <w:rFonts w:hint="eastAsia" w:ascii="黑体" w:hAnsi="黑体" w:eastAsia="黑体" w:cs="黑体"/>
          <w:sz w:val="32"/>
          <w:szCs w:val="32"/>
        </w:rPr>
        <w:t>五、相关建议和整改措施</w:t>
      </w:r>
    </w:p>
    <w:p>
      <w:pPr>
        <w:ind w:firstLine="6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加强对服务单位管理，提高巡查管理力度，保障河道水环境优良、及时发现并消除各种安全隐患。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55552"/>
    <w:multiLevelType w:val="singleLevel"/>
    <w:tmpl w:val="6CB555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A3"/>
    <w:rsid w:val="00013D68"/>
    <w:rsid w:val="0009317C"/>
    <w:rsid w:val="00181B7B"/>
    <w:rsid w:val="00196F96"/>
    <w:rsid w:val="001B6D30"/>
    <w:rsid w:val="001C58FF"/>
    <w:rsid w:val="001C7892"/>
    <w:rsid w:val="001F22C8"/>
    <w:rsid w:val="00216BAE"/>
    <w:rsid w:val="00227F8F"/>
    <w:rsid w:val="00237E7C"/>
    <w:rsid w:val="002563D9"/>
    <w:rsid w:val="002B32EE"/>
    <w:rsid w:val="002C00F9"/>
    <w:rsid w:val="002D14B6"/>
    <w:rsid w:val="002D2241"/>
    <w:rsid w:val="002F36DD"/>
    <w:rsid w:val="00324D55"/>
    <w:rsid w:val="0033286C"/>
    <w:rsid w:val="0033345A"/>
    <w:rsid w:val="00341C1B"/>
    <w:rsid w:val="00345A0F"/>
    <w:rsid w:val="00353F49"/>
    <w:rsid w:val="00374069"/>
    <w:rsid w:val="00386582"/>
    <w:rsid w:val="00386D38"/>
    <w:rsid w:val="003A37FD"/>
    <w:rsid w:val="003B2474"/>
    <w:rsid w:val="003F21D4"/>
    <w:rsid w:val="00436142"/>
    <w:rsid w:val="00466056"/>
    <w:rsid w:val="00493345"/>
    <w:rsid w:val="004B2317"/>
    <w:rsid w:val="004B6563"/>
    <w:rsid w:val="00504FA5"/>
    <w:rsid w:val="00527CB5"/>
    <w:rsid w:val="00531E4D"/>
    <w:rsid w:val="005A61E0"/>
    <w:rsid w:val="005C0399"/>
    <w:rsid w:val="005D3A75"/>
    <w:rsid w:val="006829E2"/>
    <w:rsid w:val="006B0583"/>
    <w:rsid w:val="006C08C0"/>
    <w:rsid w:val="006F3ED8"/>
    <w:rsid w:val="00740314"/>
    <w:rsid w:val="0074126B"/>
    <w:rsid w:val="00741931"/>
    <w:rsid w:val="00781CD1"/>
    <w:rsid w:val="007B3CA7"/>
    <w:rsid w:val="007C4628"/>
    <w:rsid w:val="007D4963"/>
    <w:rsid w:val="007E2748"/>
    <w:rsid w:val="0083403B"/>
    <w:rsid w:val="008457BB"/>
    <w:rsid w:val="00867D30"/>
    <w:rsid w:val="00867F87"/>
    <w:rsid w:val="008E31B9"/>
    <w:rsid w:val="008F0D04"/>
    <w:rsid w:val="008F49D2"/>
    <w:rsid w:val="00907D9F"/>
    <w:rsid w:val="009164F2"/>
    <w:rsid w:val="00920009"/>
    <w:rsid w:val="00935023"/>
    <w:rsid w:val="009533B5"/>
    <w:rsid w:val="00974605"/>
    <w:rsid w:val="00976E59"/>
    <w:rsid w:val="009A143D"/>
    <w:rsid w:val="009F43DF"/>
    <w:rsid w:val="00A439C8"/>
    <w:rsid w:val="00A6342C"/>
    <w:rsid w:val="00A63DA6"/>
    <w:rsid w:val="00A713D4"/>
    <w:rsid w:val="00AC3E91"/>
    <w:rsid w:val="00B065BF"/>
    <w:rsid w:val="00B63618"/>
    <w:rsid w:val="00BA71DC"/>
    <w:rsid w:val="00BD2AE7"/>
    <w:rsid w:val="00BE0E8E"/>
    <w:rsid w:val="00BE1196"/>
    <w:rsid w:val="00BE226F"/>
    <w:rsid w:val="00BF308C"/>
    <w:rsid w:val="00C24251"/>
    <w:rsid w:val="00C4279C"/>
    <w:rsid w:val="00C55EE5"/>
    <w:rsid w:val="00CA01A3"/>
    <w:rsid w:val="00CA0DA9"/>
    <w:rsid w:val="00CB4B87"/>
    <w:rsid w:val="00CB506D"/>
    <w:rsid w:val="00D171CB"/>
    <w:rsid w:val="00D32C9A"/>
    <w:rsid w:val="00D337CC"/>
    <w:rsid w:val="00D41B8F"/>
    <w:rsid w:val="00D556A2"/>
    <w:rsid w:val="00D57D55"/>
    <w:rsid w:val="00D65D87"/>
    <w:rsid w:val="00D908B5"/>
    <w:rsid w:val="00D91C7F"/>
    <w:rsid w:val="00DC53EE"/>
    <w:rsid w:val="00DE1831"/>
    <w:rsid w:val="00E04D96"/>
    <w:rsid w:val="00E059F3"/>
    <w:rsid w:val="00E2350E"/>
    <w:rsid w:val="00E51DAF"/>
    <w:rsid w:val="00E62C5C"/>
    <w:rsid w:val="00E772C1"/>
    <w:rsid w:val="00E80D80"/>
    <w:rsid w:val="00E949AB"/>
    <w:rsid w:val="00F0748E"/>
    <w:rsid w:val="00F1261C"/>
    <w:rsid w:val="00F411B1"/>
    <w:rsid w:val="00FA591D"/>
    <w:rsid w:val="00FF1475"/>
    <w:rsid w:val="202564DC"/>
    <w:rsid w:val="257A365F"/>
    <w:rsid w:val="5D1763BC"/>
    <w:rsid w:val="76E223C7"/>
    <w:rsid w:val="7A57694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9"/>
    <w:pPr>
      <w:keepNext/>
      <w:keepLines/>
      <w:spacing w:before="260" w:after="260" w:line="416" w:lineRule="auto"/>
      <w:outlineLvl w:val="1"/>
    </w:pPr>
    <w:rPr>
      <w:rFonts w:ascii="Cambria" w:hAnsi="Cambria" w:eastAsia="黑体" w:cs="Times New Roman"/>
      <w:bCs/>
      <w:sz w:val="32"/>
      <w:szCs w:val="32"/>
    </w:rPr>
  </w:style>
  <w:style w:type="paragraph" w:styleId="3">
    <w:name w:val="heading 3"/>
    <w:basedOn w:val="1"/>
    <w:next w:val="1"/>
    <w:unhideWhenUsed/>
    <w:qFormat/>
    <w:locked/>
    <w:uiPriority w:val="0"/>
    <w:pPr>
      <w:keepNext/>
      <w:keepLines/>
      <w:spacing w:before="260" w:after="260" w:line="416" w:lineRule="auto"/>
      <w:outlineLvl w:val="2"/>
    </w:pPr>
    <w:rPr>
      <w:rFonts w:ascii="Times New Roman" w:hAnsi="Times New Roman" w:eastAsia="仿宋_GB2312" w:cs="Times New Roman"/>
      <w:b/>
      <w:bCs/>
      <w:sz w:val="32"/>
      <w:szCs w:val="32"/>
    </w:rPr>
  </w:style>
  <w:style w:type="character" w:default="1" w:styleId="8">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table" w:styleId="7">
    <w:name w:val="Table Grid"/>
    <w:basedOn w:val="6"/>
    <w:qFormat/>
    <w:lock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Header Char"/>
    <w:basedOn w:val="8"/>
    <w:link w:val="5"/>
    <w:semiHidden/>
    <w:qFormat/>
    <w:locked/>
    <w:uiPriority w:val="99"/>
    <w:rPr>
      <w:sz w:val="18"/>
      <w:szCs w:val="18"/>
    </w:rPr>
  </w:style>
  <w:style w:type="character" w:customStyle="1" w:styleId="11">
    <w:name w:val="Footer Char"/>
    <w:basedOn w:val="8"/>
    <w:link w:val="4"/>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141</Words>
  <Characters>807</Characters>
  <Lines>0</Lines>
  <Paragraphs>0</Paragraphs>
  <TotalTime>2</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2017-05-02T06:47:00Z</dcterms:created>
  <dc:creator>沈洋</dc:creator>
  <cp:lastModifiedBy>Carrie</cp:lastModifiedBy>
  <cp:lastPrinted>2019-07-09T06:13:00Z</cp:lastPrinted>
  <dcterms:modified xsi:type="dcterms:W3CDTF">2019-07-26T06:30:17Z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