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B3" w:rsidRDefault="00B42BB4">
      <w:pPr>
        <w:jc w:val="left"/>
        <w:rPr>
          <w:rFonts w:ascii="仿宋_GB2312" w:eastAsia="仿宋_GB2312" w:hAnsi="宋体"/>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3</w:t>
      </w:r>
    </w:p>
    <w:p w:rsidR="00FC1CB3" w:rsidRDefault="00FC1CB3">
      <w:pPr>
        <w:rPr>
          <w:rFonts w:ascii="宋体"/>
          <w:sz w:val="44"/>
          <w:szCs w:val="44"/>
        </w:rPr>
      </w:pPr>
    </w:p>
    <w:p w:rsidR="00FC1CB3" w:rsidRDefault="00FC1CB3">
      <w:pPr>
        <w:rPr>
          <w:rFonts w:ascii="宋体"/>
          <w:sz w:val="44"/>
          <w:szCs w:val="44"/>
        </w:rPr>
      </w:pPr>
    </w:p>
    <w:p w:rsidR="00FC1CB3" w:rsidRDefault="00FC1CB3">
      <w:pPr>
        <w:rPr>
          <w:rFonts w:ascii="宋体"/>
          <w:sz w:val="44"/>
          <w:szCs w:val="44"/>
        </w:rPr>
      </w:pPr>
    </w:p>
    <w:p w:rsidR="00FC1CB3" w:rsidRDefault="00FC1CB3">
      <w:pPr>
        <w:rPr>
          <w:rFonts w:ascii="宋体"/>
          <w:sz w:val="44"/>
          <w:szCs w:val="44"/>
        </w:rPr>
      </w:pPr>
    </w:p>
    <w:p w:rsidR="00FC1CB3" w:rsidRDefault="00B42BB4">
      <w:pPr>
        <w:jc w:val="center"/>
        <w:rPr>
          <w:rFonts w:ascii="宋体"/>
          <w:sz w:val="44"/>
          <w:szCs w:val="44"/>
        </w:rPr>
      </w:pPr>
      <w:r>
        <w:rPr>
          <w:rFonts w:ascii="宋体" w:hAnsi="宋体" w:cs="宋体"/>
          <w:sz w:val="44"/>
          <w:szCs w:val="44"/>
        </w:rPr>
        <w:t>2018</w:t>
      </w:r>
      <w:r>
        <w:rPr>
          <w:rFonts w:ascii="宋体" w:hAnsi="宋体" w:cs="宋体" w:hint="eastAsia"/>
          <w:sz w:val="44"/>
          <w:szCs w:val="44"/>
        </w:rPr>
        <w:t>年度重点项目支出</w:t>
      </w:r>
    </w:p>
    <w:p w:rsidR="00FC1CB3" w:rsidRDefault="00B42BB4">
      <w:pPr>
        <w:jc w:val="center"/>
        <w:rPr>
          <w:rFonts w:ascii="宋体"/>
          <w:sz w:val="44"/>
          <w:szCs w:val="44"/>
        </w:rPr>
      </w:pPr>
      <w:r>
        <w:rPr>
          <w:rFonts w:ascii="宋体" w:hAnsi="宋体" w:cs="宋体" w:hint="eastAsia"/>
          <w:sz w:val="44"/>
          <w:szCs w:val="44"/>
        </w:rPr>
        <w:t>绩效评价报告</w:t>
      </w:r>
    </w:p>
    <w:p w:rsidR="00FC1CB3" w:rsidRDefault="00FC1CB3">
      <w:pPr>
        <w:jc w:val="center"/>
        <w:rPr>
          <w:rFonts w:ascii="楷体_GB2312" w:eastAsia="楷体_GB2312" w:hAnsi="宋体"/>
          <w:sz w:val="36"/>
          <w:szCs w:val="36"/>
        </w:rPr>
      </w:pPr>
    </w:p>
    <w:p w:rsidR="00FC1CB3" w:rsidRDefault="00FC1CB3">
      <w:pPr>
        <w:jc w:val="center"/>
        <w:rPr>
          <w:rFonts w:ascii="楷体_GB2312" w:eastAsia="楷体_GB2312" w:hAnsi="宋体"/>
          <w:sz w:val="36"/>
          <w:szCs w:val="36"/>
        </w:rPr>
      </w:pPr>
    </w:p>
    <w:p w:rsidR="00FC1CB3" w:rsidRDefault="00FC1CB3">
      <w:pPr>
        <w:jc w:val="center"/>
        <w:rPr>
          <w:rFonts w:ascii="楷体_GB2312" w:eastAsia="楷体_GB2312" w:hAnsi="宋体"/>
          <w:sz w:val="36"/>
          <w:szCs w:val="36"/>
        </w:rPr>
      </w:pPr>
    </w:p>
    <w:p w:rsidR="00FC1CB3" w:rsidRDefault="00FC1CB3">
      <w:pPr>
        <w:jc w:val="center"/>
        <w:rPr>
          <w:rFonts w:ascii="楷体_GB2312" w:eastAsia="楷体_GB2312" w:hAnsi="宋体"/>
          <w:sz w:val="36"/>
          <w:szCs w:val="36"/>
        </w:rPr>
      </w:pPr>
    </w:p>
    <w:p w:rsidR="00FC1CB3" w:rsidRDefault="00FC1CB3">
      <w:pPr>
        <w:jc w:val="center"/>
        <w:rPr>
          <w:rFonts w:ascii="楷体_GB2312" w:eastAsia="楷体_GB2312" w:hAnsi="宋体"/>
          <w:sz w:val="36"/>
          <w:szCs w:val="36"/>
        </w:rPr>
      </w:pPr>
    </w:p>
    <w:p w:rsidR="00FC1CB3" w:rsidRDefault="00FC1CB3">
      <w:pPr>
        <w:jc w:val="center"/>
        <w:rPr>
          <w:rFonts w:ascii="楷体_GB2312" w:eastAsia="楷体_GB2312" w:hAnsi="宋体"/>
          <w:sz w:val="36"/>
          <w:szCs w:val="36"/>
        </w:rPr>
      </w:pPr>
    </w:p>
    <w:p w:rsidR="00FC1CB3" w:rsidRDefault="00B42BB4">
      <w:pPr>
        <w:spacing w:line="360" w:lineRule="auto"/>
        <w:ind w:firstLineChars="550" w:firstLine="1760"/>
        <w:rPr>
          <w:rFonts w:ascii="仿宋_GB2312" w:eastAsia="仿宋_GB2312"/>
          <w:sz w:val="32"/>
          <w:szCs w:val="32"/>
        </w:rPr>
      </w:pPr>
      <w:r>
        <w:rPr>
          <w:rFonts w:ascii="仿宋_GB2312" w:eastAsia="仿宋_GB2312" w:cs="仿宋_GB2312" w:hint="eastAsia"/>
          <w:sz w:val="32"/>
          <w:szCs w:val="32"/>
        </w:rPr>
        <w:t xml:space="preserve">项目名称：公共海域漂浮物清理保洁　</w:t>
      </w:r>
    </w:p>
    <w:p w:rsidR="00FC1CB3" w:rsidRDefault="00B42BB4">
      <w:pPr>
        <w:spacing w:line="360" w:lineRule="auto"/>
        <w:ind w:firstLineChars="550" w:firstLine="1760"/>
        <w:rPr>
          <w:rFonts w:ascii="仿宋_GB2312" w:eastAsia="仿宋_GB2312"/>
          <w:sz w:val="32"/>
          <w:szCs w:val="32"/>
        </w:rPr>
      </w:pPr>
      <w:r>
        <w:rPr>
          <w:rFonts w:ascii="仿宋_GB2312" w:eastAsia="仿宋_GB2312" w:cs="仿宋_GB2312" w:hint="eastAsia"/>
          <w:sz w:val="32"/>
          <w:szCs w:val="32"/>
        </w:rPr>
        <w:t>主管部门（公章）：盐田区水务局</w:t>
      </w:r>
      <w:r>
        <w:rPr>
          <w:rFonts w:ascii="仿宋_GB2312" w:eastAsia="仿宋_GB2312" w:cs="仿宋_GB2312" w:hint="eastAsia"/>
          <w:sz w:val="32"/>
          <w:szCs w:val="32"/>
        </w:rPr>
        <w:t>（原盐田区环</w:t>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r>
      <w:r>
        <w:rPr>
          <w:rFonts w:ascii="仿宋_GB2312" w:eastAsia="仿宋_GB2312" w:cs="仿宋_GB2312" w:hint="eastAsia"/>
          <w:sz w:val="32"/>
          <w:szCs w:val="32"/>
        </w:rPr>
        <w:tab/>
        <w:t xml:space="preserve">  </w:t>
      </w:r>
      <w:proofErr w:type="gramStart"/>
      <w:r>
        <w:rPr>
          <w:rFonts w:ascii="仿宋_GB2312" w:eastAsia="仿宋_GB2312" w:cs="仿宋_GB2312" w:hint="eastAsia"/>
          <w:sz w:val="32"/>
          <w:szCs w:val="32"/>
        </w:rPr>
        <w:t>境保护</w:t>
      </w:r>
      <w:proofErr w:type="gramEnd"/>
      <w:r>
        <w:rPr>
          <w:rFonts w:ascii="仿宋_GB2312" w:eastAsia="仿宋_GB2312" w:cs="仿宋_GB2312" w:hint="eastAsia"/>
          <w:sz w:val="32"/>
          <w:szCs w:val="32"/>
        </w:rPr>
        <w:t>和水务局）</w:t>
      </w:r>
    </w:p>
    <w:p w:rsidR="00FC1CB3" w:rsidRDefault="00B42BB4">
      <w:pPr>
        <w:spacing w:line="360" w:lineRule="auto"/>
        <w:ind w:firstLineChars="550" w:firstLine="1760"/>
        <w:rPr>
          <w:rFonts w:ascii="仿宋_GB2312" w:eastAsia="仿宋_GB2312"/>
          <w:sz w:val="32"/>
          <w:szCs w:val="32"/>
        </w:rPr>
      </w:pPr>
      <w:r>
        <w:rPr>
          <w:rFonts w:ascii="仿宋_GB2312" w:eastAsia="仿宋_GB2312" w:cs="仿宋_GB2312" w:hint="eastAsia"/>
          <w:sz w:val="32"/>
          <w:szCs w:val="32"/>
        </w:rPr>
        <w:t>项目负责人：陈捷</w:t>
      </w:r>
    </w:p>
    <w:p w:rsidR="00FC1CB3" w:rsidRDefault="00B42BB4">
      <w:pPr>
        <w:spacing w:line="360" w:lineRule="auto"/>
        <w:ind w:firstLineChars="550" w:firstLine="1760"/>
        <w:rPr>
          <w:rFonts w:ascii="仿宋_GB2312" w:eastAsia="仿宋_GB2312"/>
          <w:sz w:val="32"/>
          <w:szCs w:val="32"/>
        </w:rPr>
      </w:pPr>
      <w:r>
        <w:rPr>
          <w:rFonts w:ascii="仿宋_GB2312" w:eastAsia="仿宋_GB2312" w:cs="仿宋_GB2312" w:hint="eastAsia"/>
          <w:sz w:val="32"/>
          <w:szCs w:val="32"/>
        </w:rPr>
        <w:t>填报人：李</w:t>
      </w:r>
      <w:proofErr w:type="gramStart"/>
      <w:r>
        <w:rPr>
          <w:rFonts w:ascii="仿宋_GB2312" w:eastAsia="仿宋_GB2312" w:cs="仿宋_GB2312" w:hint="eastAsia"/>
          <w:sz w:val="32"/>
          <w:szCs w:val="32"/>
        </w:rPr>
        <w:t>燊</w:t>
      </w:r>
      <w:proofErr w:type="gramEnd"/>
    </w:p>
    <w:p w:rsidR="00FC1CB3" w:rsidRDefault="00B42BB4">
      <w:pPr>
        <w:spacing w:line="360" w:lineRule="auto"/>
        <w:ind w:firstLineChars="550" w:firstLine="1760"/>
        <w:rPr>
          <w:rFonts w:ascii="仿宋_GB2312" w:eastAsia="仿宋_GB2312"/>
          <w:sz w:val="32"/>
          <w:szCs w:val="32"/>
        </w:rPr>
      </w:pPr>
      <w:r>
        <w:rPr>
          <w:rFonts w:ascii="仿宋_GB2312" w:eastAsia="仿宋_GB2312" w:cs="仿宋_GB2312" w:hint="eastAsia"/>
          <w:sz w:val="32"/>
          <w:szCs w:val="32"/>
        </w:rPr>
        <w:t>联系电话：</w:t>
      </w:r>
      <w:r>
        <w:rPr>
          <w:rFonts w:ascii="仿宋_GB2312" w:eastAsia="仿宋_GB2312" w:cs="仿宋_GB2312" w:hint="eastAsia"/>
          <w:sz w:val="32"/>
          <w:szCs w:val="32"/>
        </w:rPr>
        <w:t>15800006339</w:t>
      </w:r>
    </w:p>
    <w:p w:rsidR="00FC1CB3" w:rsidRDefault="00B42BB4">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xml:space="preserve">    </w:t>
      </w:r>
    </w:p>
    <w:p w:rsidR="00FC1CB3" w:rsidRDefault="00FC1CB3">
      <w:pPr>
        <w:spacing w:line="560" w:lineRule="exact"/>
        <w:ind w:firstLineChars="200" w:firstLine="640"/>
        <w:rPr>
          <w:rFonts w:ascii="仿宋_GB2312" w:eastAsia="仿宋_GB2312" w:cs="仿宋_GB2312"/>
          <w:sz w:val="32"/>
          <w:szCs w:val="32"/>
        </w:rPr>
      </w:pPr>
    </w:p>
    <w:p w:rsidR="00FC1CB3" w:rsidRDefault="00FC1CB3">
      <w:pPr>
        <w:spacing w:line="560" w:lineRule="exact"/>
        <w:ind w:firstLineChars="200" w:firstLine="640"/>
        <w:rPr>
          <w:rFonts w:ascii="仿宋_GB2312" w:eastAsia="仿宋_GB2312" w:cs="仿宋_GB2312"/>
          <w:sz w:val="32"/>
          <w:szCs w:val="32"/>
        </w:rPr>
      </w:pPr>
    </w:p>
    <w:p w:rsidR="00FC1CB3" w:rsidRDefault="00FC1CB3">
      <w:pPr>
        <w:spacing w:line="560" w:lineRule="exact"/>
        <w:ind w:firstLineChars="200" w:firstLine="640"/>
        <w:rPr>
          <w:rFonts w:ascii="黑体" w:eastAsia="黑体" w:cs="黑体"/>
          <w:sz w:val="32"/>
          <w:szCs w:val="32"/>
        </w:rPr>
      </w:pPr>
    </w:p>
    <w:p w:rsidR="00FC1CB3" w:rsidRDefault="00B42BB4">
      <w:pPr>
        <w:spacing w:line="560" w:lineRule="exact"/>
        <w:ind w:firstLineChars="200" w:firstLine="640"/>
        <w:rPr>
          <w:rFonts w:ascii="黑体" w:eastAsia="黑体"/>
          <w:sz w:val="32"/>
          <w:szCs w:val="32"/>
        </w:rPr>
      </w:pPr>
      <w:r>
        <w:rPr>
          <w:rFonts w:ascii="黑体" w:eastAsia="黑体" w:cs="黑体" w:hint="eastAsia"/>
          <w:sz w:val="32"/>
          <w:szCs w:val="32"/>
        </w:rPr>
        <w:t>一、项目概况</w:t>
      </w:r>
    </w:p>
    <w:p w:rsidR="00FC1CB3" w:rsidRDefault="00B42BB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（一）项目背景、立项依据。</w:t>
      </w:r>
    </w:p>
    <w:p w:rsidR="00FC1CB3" w:rsidRDefault="00B42B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根据《深圳经济特区海域污染防治条例》、《中共深圳市盐田区委</w:t>
      </w:r>
      <w:r>
        <w:rPr>
          <w:rFonts w:ascii="仿宋_GB2312" w:eastAsia="仿宋_GB2312" w:hint="eastAsia"/>
          <w:sz w:val="32"/>
          <w:szCs w:val="32"/>
        </w:rPr>
        <w:t xml:space="preserve"> </w:t>
      </w:r>
      <w:r>
        <w:rPr>
          <w:rFonts w:ascii="仿宋_GB2312" w:eastAsia="仿宋_GB2312" w:hint="eastAsia"/>
          <w:sz w:val="32"/>
          <w:szCs w:val="32"/>
        </w:rPr>
        <w:t>深圳市盐田区人民政府关于加快建设国家生态文明先行示范区的决定》（深盐发</w:t>
      </w:r>
      <w:r>
        <w:rPr>
          <w:rFonts w:ascii="仿宋_GB2312" w:eastAsia="仿宋_GB2312" w:hint="eastAsia"/>
          <w:sz w:val="32"/>
          <w:szCs w:val="32"/>
        </w:rPr>
        <w:t>[2016]1</w:t>
      </w:r>
      <w:r>
        <w:rPr>
          <w:rFonts w:ascii="仿宋_GB2312" w:eastAsia="仿宋_GB2312" w:hint="eastAsia"/>
          <w:sz w:val="32"/>
          <w:szCs w:val="32"/>
        </w:rPr>
        <w:t>号），为更好地保护辖区公共海域的水质及生态环境，原区环境保护和水务局（以下简称“区环水局”）通过购买服务的形式，委托有资质的清洁公司对辖区建有海滨栈道从边岸往海域延伸</w:t>
      </w:r>
      <w:r>
        <w:rPr>
          <w:rFonts w:ascii="仿宋_GB2312" w:eastAsia="仿宋_GB2312" w:hint="eastAsia"/>
          <w:sz w:val="32"/>
          <w:szCs w:val="32"/>
        </w:rPr>
        <w:t>100</w:t>
      </w:r>
      <w:r>
        <w:rPr>
          <w:rFonts w:ascii="仿宋_GB2312" w:eastAsia="仿宋_GB2312" w:hint="eastAsia"/>
          <w:sz w:val="32"/>
          <w:szCs w:val="32"/>
        </w:rPr>
        <w:t>米的公共海域的海面漂浮</w:t>
      </w:r>
      <w:bookmarkStart w:id="0" w:name="_GoBack"/>
      <w:bookmarkEnd w:id="0"/>
      <w:r>
        <w:rPr>
          <w:rFonts w:ascii="仿宋_GB2312" w:eastAsia="仿宋_GB2312" w:hint="eastAsia"/>
          <w:sz w:val="32"/>
          <w:szCs w:val="32"/>
        </w:rPr>
        <w:t>物进行清理。</w:t>
      </w:r>
    </w:p>
    <w:p w:rsidR="00FC1CB3" w:rsidRDefault="00B42BB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（二）项目管理的组织架构和职责分工。</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项目单位成立专项项目组，本项目单位设立项目经理负责项目的管理工作，全面负责项目的安全工作；项目主管负责协助项目经理对现场的管理工作、船员和岸边人员的调配工作，项目日常保洁用品和防护用</w:t>
      </w:r>
      <w:r>
        <w:rPr>
          <w:rFonts w:ascii="仿宋_GB2312" w:eastAsia="仿宋_GB2312" w:hint="eastAsia"/>
          <w:sz w:val="32"/>
          <w:szCs w:val="32"/>
        </w:rPr>
        <w:t>品的采购；船长负责船只及船员的管理工作，负责船只上的作业工具和救生设备的日常监督管理工作，负责所有船只的维护保养工作，负责船员的安全作业管理工作、船员负责日常检查维护出航的船只，日常检查自己船上救生设备，负责区域海域保洁巡查工作；岸边保洁巡查人员负责岸边日常保洁巡查工作，及时发现问题。</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区环水局负责对该单位每月进行监督管理，采取不定期方式对海面漂浮物清扫保洁质量进行考核，保洁质量直接与经济效益挂钩，每扣</w:t>
      </w:r>
      <w:r>
        <w:rPr>
          <w:rFonts w:ascii="仿宋_GB2312" w:eastAsia="仿宋_GB2312" w:hint="eastAsia"/>
          <w:sz w:val="32"/>
          <w:szCs w:val="32"/>
        </w:rPr>
        <w:t>1</w:t>
      </w:r>
      <w:r>
        <w:rPr>
          <w:rFonts w:ascii="仿宋_GB2312" w:eastAsia="仿宋_GB2312" w:hint="eastAsia"/>
          <w:sz w:val="32"/>
          <w:szCs w:val="32"/>
        </w:rPr>
        <w:t>分扣除当月服务费</w:t>
      </w:r>
      <w:r>
        <w:rPr>
          <w:rFonts w:ascii="仿宋_GB2312" w:eastAsia="仿宋_GB2312" w:hint="eastAsia"/>
          <w:sz w:val="32"/>
          <w:szCs w:val="32"/>
        </w:rPr>
        <w:t>1%</w:t>
      </w:r>
      <w:r>
        <w:rPr>
          <w:rFonts w:ascii="仿宋_GB2312" w:eastAsia="仿宋_GB2312" w:hint="eastAsia"/>
          <w:sz w:val="32"/>
          <w:szCs w:val="32"/>
        </w:rPr>
        <w:t>。</w:t>
      </w:r>
    </w:p>
    <w:p w:rsidR="00FC1CB3" w:rsidRDefault="00B42BB4">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（三）项目资金管理情况。</w:t>
      </w:r>
    </w:p>
    <w:p w:rsidR="00FC1CB3" w:rsidRDefault="00B42BB4">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项目资金预算和分配情况。公共海域漂浮物清理保洁</w:t>
      </w:r>
    </w:p>
    <w:p w:rsidR="00FC1CB3" w:rsidRDefault="00B42BB4">
      <w:pPr>
        <w:spacing w:line="560" w:lineRule="exact"/>
        <w:rPr>
          <w:rFonts w:ascii="仿宋_GB2312" w:eastAsia="仿宋_GB2312"/>
          <w:sz w:val="32"/>
          <w:szCs w:val="32"/>
        </w:rPr>
      </w:pPr>
      <w:r>
        <w:rPr>
          <w:rFonts w:ascii="仿宋_GB2312" w:eastAsia="仿宋_GB2312" w:cs="仿宋_GB2312" w:hint="eastAsia"/>
          <w:sz w:val="32"/>
          <w:szCs w:val="32"/>
        </w:rPr>
        <w:t>年</w:t>
      </w:r>
      <w:r>
        <w:rPr>
          <w:rFonts w:ascii="仿宋_GB2312" w:eastAsia="仿宋_GB2312" w:cs="仿宋_GB2312" w:hint="eastAsia"/>
          <w:sz w:val="32"/>
          <w:szCs w:val="32"/>
        </w:rPr>
        <w:t>初预算数为</w:t>
      </w:r>
      <w:r>
        <w:rPr>
          <w:rFonts w:ascii="仿宋_GB2312" w:eastAsia="仿宋_GB2312" w:cs="仿宋_GB2312" w:hint="eastAsia"/>
          <w:sz w:val="32"/>
          <w:szCs w:val="32"/>
        </w:rPr>
        <w:t>205.6</w:t>
      </w:r>
      <w:r>
        <w:rPr>
          <w:rFonts w:ascii="仿宋_GB2312" w:eastAsia="仿宋_GB2312" w:cs="仿宋_GB2312" w:hint="eastAsia"/>
          <w:sz w:val="32"/>
          <w:szCs w:val="32"/>
        </w:rPr>
        <w:t>万元，</w:t>
      </w:r>
      <w:r>
        <w:rPr>
          <w:rFonts w:ascii="仿宋_GB2312" w:eastAsia="仿宋_GB2312" w:cs="仿宋_GB2312" w:hint="eastAsia"/>
          <w:sz w:val="32"/>
          <w:szCs w:val="32"/>
        </w:rPr>
        <w:t>年中调整</w:t>
      </w:r>
      <w:proofErr w:type="gramStart"/>
      <w:r>
        <w:rPr>
          <w:rFonts w:ascii="仿宋_GB2312" w:eastAsia="仿宋_GB2312" w:cs="仿宋_GB2312" w:hint="eastAsia"/>
          <w:sz w:val="32"/>
          <w:szCs w:val="32"/>
        </w:rPr>
        <w:t>后预算</w:t>
      </w:r>
      <w:proofErr w:type="gramEnd"/>
      <w:r>
        <w:rPr>
          <w:rFonts w:ascii="仿宋_GB2312" w:eastAsia="仿宋_GB2312" w:cs="仿宋_GB2312" w:hint="eastAsia"/>
          <w:sz w:val="32"/>
          <w:szCs w:val="32"/>
        </w:rPr>
        <w:t>数</w:t>
      </w:r>
      <w:r>
        <w:rPr>
          <w:rFonts w:ascii="仿宋_GB2312" w:eastAsia="仿宋_GB2312" w:cs="仿宋_GB2312" w:hint="eastAsia"/>
          <w:sz w:val="32"/>
          <w:szCs w:val="32"/>
        </w:rPr>
        <w:t>189</w:t>
      </w:r>
      <w:r>
        <w:rPr>
          <w:rFonts w:ascii="仿宋_GB2312" w:eastAsia="仿宋_GB2312" w:cs="仿宋_GB2312" w:hint="eastAsia"/>
          <w:sz w:val="32"/>
          <w:szCs w:val="32"/>
        </w:rPr>
        <w:t>万元，实际</w:t>
      </w:r>
      <w:r>
        <w:rPr>
          <w:rFonts w:ascii="仿宋_GB2312" w:eastAsia="仿宋_GB2312" w:cs="仿宋_GB2312" w:hint="eastAsia"/>
          <w:sz w:val="32"/>
          <w:szCs w:val="32"/>
        </w:rPr>
        <w:t>支出</w:t>
      </w:r>
      <w:r>
        <w:rPr>
          <w:rFonts w:ascii="仿宋_GB2312" w:eastAsia="仿宋_GB2312" w:cs="仿宋_GB2312" w:hint="eastAsia"/>
          <w:sz w:val="32"/>
          <w:szCs w:val="32"/>
        </w:rPr>
        <w:t>186.8</w:t>
      </w:r>
      <w:r>
        <w:rPr>
          <w:rFonts w:ascii="仿宋_GB2312" w:eastAsia="仿宋_GB2312" w:cs="仿宋_GB2312" w:hint="eastAsia"/>
          <w:sz w:val="32"/>
          <w:szCs w:val="32"/>
        </w:rPr>
        <w:t>万元，执行率为</w:t>
      </w:r>
      <w:r>
        <w:rPr>
          <w:rFonts w:ascii="仿宋_GB2312" w:eastAsia="仿宋_GB2312" w:cs="仿宋_GB2312" w:hint="eastAsia"/>
          <w:sz w:val="32"/>
          <w:szCs w:val="32"/>
        </w:rPr>
        <w:t>98.84%</w:t>
      </w:r>
      <w:r>
        <w:rPr>
          <w:rFonts w:ascii="仿宋_GB2312" w:eastAsia="仿宋_GB2312" w:cs="仿宋_GB2312" w:hint="eastAsia"/>
          <w:sz w:val="32"/>
          <w:szCs w:val="32"/>
        </w:rPr>
        <w:t>。</w:t>
      </w:r>
    </w:p>
    <w:p w:rsidR="00FC1CB3" w:rsidRDefault="00B42BB4">
      <w:pPr>
        <w:spacing w:line="560" w:lineRule="exact"/>
        <w:ind w:firstLineChars="200" w:firstLine="64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项目资金管理和使用情况。</w:t>
      </w:r>
      <w:r>
        <w:rPr>
          <w:rFonts w:ascii="仿宋_GB2312" w:eastAsia="仿宋_GB2312" w:hint="eastAsia"/>
          <w:sz w:val="32"/>
          <w:szCs w:val="32"/>
        </w:rPr>
        <w:t>区环水局通过区政府集中采购公开招标，</w:t>
      </w:r>
      <w:r>
        <w:rPr>
          <w:rFonts w:ascii="仿宋_GB2312" w:eastAsia="仿宋_GB2312" w:hint="eastAsia"/>
          <w:sz w:val="32"/>
          <w:szCs w:val="32"/>
        </w:rPr>
        <w:t>最终</w:t>
      </w:r>
      <w:r>
        <w:rPr>
          <w:rFonts w:ascii="仿宋_GB2312" w:eastAsia="仿宋_GB2312" w:hint="eastAsia"/>
          <w:sz w:val="32"/>
          <w:szCs w:val="32"/>
        </w:rPr>
        <w:t>深圳市</w:t>
      </w:r>
      <w:proofErr w:type="gramStart"/>
      <w:r>
        <w:rPr>
          <w:rFonts w:ascii="仿宋_GB2312" w:eastAsia="仿宋_GB2312" w:hint="eastAsia"/>
          <w:sz w:val="32"/>
          <w:szCs w:val="32"/>
        </w:rPr>
        <w:t>东恒环境</w:t>
      </w:r>
      <w:proofErr w:type="gramEnd"/>
      <w:r>
        <w:rPr>
          <w:rFonts w:ascii="仿宋_GB2312" w:eastAsia="仿宋_GB2312" w:hint="eastAsia"/>
          <w:sz w:val="32"/>
          <w:szCs w:val="32"/>
        </w:rPr>
        <w:t>科技有限公司（以下简称“东恒公司”）中标，承担我区公共海域海绵漂浮物清理保洁及相关服务。区环水局按照每月考核情况扣除承包费后，进行每月费用结算</w:t>
      </w:r>
      <w:r>
        <w:rPr>
          <w:rFonts w:ascii="仿宋_GB2312" w:eastAsia="仿宋_GB2312" w:hint="eastAsia"/>
          <w:sz w:val="32"/>
          <w:szCs w:val="32"/>
        </w:rPr>
        <w:t>，款项支付严格</w:t>
      </w:r>
      <w:r>
        <w:rPr>
          <w:rFonts w:ascii="仿宋_GB2312" w:eastAsia="仿宋_GB2312" w:hint="eastAsia"/>
          <w:sz w:val="32"/>
          <w:szCs w:val="32"/>
        </w:rPr>
        <w:t>按照</w:t>
      </w:r>
      <w:r>
        <w:rPr>
          <w:rFonts w:ascii="仿宋_GB2312" w:eastAsia="仿宋_GB2312" w:hint="eastAsia"/>
          <w:sz w:val="32"/>
          <w:szCs w:val="32"/>
        </w:rPr>
        <w:t>区及我局相关财务制度</w:t>
      </w:r>
      <w:r>
        <w:rPr>
          <w:rFonts w:ascii="仿宋_GB2312" w:eastAsia="仿宋_GB2312" w:hint="eastAsia"/>
          <w:sz w:val="32"/>
          <w:szCs w:val="32"/>
        </w:rPr>
        <w:t>实施。</w:t>
      </w:r>
    </w:p>
    <w:p w:rsidR="00FC1CB3" w:rsidRDefault="00B42BB4">
      <w:pPr>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（四）项目绩效目标及实现情况。绩效目标内容与向财政部门编报的绩效目标保持一致，情况如图：</w:t>
      </w:r>
    </w:p>
    <w:tbl>
      <w:tblPr>
        <w:tblW w:w="8379" w:type="dxa"/>
        <w:tblInd w:w="93" w:type="dxa"/>
        <w:tblLayout w:type="fixed"/>
        <w:tblLook w:val="04A0"/>
      </w:tblPr>
      <w:tblGrid>
        <w:gridCol w:w="1920"/>
        <w:gridCol w:w="1356"/>
        <w:gridCol w:w="1928"/>
        <w:gridCol w:w="1474"/>
        <w:gridCol w:w="1701"/>
      </w:tblGrid>
      <w:tr w:rsidR="00FC1CB3">
        <w:trPr>
          <w:trHeight w:val="312"/>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绩效内容</w:t>
            </w:r>
            <w:r>
              <w:rPr>
                <w:rFonts w:ascii="宋体" w:hAnsi="宋体" w:cs="Arial Unicode MS" w:hint="eastAsia"/>
                <w:color w:val="000000"/>
                <w:kern w:val="0"/>
                <w:sz w:val="24"/>
                <w:szCs w:val="24"/>
              </w:rPr>
              <w:t xml:space="preserve"> </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绩效指标</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 xml:space="preserve"> </w:t>
            </w:r>
            <w:r>
              <w:rPr>
                <w:rFonts w:ascii="宋体" w:hAnsi="宋体" w:cs="Arial Unicode MS" w:hint="eastAsia"/>
                <w:color w:val="000000"/>
                <w:kern w:val="0"/>
                <w:sz w:val="24"/>
                <w:szCs w:val="24"/>
              </w:rPr>
              <w:t>指标内容</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完成情况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与预期存在差异的原因</w:t>
            </w:r>
          </w:p>
        </w:tc>
      </w:tr>
      <w:tr w:rsidR="00FC1CB3">
        <w:trPr>
          <w:trHeight w:val="570"/>
        </w:trPr>
        <w:tc>
          <w:tcPr>
            <w:tcW w:w="1920" w:type="dxa"/>
            <w:vMerge/>
            <w:tcBorders>
              <w:top w:val="single" w:sz="4" w:space="0" w:color="auto"/>
              <w:left w:val="single" w:sz="4" w:space="0" w:color="auto"/>
              <w:bottom w:val="single" w:sz="4" w:space="0" w:color="000000"/>
              <w:right w:val="single" w:sz="4" w:space="0" w:color="000000"/>
            </w:tcBorders>
            <w:vAlign w:val="center"/>
          </w:tcPr>
          <w:p w:rsidR="00FC1CB3" w:rsidRDefault="00FC1CB3">
            <w:pPr>
              <w:widowControl/>
              <w:jc w:val="left"/>
              <w:rPr>
                <w:rFonts w:ascii="宋体" w:hAnsi="宋体" w:cs="Arial Unicode MS"/>
                <w:color w:val="000000"/>
                <w:kern w:val="0"/>
                <w:sz w:val="24"/>
                <w:szCs w:val="24"/>
              </w:rPr>
            </w:pPr>
          </w:p>
        </w:tc>
        <w:tc>
          <w:tcPr>
            <w:tcW w:w="1356" w:type="dxa"/>
            <w:vMerge/>
            <w:tcBorders>
              <w:top w:val="single" w:sz="4" w:space="0" w:color="auto"/>
              <w:left w:val="single" w:sz="4" w:space="0" w:color="auto"/>
              <w:bottom w:val="single" w:sz="4" w:space="0" w:color="000000"/>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474" w:type="dxa"/>
            <w:vMerge/>
            <w:tcBorders>
              <w:top w:val="single" w:sz="4" w:space="0" w:color="auto"/>
              <w:left w:val="single" w:sz="4" w:space="0" w:color="auto"/>
              <w:bottom w:val="single" w:sz="4" w:space="0" w:color="000000"/>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r>
      <w:tr w:rsidR="00FC1CB3">
        <w:trPr>
          <w:trHeight w:val="1080"/>
        </w:trPr>
        <w:tc>
          <w:tcPr>
            <w:tcW w:w="1920" w:type="dxa"/>
            <w:tcBorders>
              <w:top w:val="nil"/>
              <w:left w:val="single" w:sz="4" w:space="0" w:color="auto"/>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投入目标</w:t>
            </w: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资金支出进度</w:t>
            </w:r>
          </w:p>
        </w:tc>
        <w:tc>
          <w:tcPr>
            <w:tcW w:w="1928" w:type="dxa"/>
            <w:tcBorders>
              <w:top w:val="nil"/>
              <w:left w:val="nil"/>
              <w:bottom w:val="single" w:sz="4" w:space="0" w:color="auto"/>
              <w:right w:val="single" w:sz="4" w:space="0" w:color="auto"/>
            </w:tcBorders>
            <w:shd w:val="clear" w:color="000000" w:fill="FFFFFF"/>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205.6</w:t>
            </w:r>
            <w:r>
              <w:rPr>
                <w:rFonts w:ascii="仿宋_GB2312" w:eastAsia="仿宋_GB2312" w:hAnsi="Arial Unicode MS" w:cs="Arial Unicode MS" w:hint="eastAsia"/>
                <w:color w:val="000000"/>
                <w:kern w:val="0"/>
                <w:sz w:val="22"/>
                <w:szCs w:val="22"/>
              </w:rPr>
              <w:t>万元</w:t>
            </w:r>
          </w:p>
        </w:tc>
        <w:tc>
          <w:tcPr>
            <w:tcW w:w="1474" w:type="dxa"/>
            <w:tcBorders>
              <w:top w:val="nil"/>
              <w:left w:val="nil"/>
              <w:bottom w:val="single" w:sz="4" w:space="0" w:color="auto"/>
              <w:right w:val="single" w:sz="4" w:space="0" w:color="auto"/>
            </w:tcBorders>
            <w:shd w:val="clear" w:color="000000" w:fill="FFFFFF"/>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90.86%</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1</w:t>
            </w:r>
            <w:r>
              <w:rPr>
                <w:rFonts w:ascii="仿宋_GB2312" w:eastAsia="仿宋_GB2312" w:hAnsi="Arial Unicode MS" w:cs="Arial Unicode MS" w:hint="eastAsia"/>
                <w:color w:val="000000"/>
                <w:kern w:val="0"/>
                <w:sz w:val="22"/>
                <w:szCs w:val="22"/>
              </w:rPr>
              <w:t>、</w:t>
            </w:r>
            <w:r>
              <w:rPr>
                <w:rFonts w:ascii="仿宋_GB2312" w:eastAsia="仿宋_GB2312" w:hAnsi="Arial Unicode MS" w:cs="Arial Unicode MS" w:hint="eastAsia"/>
                <w:color w:val="000000"/>
                <w:kern w:val="0"/>
                <w:sz w:val="22"/>
                <w:szCs w:val="22"/>
              </w:rPr>
              <w:t>年中调整项目预算，调整</w:t>
            </w:r>
            <w:proofErr w:type="gramStart"/>
            <w:r>
              <w:rPr>
                <w:rFonts w:ascii="仿宋_GB2312" w:eastAsia="仿宋_GB2312" w:hAnsi="Arial Unicode MS" w:cs="Arial Unicode MS" w:hint="eastAsia"/>
                <w:color w:val="000000"/>
                <w:kern w:val="0"/>
                <w:sz w:val="22"/>
                <w:szCs w:val="22"/>
              </w:rPr>
              <w:t>后预算</w:t>
            </w:r>
            <w:proofErr w:type="gramEnd"/>
            <w:r>
              <w:rPr>
                <w:rFonts w:ascii="仿宋_GB2312" w:eastAsia="仿宋_GB2312" w:hAnsi="Arial Unicode MS" w:cs="Arial Unicode MS" w:hint="eastAsia"/>
                <w:color w:val="000000"/>
                <w:kern w:val="0"/>
                <w:sz w:val="22"/>
                <w:szCs w:val="22"/>
              </w:rPr>
              <w:t>数为</w:t>
            </w:r>
            <w:r>
              <w:rPr>
                <w:rFonts w:ascii="仿宋_GB2312" w:eastAsia="仿宋_GB2312" w:hAnsi="Arial Unicode MS" w:cs="Arial Unicode MS" w:hint="eastAsia"/>
                <w:color w:val="000000"/>
                <w:kern w:val="0"/>
                <w:sz w:val="22"/>
                <w:szCs w:val="22"/>
              </w:rPr>
              <w:t>189</w:t>
            </w:r>
            <w:r>
              <w:rPr>
                <w:rFonts w:ascii="仿宋_GB2312" w:eastAsia="仿宋_GB2312" w:hAnsi="Arial Unicode MS" w:cs="Arial Unicode MS" w:hint="eastAsia"/>
                <w:color w:val="000000"/>
                <w:kern w:val="0"/>
                <w:sz w:val="22"/>
                <w:szCs w:val="22"/>
              </w:rPr>
              <w:t>万元，实际支出</w:t>
            </w:r>
            <w:r>
              <w:rPr>
                <w:rFonts w:ascii="仿宋_GB2312" w:eastAsia="仿宋_GB2312" w:hAnsi="Arial Unicode MS" w:cs="Arial Unicode MS" w:hint="eastAsia"/>
                <w:color w:val="000000"/>
                <w:kern w:val="0"/>
                <w:sz w:val="22"/>
                <w:szCs w:val="22"/>
              </w:rPr>
              <w:t>186</w:t>
            </w:r>
            <w:r>
              <w:rPr>
                <w:rFonts w:ascii="仿宋_GB2312" w:eastAsia="仿宋_GB2312" w:hAnsi="Arial Unicode MS" w:cs="Arial Unicode MS" w:hint="eastAsia"/>
                <w:color w:val="000000"/>
                <w:kern w:val="0"/>
                <w:sz w:val="22"/>
                <w:szCs w:val="22"/>
              </w:rPr>
              <w:t>万元，实际执行率</w:t>
            </w:r>
            <w:r>
              <w:rPr>
                <w:rFonts w:ascii="仿宋_GB2312" w:eastAsia="仿宋_GB2312" w:hAnsi="Arial Unicode MS" w:cs="Arial Unicode MS" w:hint="eastAsia"/>
                <w:color w:val="000000"/>
                <w:kern w:val="0"/>
                <w:sz w:val="22"/>
                <w:szCs w:val="22"/>
              </w:rPr>
              <w:t>98.84%</w:t>
            </w:r>
            <w:r>
              <w:rPr>
                <w:rFonts w:ascii="仿宋_GB2312" w:eastAsia="仿宋_GB2312" w:hAnsi="Arial Unicode MS" w:cs="Arial Unicode MS" w:hint="eastAsia"/>
                <w:color w:val="000000"/>
                <w:kern w:val="0"/>
                <w:sz w:val="22"/>
                <w:szCs w:val="22"/>
              </w:rPr>
              <w:t>。</w:t>
            </w:r>
          </w:p>
          <w:p w:rsidR="00FC1CB3" w:rsidRDefault="00B42BB4">
            <w:pPr>
              <w:widowControl/>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2</w:t>
            </w:r>
            <w:r>
              <w:rPr>
                <w:rFonts w:ascii="仿宋_GB2312" w:eastAsia="仿宋_GB2312" w:hAnsi="Arial Unicode MS" w:cs="Arial Unicode MS" w:hint="eastAsia"/>
                <w:color w:val="000000"/>
                <w:kern w:val="0"/>
                <w:sz w:val="22"/>
                <w:szCs w:val="22"/>
              </w:rPr>
              <w:t>、</w:t>
            </w:r>
            <w:r>
              <w:rPr>
                <w:rFonts w:ascii="仿宋_GB2312" w:eastAsia="仿宋_GB2312" w:hAnsi="Arial Unicode MS" w:cs="Arial Unicode MS" w:hint="eastAsia"/>
                <w:color w:val="000000"/>
                <w:kern w:val="0"/>
                <w:sz w:val="22"/>
                <w:szCs w:val="22"/>
              </w:rPr>
              <w:t>因服务公司保洁</w:t>
            </w:r>
            <w:r>
              <w:rPr>
                <w:rFonts w:ascii="仿宋_GB2312" w:eastAsia="仿宋_GB2312" w:hAnsi="Arial Unicode MS" w:cs="Arial Unicode MS" w:hint="eastAsia"/>
                <w:color w:val="000000"/>
                <w:kern w:val="0"/>
                <w:sz w:val="22"/>
                <w:szCs w:val="22"/>
              </w:rPr>
              <w:t>存在评分扣分项</w:t>
            </w:r>
            <w:r>
              <w:rPr>
                <w:rFonts w:ascii="仿宋_GB2312" w:eastAsia="仿宋_GB2312" w:hAnsi="Arial Unicode MS" w:cs="Arial Unicode MS" w:hint="eastAsia"/>
                <w:color w:val="000000"/>
                <w:kern w:val="0"/>
                <w:sz w:val="22"/>
                <w:szCs w:val="22"/>
              </w:rPr>
              <w:t>，扣除相应费用。</w:t>
            </w:r>
          </w:p>
        </w:tc>
      </w:tr>
      <w:tr w:rsidR="00FC1CB3">
        <w:trPr>
          <w:trHeight w:val="2331"/>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产出目标</w:t>
            </w: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数量目标</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完成辖区海岸线长</w:t>
            </w:r>
            <w:r>
              <w:rPr>
                <w:rFonts w:ascii="仿宋_GB2312" w:eastAsia="仿宋_GB2312" w:hAnsi="Arial Unicode MS" w:cs="Arial Unicode MS" w:hint="eastAsia"/>
                <w:color w:val="000000"/>
                <w:kern w:val="0"/>
                <w:sz w:val="22"/>
                <w:szCs w:val="22"/>
              </w:rPr>
              <w:t>6.87</w:t>
            </w:r>
            <w:r>
              <w:rPr>
                <w:rFonts w:ascii="仿宋_GB2312" w:eastAsia="仿宋_GB2312" w:hAnsi="Arial Unicode MS" w:cs="Arial Unicode MS" w:hint="eastAsia"/>
                <w:color w:val="000000"/>
                <w:kern w:val="0"/>
                <w:sz w:val="22"/>
                <w:szCs w:val="22"/>
              </w:rPr>
              <w:t>公里，向海域延伸</w:t>
            </w:r>
            <w:r>
              <w:rPr>
                <w:rFonts w:ascii="仿宋_GB2312" w:eastAsia="仿宋_GB2312" w:hAnsi="Arial Unicode MS" w:cs="Arial Unicode MS" w:hint="eastAsia"/>
                <w:color w:val="000000"/>
                <w:kern w:val="0"/>
                <w:sz w:val="22"/>
                <w:szCs w:val="22"/>
              </w:rPr>
              <w:t>100</w:t>
            </w:r>
            <w:r>
              <w:rPr>
                <w:rFonts w:ascii="仿宋_GB2312" w:eastAsia="仿宋_GB2312" w:hAnsi="Arial Unicode MS" w:cs="Arial Unicode MS" w:hint="eastAsia"/>
                <w:color w:val="000000"/>
                <w:kern w:val="0"/>
                <w:sz w:val="22"/>
                <w:szCs w:val="22"/>
              </w:rPr>
              <w:t>米的公共海域漂浮物清理工作</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已完成</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1080"/>
        </w:trPr>
        <w:tc>
          <w:tcPr>
            <w:tcW w:w="1920"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质量目标</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公共海域无明显漂浮物</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已完成</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570"/>
        </w:trPr>
        <w:tc>
          <w:tcPr>
            <w:tcW w:w="1920"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工作时效</w:t>
            </w:r>
            <w:r>
              <w:rPr>
                <w:rFonts w:ascii="宋体" w:hAnsi="宋体" w:cs="Arial Unicode MS" w:hint="eastAsia"/>
                <w:color w:val="000000"/>
                <w:kern w:val="0"/>
                <w:sz w:val="24"/>
                <w:szCs w:val="24"/>
              </w:rPr>
              <w:t xml:space="preserve"> </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及时</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已完成</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3676"/>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效益目标</w:t>
            </w: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社会效益</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确保公共海域的环境卫生：（</w:t>
            </w:r>
            <w:r>
              <w:rPr>
                <w:rFonts w:ascii="仿宋_GB2312" w:eastAsia="仿宋_GB2312" w:hAnsi="Arial Unicode MS" w:cs="Arial Unicode MS" w:hint="eastAsia"/>
                <w:color w:val="000000"/>
                <w:kern w:val="0"/>
                <w:sz w:val="22"/>
                <w:szCs w:val="22"/>
              </w:rPr>
              <w:t>1</w:t>
            </w:r>
            <w:r>
              <w:rPr>
                <w:rFonts w:ascii="仿宋_GB2312" w:eastAsia="仿宋_GB2312" w:hAnsi="Arial Unicode MS" w:cs="Arial Unicode MS" w:hint="eastAsia"/>
                <w:color w:val="000000"/>
                <w:kern w:val="0"/>
                <w:sz w:val="22"/>
                <w:szCs w:val="22"/>
              </w:rPr>
              <w:t>）保证了我区滨海旅游景点的声誉；（</w:t>
            </w:r>
            <w:r>
              <w:rPr>
                <w:rFonts w:ascii="仿宋_GB2312" w:eastAsia="仿宋_GB2312" w:hAnsi="Arial Unicode MS" w:cs="Arial Unicode MS" w:hint="eastAsia"/>
                <w:color w:val="000000"/>
                <w:kern w:val="0"/>
                <w:sz w:val="22"/>
                <w:szCs w:val="22"/>
              </w:rPr>
              <w:t>2</w:t>
            </w:r>
            <w:r>
              <w:rPr>
                <w:rFonts w:ascii="仿宋_GB2312" w:eastAsia="仿宋_GB2312" w:hAnsi="Arial Unicode MS" w:cs="Arial Unicode MS" w:hint="eastAsia"/>
                <w:color w:val="000000"/>
                <w:kern w:val="0"/>
                <w:sz w:val="22"/>
                <w:szCs w:val="22"/>
              </w:rPr>
              <w:t xml:space="preserve">）无形中对景区内的游玩者和经营者起到了宣传教育作用，鞭策其不乱扔垃圾，起到了良性循环的推动作用　</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已完成</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3245"/>
        </w:trPr>
        <w:tc>
          <w:tcPr>
            <w:tcW w:w="1920"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生态效益</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海面漂浮物的减少有利于（</w:t>
            </w:r>
            <w:r>
              <w:rPr>
                <w:rFonts w:ascii="仿宋_GB2312" w:eastAsia="仿宋_GB2312" w:hAnsi="Arial Unicode MS" w:cs="Arial Unicode MS" w:hint="eastAsia"/>
                <w:color w:val="000000"/>
                <w:kern w:val="0"/>
                <w:sz w:val="22"/>
                <w:szCs w:val="22"/>
              </w:rPr>
              <w:t>1</w:t>
            </w:r>
            <w:r>
              <w:rPr>
                <w:rFonts w:ascii="仿宋_GB2312" w:eastAsia="仿宋_GB2312" w:hAnsi="Arial Unicode MS" w:cs="Arial Unicode MS" w:hint="eastAsia"/>
                <w:color w:val="000000"/>
                <w:kern w:val="0"/>
                <w:sz w:val="22"/>
                <w:szCs w:val="22"/>
              </w:rPr>
              <w:t>）海洋水质的提高；（</w:t>
            </w:r>
            <w:r>
              <w:rPr>
                <w:rFonts w:ascii="仿宋_GB2312" w:eastAsia="仿宋_GB2312" w:hAnsi="Arial Unicode MS" w:cs="Arial Unicode MS" w:hint="eastAsia"/>
                <w:color w:val="000000"/>
                <w:kern w:val="0"/>
                <w:sz w:val="22"/>
                <w:szCs w:val="22"/>
              </w:rPr>
              <w:t>2</w:t>
            </w:r>
            <w:r>
              <w:rPr>
                <w:rFonts w:ascii="仿宋_GB2312" w:eastAsia="仿宋_GB2312" w:hAnsi="Arial Unicode MS" w:cs="Arial Unicode MS" w:hint="eastAsia"/>
                <w:color w:val="000000"/>
                <w:kern w:val="0"/>
                <w:sz w:val="22"/>
                <w:szCs w:val="22"/>
              </w:rPr>
              <w:t>）海域及其附近领域的空气质量的提高；（</w:t>
            </w:r>
            <w:r>
              <w:rPr>
                <w:rFonts w:ascii="仿宋_GB2312" w:eastAsia="仿宋_GB2312" w:hAnsi="Arial Unicode MS" w:cs="Arial Unicode MS" w:hint="eastAsia"/>
                <w:color w:val="000000"/>
                <w:kern w:val="0"/>
                <w:sz w:val="22"/>
                <w:szCs w:val="22"/>
              </w:rPr>
              <w:t>3</w:t>
            </w:r>
            <w:r>
              <w:rPr>
                <w:rFonts w:ascii="仿宋_GB2312" w:eastAsia="仿宋_GB2312" w:hAnsi="Arial Unicode MS" w:cs="Arial Unicode MS" w:hint="eastAsia"/>
                <w:color w:val="000000"/>
                <w:kern w:val="0"/>
                <w:sz w:val="22"/>
                <w:szCs w:val="22"/>
              </w:rPr>
              <w:t xml:space="preserve">）大力推进海洋生物资源的保护工作，维护了生态系统的完整性　</w:t>
            </w:r>
            <w:r>
              <w:rPr>
                <w:rFonts w:ascii="仿宋_GB2312" w:eastAsia="仿宋_GB2312" w:hAnsi="Arial Unicode MS" w:cs="Arial Unicode MS" w:hint="eastAsia"/>
                <w:color w:val="000000"/>
                <w:kern w:val="0"/>
                <w:sz w:val="22"/>
                <w:szCs w:val="22"/>
              </w:rPr>
              <w:t xml:space="preserve"> </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 xml:space="preserve">已完成　</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1974"/>
        </w:trPr>
        <w:tc>
          <w:tcPr>
            <w:tcW w:w="1920"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经济效益</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吸引更多的游客前往，（</w:t>
            </w:r>
            <w:r>
              <w:rPr>
                <w:rFonts w:ascii="仿宋_GB2312" w:eastAsia="仿宋_GB2312" w:hAnsi="Arial Unicode MS" w:cs="Arial Unicode MS" w:hint="eastAsia"/>
                <w:color w:val="000000"/>
                <w:kern w:val="0"/>
                <w:sz w:val="22"/>
                <w:szCs w:val="22"/>
              </w:rPr>
              <w:t>1</w:t>
            </w:r>
            <w:r>
              <w:rPr>
                <w:rFonts w:ascii="仿宋_GB2312" w:eastAsia="仿宋_GB2312" w:hAnsi="Arial Unicode MS" w:cs="Arial Unicode MS" w:hint="eastAsia"/>
                <w:color w:val="000000"/>
                <w:kern w:val="0"/>
                <w:sz w:val="22"/>
                <w:szCs w:val="22"/>
              </w:rPr>
              <w:t>）拉动辖区旅游业及其附加产业的发展；（</w:t>
            </w:r>
            <w:r>
              <w:rPr>
                <w:rFonts w:ascii="仿宋_GB2312" w:eastAsia="仿宋_GB2312" w:hAnsi="Arial Unicode MS" w:cs="Arial Unicode MS" w:hint="eastAsia"/>
                <w:color w:val="000000"/>
                <w:kern w:val="0"/>
                <w:sz w:val="22"/>
                <w:szCs w:val="22"/>
              </w:rPr>
              <w:t>2</w:t>
            </w:r>
            <w:r>
              <w:rPr>
                <w:rFonts w:ascii="仿宋_GB2312" w:eastAsia="仿宋_GB2312" w:hAnsi="Arial Unicode MS" w:cs="Arial Unicode MS" w:hint="eastAsia"/>
                <w:color w:val="000000"/>
                <w:kern w:val="0"/>
                <w:sz w:val="22"/>
                <w:szCs w:val="22"/>
              </w:rPr>
              <w:t>）创造更多就业岗位</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 xml:space="preserve">已完成　</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r w:rsidR="00FC1CB3">
        <w:trPr>
          <w:trHeight w:val="1691"/>
        </w:trPr>
        <w:tc>
          <w:tcPr>
            <w:tcW w:w="1920" w:type="dxa"/>
            <w:vMerge/>
            <w:tcBorders>
              <w:top w:val="single" w:sz="4" w:space="0" w:color="auto"/>
              <w:left w:val="single" w:sz="4" w:space="0" w:color="auto"/>
              <w:bottom w:val="single" w:sz="4" w:space="0" w:color="auto"/>
              <w:right w:val="single" w:sz="4" w:space="0" w:color="auto"/>
            </w:tcBorders>
            <w:vAlign w:val="center"/>
          </w:tcPr>
          <w:p w:rsidR="00FC1CB3" w:rsidRDefault="00FC1CB3">
            <w:pPr>
              <w:widowControl/>
              <w:jc w:val="left"/>
              <w:rPr>
                <w:rFonts w:ascii="宋体" w:hAnsi="宋体" w:cs="Arial Unicode MS"/>
                <w:color w:val="000000"/>
                <w:kern w:val="0"/>
                <w:sz w:val="24"/>
                <w:szCs w:val="24"/>
              </w:rPr>
            </w:pPr>
          </w:p>
        </w:tc>
        <w:tc>
          <w:tcPr>
            <w:tcW w:w="1356"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宋体" w:hAnsi="宋体" w:cs="Arial Unicode MS"/>
                <w:color w:val="000000"/>
                <w:kern w:val="0"/>
                <w:sz w:val="24"/>
                <w:szCs w:val="24"/>
              </w:rPr>
            </w:pPr>
            <w:r>
              <w:rPr>
                <w:rFonts w:ascii="宋体" w:hAnsi="宋体" w:cs="Arial Unicode MS" w:hint="eastAsia"/>
                <w:color w:val="000000"/>
                <w:kern w:val="0"/>
                <w:sz w:val="24"/>
                <w:szCs w:val="24"/>
              </w:rPr>
              <w:t>服务对象满意度</w:t>
            </w:r>
          </w:p>
        </w:tc>
        <w:tc>
          <w:tcPr>
            <w:tcW w:w="1928"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调查公共海域附近的居民、景区内的游客和经营者对公共海域保洁效果的满意程度</w:t>
            </w:r>
          </w:p>
        </w:tc>
        <w:tc>
          <w:tcPr>
            <w:tcW w:w="1474"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 xml:space="preserve">　已完成</w:t>
            </w:r>
          </w:p>
        </w:tc>
        <w:tc>
          <w:tcPr>
            <w:tcW w:w="1701" w:type="dxa"/>
            <w:tcBorders>
              <w:top w:val="nil"/>
              <w:left w:val="nil"/>
              <w:bottom w:val="single" w:sz="4" w:space="0" w:color="auto"/>
              <w:right w:val="single" w:sz="4" w:space="0" w:color="auto"/>
            </w:tcBorders>
            <w:shd w:val="clear" w:color="auto" w:fill="auto"/>
            <w:vAlign w:val="center"/>
          </w:tcPr>
          <w:p w:rsidR="00FC1CB3" w:rsidRDefault="00B42BB4">
            <w:pPr>
              <w:widowControl/>
              <w:jc w:val="center"/>
              <w:rPr>
                <w:rFonts w:ascii="仿宋_GB2312" w:eastAsia="仿宋_GB2312" w:hAnsi="Arial Unicode MS" w:cs="Arial Unicode MS"/>
                <w:color w:val="000000"/>
                <w:kern w:val="0"/>
                <w:sz w:val="22"/>
                <w:szCs w:val="22"/>
              </w:rPr>
            </w:pPr>
            <w:r>
              <w:rPr>
                <w:rFonts w:ascii="仿宋_GB2312" w:eastAsia="仿宋_GB2312" w:hAnsi="Arial Unicode MS" w:cs="Arial Unicode MS" w:hint="eastAsia"/>
                <w:color w:val="000000"/>
                <w:kern w:val="0"/>
                <w:sz w:val="22"/>
                <w:szCs w:val="22"/>
              </w:rPr>
              <w:t>无</w:t>
            </w:r>
          </w:p>
        </w:tc>
      </w:tr>
    </w:tbl>
    <w:p w:rsidR="00FC1CB3" w:rsidRDefault="00FC1CB3">
      <w:pPr>
        <w:spacing w:line="560" w:lineRule="exact"/>
        <w:ind w:firstLineChars="200" w:firstLine="640"/>
        <w:jc w:val="left"/>
        <w:rPr>
          <w:rFonts w:ascii="仿宋_GB2312" w:eastAsia="仿宋_GB2312"/>
          <w:sz w:val="32"/>
          <w:szCs w:val="32"/>
        </w:rPr>
      </w:pPr>
    </w:p>
    <w:p w:rsidR="00FC1CB3" w:rsidRDefault="00B42BB4">
      <w:pPr>
        <w:spacing w:line="560" w:lineRule="exact"/>
        <w:ind w:firstLineChars="200" w:firstLine="640"/>
        <w:rPr>
          <w:rFonts w:ascii="黑体" w:eastAsia="黑体"/>
          <w:sz w:val="32"/>
          <w:szCs w:val="32"/>
        </w:rPr>
      </w:pPr>
      <w:r>
        <w:rPr>
          <w:rFonts w:ascii="黑体" w:eastAsia="黑体" w:cs="黑体" w:hint="eastAsia"/>
          <w:sz w:val="32"/>
          <w:szCs w:val="32"/>
        </w:rPr>
        <w:t>二、项目绩效评价结论和分析</w:t>
      </w:r>
    </w:p>
    <w:p w:rsidR="00FC1CB3" w:rsidRDefault="00B42BB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（一）项目绩效评价结论。</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该项目有效实现了及时清理辖区海滨栈道公共海域、保证了公共海域的卫生环境质量，维护了生态系统的完整性。并在一定程度上增强了辖区滨海旅游项目的吸引力，对优化辖区旅游环境，吸引更多游客以及投资项目起到持续的拉动作用。</w:t>
      </w:r>
    </w:p>
    <w:p w:rsidR="00FC1CB3" w:rsidRDefault="00B42BB4">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（二）项目绩效分析。</w:t>
      </w:r>
    </w:p>
    <w:p w:rsidR="00FC1CB3" w:rsidRDefault="00B42BB4">
      <w:pPr>
        <w:spacing w:line="560" w:lineRule="exact"/>
        <w:ind w:firstLineChars="200" w:firstLine="640"/>
        <w:jc w:val="left"/>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从项目决策角度分析，项目决策依据符合经济社会发展规划和部门年度工作计划；项目决策程序合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并履行相应手续；资金分配因素全面合理。</w:t>
      </w:r>
    </w:p>
    <w:p w:rsidR="00FC1CB3" w:rsidRDefault="00B42BB4">
      <w:pPr>
        <w:spacing w:line="560" w:lineRule="exact"/>
        <w:ind w:firstLineChars="200" w:firstLine="64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从项目管理角度分析，资金到位率及时；资金使用不存在支出依据不足、虚列项目支出、截留、挤占、挪用、超标准支出等情况；项目组织实施机构健全、分工明确，有关项目管理制度健全并严格执行。</w:t>
      </w:r>
    </w:p>
    <w:p w:rsidR="00FC1CB3" w:rsidRDefault="00B42BB4">
      <w:pPr>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从项目绩效角度分析，该项目完成辖区海岸线长</w:t>
      </w:r>
      <w:r>
        <w:rPr>
          <w:rFonts w:ascii="仿宋_GB2312" w:eastAsia="仿宋_GB2312" w:cs="仿宋_GB2312" w:hint="eastAsia"/>
          <w:sz w:val="32"/>
          <w:szCs w:val="32"/>
        </w:rPr>
        <w:t>6.87</w:t>
      </w:r>
      <w:r>
        <w:rPr>
          <w:rFonts w:ascii="仿宋_GB2312" w:eastAsia="仿宋_GB2312" w:cs="仿宋_GB2312" w:hint="eastAsia"/>
          <w:sz w:val="32"/>
          <w:szCs w:val="32"/>
        </w:rPr>
        <w:t>公里，向海域延伸</w:t>
      </w:r>
      <w:r>
        <w:rPr>
          <w:rFonts w:ascii="仿宋_GB2312" w:eastAsia="仿宋_GB2312" w:cs="仿宋_GB2312" w:hint="eastAsia"/>
          <w:sz w:val="32"/>
          <w:szCs w:val="32"/>
        </w:rPr>
        <w:t>100</w:t>
      </w:r>
      <w:r>
        <w:rPr>
          <w:rFonts w:ascii="仿宋_GB2312" w:eastAsia="仿宋_GB2312" w:cs="仿宋_GB2312" w:hint="eastAsia"/>
          <w:sz w:val="32"/>
          <w:szCs w:val="32"/>
        </w:rPr>
        <w:t>米的公共海域漂浮物清理工作。目标确保公共海域的环境卫生，公共海域无明显漂浮物，并能够按要求及时对海域进行清理工作。项目社会效益为确保公共海域的环境卫生，保证了我区滨海旅游景点的声誉，无形中对景区内的游玩者和经营者起到了宣传教育作用，鞭策其不乱扔垃圾，起</w:t>
      </w:r>
      <w:r>
        <w:rPr>
          <w:rFonts w:ascii="仿宋_GB2312" w:eastAsia="仿宋_GB2312" w:cs="仿宋_GB2312" w:hint="eastAsia"/>
          <w:sz w:val="32"/>
          <w:szCs w:val="32"/>
        </w:rPr>
        <w:t>到了良性循环的推动作用。生态效益为海面漂浮物的减少有利于海洋水质的提高、海域及其附近领域的空气质量的提高，维护了生态系统的完整性。</w:t>
      </w:r>
    </w:p>
    <w:p w:rsidR="00FC1CB3" w:rsidRDefault="00B42BB4">
      <w:pPr>
        <w:spacing w:line="560" w:lineRule="exact"/>
        <w:ind w:firstLineChars="200" w:firstLine="640"/>
        <w:rPr>
          <w:rFonts w:ascii="仿宋_GB2312" w:eastAsia="仿宋_GB2312" w:cs="仿宋_GB2312"/>
          <w:color w:val="FF0000"/>
          <w:sz w:val="32"/>
          <w:szCs w:val="32"/>
        </w:rPr>
      </w:pPr>
      <w:r>
        <w:rPr>
          <w:rFonts w:ascii="仿宋_GB2312" w:eastAsia="仿宋_GB2312"/>
          <w:sz w:val="32"/>
          <w:szCs w:val="32"/>
        </w:rPr>
        <w:t>4.</w:t>
      </w:r>
      <w:r>
        <w:rPr>
          <w:rFonts w:ascii="仿宋_GB2312" w:eastAsia="仿宋_GB2312" w:cs="仿宋_GB2312"/>
          <w:color w:val="FF0000"/>
          <w:sz w:val="32"/>
          <w:szCs w:val="32"/>
        </w:rPr>
        <w:t xml:space="preserve"> </w:t>
      </w:r>
      <w:r>
        <w:rPr>
          <w:rFonts w:ascii="仿宋_GB2312" w:eastAsia="仿宋_GB2312" w:hint="eastAsia"/>
          <w:sz w:val="32"/>
          <w:szCs w:val="32"/>
        </w:rPr>
        <w:t>该项目总成本为</w:t>
      </w:r>
      <w:r>
        <w:rPr>
          <w:rFonts w:ascii="仿宋_GB2312" w:eastAsia="仿宋_GB2312" w:hint="eastAsia"/>
          <w:sz w:val="32"/>
          <w:szCs w:val="32"/>
        </w:rPr>
        <w:t>189</w:t>
      </w:r>
      <w:r>
        <w:rPr>
          <w:rFonts w:ascii="仿宋_GB2312" w:eastAsia="仿宋_GB2312" w:hint="eastAsia"/>
          <w:sz w:val="32"/>
          <w:szCs w:val="32"/>
        </w:rPr>
        <w:t>万元，</w:t>
      </w:r>
      <w:r>
        <w:rPr>
          <w:rFonts w:ascii="仿宋_GB2312" w:eastAsia="仿宋_GB2312" w:hint="eastAsia"/>
          <w:sz w:val="32"/>
          <w:szCs w:val="32"/>
        </w:rPr>
        <w:t>1-12</w:t>
      </w:r>
      <w:r>
        <w:rPr>
          <w:rFonts w:ascii="仿宋_GB2312" w:eastAsia="仿宋_GB2312" w:hint="eastAsia"/>
          <w:sz w:val="32"/>
          <w:szCs w:val="32"/>
        </w:rPr>
        <w:t>月付款进度为</w:t>
      </w:r>
      <w:r>
        <w:rPr>
          <w:rFonts w:ascii="仿宋_GB2312" w:eastAsia="仿宋_GB2312" w:hint="eastAsia"/>
          <w:sz w:val="32"/>
          <w:szCs w:val="32"/>
        </w:rPr>
        <w:lastRenderedPageBreak/>
        <w:t>98.84</w:t>
      </w:r>
      <w:r>
        <w:rPr>
          <w:rFonts w:ascii="仿宋_GB2312" w:eastAsia="仿宋_GB2312" w:hint="eastAsia"/>
          <w:sz w:val="32"/>
          <w:szCs w:val="32"/>
        </w:rPr>
        <w:t>%</w:t>
      </w:r>
      <w:r>
        <w:rPr>
          <w:rFonts w:ascii="仿宋_GB2312" w:eastAsia="仿宋_GB2312" w:hint="eastAsia"/>
          <w:sz w:val="32"/>
          <w:szCs w:val="32"/>
        </w:rPr>
        <w:t>。因服务公司保洁</w:t>
      </w:r>
      <w:r>
        <w:rPr>
          <w:rFonts w:ascii="仿宋_GB2312" w:eastAsia="仿宋_GB2312" w:hint="eastAsia"/>
          <w:sz w:val="32"/>
          <w:szCs w:val="32"/>
        </w:rPr>
        <w:t>存在扣分项</w:t>
      </w:r>
      <w:r>
        <w:rPr>
          <w:rFonts w:ascii="仿宋_GB2312" w:eastAsia="仿宋_GB2312" w:hint="eastAsia"/>
          <w:sz w:val="32"/>
          <w:szCs w:val="32"/>
        </w:rPr>
        <w:t>，扣除相应费用。</w:t>
      </w:r>
    </w:p>
    <w:p w:rsidR="00FC1CB3" w:rsidRDefault="00B42BB4">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三、取得的成效</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区环水局建立了相应的管理制度并细化了工作流程，项目的预算申报、公开招标、资金支付等均比较规范，项目的经济性、效率性和效益性也比较高。项目实施以来，有效实现了及时清理辖区海滨栈道公共海域、岸堤和礁石垃圾，保证了公共海域的卫生环境质量，为海洋生物提供了一个清洁、安全的生活环境，保护了海洋生物资源多样性，维护了生态系统的完整性。并在一定程度上增强了辖区滨海旅游项目的吸引力，对优化辖区旅游环境，吸引更多游客以及投资项目起到持续的拉动作用。同时，该项目为辖区居民创造了巨大的“生态福利”，坚持生态惠民的直接表现。总体上</w:t>
      </w:r>
      <w:r>
        <w:rPr>
          <w:rFonts w:ascii="仿宋_GB2312" w:eastAsia="仿宋_GB2312" w:hint="eastAsia"/>
          <w:sz w:val="32"/>
          <w:szCs w:val="32"/>
        </w:rPr>
        <w:t>看，该项目</w:t>
      </w:r>
      <w:r>
        <w:rPr>
          <w:rFonts w:ascii="仿宋_GB2312" w:eastAsia="仿宋_GB2312" w:hint="eastAsia"/>
          <w:sz w:val="32"/>
          <w:szCs w:val="32"/>
        </w:rPr>
        <w:t>2018</w:t>
      </w:r>
      <w:r>
        <w:rPr>
          <w:rFonts w:ascii="仿宋_GB2312" w:eastAsia="仿宋_GB2312" w:hint="eastAsia"/>
          <w:sz w:val="32"/>
          <w:szCs w:val="32"/>
        </w:rPr>
        <w:t>年预算执行的各项工作完成情况良好，达到了预期效果。</w:t>
      </w:r>
    </w:p>
    <w:p w:rsidR="00FC1CB3" w:rsidRDefault="00B42BB4">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四、存在的问题</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（一）因受自然天气影响，为保证安全作业，有时未能及时出船清洁，导致偶有存在海面</w:t>
      </w:r>
      <w:proofErr w:type="gramStart"/>
      <w:r>
        <w:rPr>
          <w:rFonts w:ascii="仿宋_GB2312" w:eastAsia="仿宋_GB2312" w:hint="eastAsia"/>
          <w:sz w:val="32"/>
          <w:szCs w:val="32"/>
        </w:rPr>
        <w:t>清洁不</w:t>
      </w:r>
      <w:proofErr w:type="gramEnd"/>
      <w:r>
        <w:rPr>
          <w:rFonts w:ascii="仿宋_GB2312" w:eastAsia="仿宋_GB2312" w:hint="eastAsia"/>
          <w:sz w:val="32"/>
          <w:szCs w:val="32"/>
        </w:rPr>
        <w:t>到位等现象。</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（二）因海上作业特殊性，且受船只始发地</w:t>
      </w:r>
      <w:proofErr w:type="gramStart"/>
      <w:r>
        <w:rPr>
          <w:rFonts w:ascii="仿宋_GB2312" w:eastAsia="仿宋_GB2312" w:hint="eastAsia"/>
          <w:sz w:val="32"/>
          <w:szCs w:val="32"/>
        </w:rPr>
        <w:t>址</w:t>
      </w:r>
      <w:proofErr w:type="gramEnd"/>
      <w:r>
        <w:rPr>
          <w:rFonts w:ascii="仿宋_GB2312" w:eastAsia="仿宋_GB2312" w:hint="eastAsia"/>
          <w:sz w:val="32"/>
          <w:szCs w:val="32"/>
        </w:rPr>
        <w:t>限制，导致偏远海域片区清洁存在一定的滞后性。</w:t>
      </w:r>
    </w:p>
    <w:p w:rsidR="00FC1CB3" w:rsidRDefault="00B42BB4">
      <w:pPr>
        <w:spacing w:line="560" w:lineRule="exact"/>
        <w:ind w:firstLineChars="200" w:firstLine="640"/>
        <w:rPr>
          <w:rFonts w:ascii="仿宋_GB2312" w:eastAsia="仿宋_GB2312"/>
          <w:sz w:val="32"/>
          <w:szCs w:val="32"/>
        </w:rPr>
      </w:pPr>
      <w:r>
        <w:rPr>
          <w:rFonts w:ascii="仿宋_GB2312" w:eastAsia="仿宋_GB2312" w:hint="eastAsia"/>
          <w:sz w:val="32"/>
          <w:szCs w:val="32"/>
        </w:rPr>
        <w:t>（三）居民投诉处理存在滞后性，我局接到街道、社区反馈投诉情况后，</w:t>
      </w:r>
      <w:proofErr w:type="gramStart"/>
      <w:r>
        <w:rPr>
          <w:rFonts w:ascii="仿宋_GB2312" w:eastAsia="仿宋_GB2312" w:hint="eastAsia"/>
          <w:sz w:val="32"/>
          <w:szCs w:val="32"/>
        </w:rPr>
        <w:t>虽第一时间</w:t>
      </w:r>
      <w:proofErr w:type="gramEnd"/>
      <w:r>
        <w:rPr>
          <w:rFonts w:ascii="仿宋_GB2312" w:eastAsia="仿宋_GB2312" w:hint="eastAsia"/>
          <w:sz w:val="32"/>
          <w:szCs w:val="32"/>
        </w:rPr>
        <w:t>安排工作人员前往现场处理，但因时间存在差异，无法采集事发现场信息。</w:t>
      </w:r>
    </w:p>
    <w:p w:rsidR="00FC1CB3" w:rsidRDefault="00B42BB4">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五、相关建议和整改措施</w:t>
      </w:r>
    </w:p>
    <w:p w:rsidR="00FC1CB3" w:rsidRDefault="00B42BB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为督促服务公司更好地完成海域保洁工作，我局将要求</w:t>
      </w:r>
      <w:r>
        <w:rPr>
          <w:rFonts w:ascii="仿宋_GB2312" w:eastAsia="仿宋_GB2312" w:hint="eastAsia"/>
          <w:sz w:val="32"/>
          <w:szCs w:val="32"/>
        </w:rPr>
        <w:lastRenderedPageBreak/>
        <w:t>该公司加强海上清洁力度和陆地</w:t>
      </w:r>
      <w:r>
        <w:rPr>
          <w:rFonts w:ascii="仿宋_GB2312" w:eastAsia="仿宋_GB2312" w:hint="eastAsia"/>
          <w:sz w:val="32"/>
          <w:szCs w:val="32"/>
        </w:rPr>
        <w:t>巡查力度，同时，增加局内检查强度，并进一步拓宽媒体、群众监督举报渠道，实行全方位监督无死角，切实保证辖区海洋环境质量。</w:t>
      </w:r>
    </w:p>
    <w:p w:rsidR="00542845" w:rsidRDefault="00542845" w:rsidP="00542845">
      <w:pPr>
        <w:spacing w:line="570" w:lineRule="exact"/>
        <w:ind w:firstLineChars="200" w:firstLine="640"/>
        <w:rPr>
          <w:rFonts w:ascii="黑体" w:eastAsia="黑体" w:hAnsi="宋体" w:cs="黑体"/>
          <w:sz w:val="32"/>
          <w:szCs w:val="32"/>
        </w:rPr>
      </w:pPr>
      <w:r>
        <w:rPr>
          <w:rFonts w:ascii="黑体" w:eastAsia="黑体" w:hAnsi="宋体" w:cs="黑体" w:hint="eastAsia"/>
          <w:sz w:val="32"/>
          <w:szCs w:val="32"/>
          <w:lang/>
        </w:rPr>
        <w:t>六、重点项目支出绩效评价指标评分情况</w:t>
      </w:r>
    </w:p>
    <w:p w:rsidR="00542845" w:rsidRDefault="00542845" w:rsidP="00542845">
      <w:pPr>
        <w:spacing w:line="57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参照《2018年度重点项目支出绩效评价指标评分表》（见下表）进行自评，填报得分情况如下。</w:t>
      </w:r>
    </w:p>
    <w:p w:rsidR="00542845" w:rsidRDefault="00542845">
      <w:pPr>
        <w:spacing w:line="560" w:lineRule="exact"/>
        <w:ind w:firstLineChars="200" w:firstLine="640"/>
        <w:rPr>
          <w:rFonts w:ascii="仿宋_GB2312" w:eastAsia="仿宋_GB2312"/>
          <w:sz w:val="32"/>
          <w:szCs w:val="32"/>
        </w:rPr>
        <w:sectPr w:rsidR="00542845" w:rsidSect="00FC1CB3">
          <w:footerReference w:type="default" r:id="rId7"/>
          <w:pgSz w:w="11906" w:h="16838"/>
          <w:pgMar w:top="1440" w:right="1800" w:bottom="1440" w:left="1800" w:header="851" w:footer="992" w:gutter="0"/>
          <w:cols w:space="425"/>
          <w:docGrid w:type="lines" w:linePitch="312"/>
        </w:sectPr>
      </w:pPr>
    </w:p>
    <w:p w:rsidR="00542845" w:rsidRDefault="00542845" w:rsidP="00542845">
      <w:pPr>
        <w:jc w:val="center"/>
        <w:rPr>
          <w:sz w:val="28"/>
          <w:szCs w:val="28"/>
        </w:rPr>
      </w:pPr>
      <w:r>
        <w:rPr>
          <w:sz w:val="28"/>
          <w:szCs w:val="28"/>
        </w:rPr>
        <w:lastRenderedPageBreak/>
        <w:t>2018</w:t>
      </w:r>
      <w:r>
        <w:rPr>
          <w:rFonts w:cs="宋体" w:hint="eastAsia"/>
          <w:sz w:val="28"/>
          <w:szCs w:val="28"/>
        </w:rPr>
        <w:t>年度</w:t>
      </w:r>
      <w:r w:rsidRPr="00204234">
        <w:rPr>
          <w:rFonts w:cs="宋体" w:hint="eastAsia"/>
          <w:sz w:val="28"/>
          <w:szCs w:val="28"/>
        </w:rPr>
        <w:t>重点项目</w:t>
      </w:r>
      <w:r>
        <w:rPr>
          <w:rFonts w:cs="宋体" w:hint="eastAsia"/>
          <w:sz w:val="28"/>
          <w:szCs w:val="28"/>
        </w:rPr>
        <w:t>支出绩效评价指标评分表</w:t>
      </w:r>
    </w:p>
    <w:tbl>
      <w:tblPr>
        <w:tblW w:w="13964" w:type="dxa"/>
        <w:tblInd w:w="-106" w:type="dxa"/>
        <w:tblLayout w:type="fixed"/>
        <w:tblLook w:val="04A0"/>
      </w:tblPr>
      <w:tblGrid>
        <w:gridCol w:w="577"/>
        <w:gridCol w:w="567"/>
        <w:gridCol w:w="567"/>
        <w:gridCol w:w="568"/>
        <w:gridCol w:w="709"/>
        <w:gridCol w:w="583"/>
        <w:gridCol w:w="3386"/>
        <w:gridCol w:w="6200"/>
        <w:gridCol w:w="807"/>
      </w:tblGrid>
      <w:tr w:rsidR="00542845" w:rsidTr="00D9189F">
        <w:trPr>
          <w:trHeight w:val="180"/>
          <w:tblHeader/>
        </w:trPr>
        <w:tc>
          <w:tcPr>
            <w:tcW w:w="35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评价指标</w:t>
            </w:r>
          </w:p>
        </w:tc>
        <w:tc>
          <w:tcPr>
            <w:tcW w:w="3386" w:type="dxa"/>
            <w:tcBorders>
              <w:top w:val="single" w:sz="4" w:space="0" w:color="auto"/>
              <w:left w:val="nil"/>
              <w:bottom w:val="single" w:sz="4" w:space="0" w:color="auto"/>
              <w:right w:val="single" w:sz="4" w:space="0" w:color="auto"/>
            </w:tcBorders>
            <w:shd w:val="clear" w:color="auto" w:fill="auto"/>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指标说明</w:t>
            </w:r>
          </w:p>
        </w:tc>
        <w:tc>
          <w:tcPr>
            <w:tcW w:w="6200" w:type="dxa"/>
            <w:tcBorders>
              <w:top w:val="single" w:sz="4" w:space="0" w:color="auto"/>
              <w:left w:val="nil"/>
              <w:bottom w:val="single" w:sz="4" w:space="0" w:color="auto"/>
              <w:right w:val="single" w:sz="4" w:space="0" w:color="auto"/>
            </w:tcBorders>
            <w:shd w:val="clear" w:color="auto" w:fill="auto"/>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评分标准</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自评</w:t>
            </w:r>
          </w:p>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得分</w:t>
            </w:r>
          </w:p>
        </w:tc>
      </w:tr>
      <w:tr w:rsidR="00542845" w:rsidTr="00D9189F">
        <w:trPr>
          <w:trHeight w:val="463"/>
          <w:tblHeader/>
        </w:trPr>
        <w:tc>
          <w:tcPr>
            <w:tcW w:w="1144" w:type="dxa"/>
            <w:gridSpan w:val="2"/>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一级指标</w:t>
            </w:r>
          </w:p>
        </w:tc>
        <w:tc>
          <w:tcPr>
            <w:tcW w:w="1135" w:type="dxa"/>
            <w:gridSpan w:val="2"/>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二级指标</w:t>
            </w:r>
          </w:p>
        </w:tc>
        <w:tc>
          <w:tcPr>
            <w:tcW w:w="1292" w:type="dxa"/>
            <w:gridSpan w:val="2"/>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 xml:space="preserve">三级指标　</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w:t>
            </w:r>
          </w:p>
        </w:tc>
        <w:tc>
          <w:tcPr>
            <w:tcW w:w="6200" w:type="dxa"/>
            <w:tcBorders>
              <w:top w:val="single" w:sz="4" w:space="0" w:color="auto"/>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w:t>
            </w:r>
          </w:p>
        </w:tc>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r>
      <w:tr w:rsidR="00542845" w:rsidTr="00D9189F">
        <w:trPr>
          <w:trHeight w:val="180"/>
          <w:tblHeader/>
        </w:trPr>
        <w:tc>
          <w:tcPr>
            <w:tcW w:w="577" w:type="dxa"/>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名称</w:t>
            </w: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分值</w:t>
            </w: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名称</w:t>
            </w:r>
          </w:p>
        </w:tc>
        <w:tc>
          <w:tcPr>
            <w:tcW w:w="568"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分值</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名称</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分值</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jc w:val="center"/>
              <w:rPr>
                <w:rFonts w:ascii="黑体" w:eastAsia="黑体" w:hAnsi="宋体" w:cs="黑体"/>
                <w:kern w:val="0"/>
                <w:sz w:val="15"/>
                <w:szCs w:val="15"/>
              </w:rPr>
            </w:pPr>
            <w:r>
              <w:rPr>
                <w:rFonts w:ascii="黑体" w:eastAsia="黑体" w:hAnsi="宋体" w:cs="黑体" w:hint="eastAsia"/>
                <w:kern w:val="0"/>
                <w:sz w:val="15"/>
                <w:szCs w:val="15"/>
              </w:rPr>
              <w:t>——</w:t>
            </w:r>
          </w:p>
        </w:tc>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r>
      <w:tr w:rsidR="00542845" w:rsidTr="00D9189F">
        <w:trPr>
          <w:trHeight w:val="1496"/>
        </w:trPr>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预算编制情况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30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预算编制</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预算编制合理性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考核</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预算编制的合理性，即是否符合本部门职责、是否符合区委区政府的方针政策和工作要求。</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 xml:space="preserve">   1.</w:t>
            </w:r>
            <w:r w:rsidRPr="002F1208">
              <w:rPr>
                <w:rFonts w:ascii="楷体_GB2312" w:eastAsia="楷体_GB2312" w:hAnsi="宋体" w:cs="楷体_GB2312" w:hint="eastAsia"/>
                <w:kern w:val="0"/>
                <w:sz w:val="15"/>
                <w:szCs w:val="15"/>
              </w:rPr>
              <w:t xml:space="preserve"> 重点项目</w:t>
            </w:r>
            <w:r>
              <w:rPr>
                <w:rFonts w:ascii="楷体_GB2312" w:eastAsia="楷体_GB2312" w:hAnsi="宋体" w:cs="楷体_GB2312" w:hint="eastAsia"/>
                <w:kern w:val="0"/>
                <w:sz w:val="15"/>
                <w:szCs w:val="15"/>
              </w:rPr>
              <w:t>预算编制符合本部门职责、符合区委区政府方针政策和工作要求的，得3分；</w:t>
            </w:r>
            <w:r>
              <w:rPr>
                <w:rFonts w:ascii="楷体_GB2312" w:eastAsia="楷体_GB2312" w:hAnsi="宋体" w:cs="楷体_GB2312" w:hint="eastAsia"/>
                <w:kern w:val="0"/>
                <w:sz w:val="15"/>
                <w:szCs w:val="15"/>
              </w:rPr>
              <w:br/>
              <w:t xml:space="preserve">   2.</w:t>
            </w:r>
            <w:r w:rsidRPr="002F1208">
              <w:rPr>
                <w:rFonts w:ascii="楷体_GB2312" w:eastAsia="楷体_GB2312" w:hAnsi="宋体" w:cs="楷体_GB2312" w:hint="eastAsia"/>
                <w:kern w:val="0"/>
                <w:sz w:val="15"/>
                <w:szCs w:val="15"/>
              </w:rPr>
              <w:t xml:space="preserve"> 重点项目</w:t>
            </w:r>
            <w:r>
              <w:rPr>
                <w:rFonts w:ascii="楷体_GB2312" w:eastAsia="楷体_GB2312" w:hAnsi="宋体" w:cs="楷体_GB2312" w:hint="eastAsia"/>
                <w:kern w:val="0"/>
                <w:sz w:val="15"/>
                <w:szCs w:val="15"/>
              </w:rPr>
              <w:t xml:space="preserve">预算编制内容合理的（如不存在项目支出完成不理想但连年持续安排预算的情况等），得2分。  </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r>
      <w:tr w:rsidR="00542845" w:rsidTr="00D9189F">
        <w:trPr>
          <w:trHeight w:val="72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8"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预算编制规范性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考核</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预算编制是否符合区财政部门当年度有关预算编制的原则，例如在规范性和细致程度方面是否符合要求等。</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ind w:firstLineChars="150" w:firstLine="225"/>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符合区财政当年度有关预算编制的原则和要求的，符合专项资金预算编制和项目库管理要求的，得5分。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p w:rsidR="00542845" w:rsidRDefault="00542845" w:rsidP="00D9189F">
            <w:pPr>
              <w:widowControl/>
              <w:spacing w:line="320" w:lineRule="exact"/>
              <w:jc w:val="center"/>
              <w:rPr>
                <w:rFonts w:ascii="楷体_GB2312" w:eastAsia="楷体_GB2312" w:hAnsi="宋体" w:cs="楷体_GB2312"/>
                <w:kern w:val="0"/>
                <w:sz w:val="15"/>
                <w:szCs w:val="15"/>
              </w:rPr>
            </w:pPr>
          </w:p>
        </w:tc>
      </w:tr>
      <w:tr w:rsidR="00542845" w:rsidTr="00D9189F">
        <w:trPr>
          <w:trHeight w:val="54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目标设置</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绩效目标完整性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是否按要求编报项目绩效目标，是否依据充分，是否符合客观实际。</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部门（单位）是否按要求编报项目绩效目标，没按要求编报项目绩效目标的，得0分。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r>
      <w:tr w:rsidR="00542845" w:rsidTr="00D9189F">
        <w:trPr>
          <w:trHeight w:val="1419"/>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8"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绩效指标明确性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设定的绩效指标是否清晰、细化、可量化，用以反映和考核重点项目绩效目标的</w:t>
            </w:r>
            <w:proofErr w:type="gramStart"/>
            <w:r>
              <w:rPr>
                <w:rFonts w:ascii="楷体_GB2312" w:eastAsia="楷体_GB2312" w:hAnsi="宋体" w:cs="楷体_GB2312" w:hint="eastAsia"/>
                <w:kern w:val="0"/>
                <w:sz w:val="15"/>
                <w:szCs w:val="15"/>
              </w:rPr>
              <w:t>明细化</w:t>
            </w:r>
            <w:proofErr w:type="gramEnd"/>
            <w:r>
              <w:rPr>
                <w:rFonts w:ascii="楷体_GB2312" w:eastAsia="楷体_GB2312" w:hAnsi="宋体" w:cs="楷体_GB2312" w:hint="eastAsia"/>
                <w:kern w:val="0"/>
                <w:sz w:val="15"/>
                <w:szCs w:val="15"/>
              </w:rPr>
              <w:t>情况。</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ind w:firstLineChars="200" w:firstLine="300"/>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1.绩效指标中包含能够明确体现部门（单位）履职效果的社会经济生态效益指标的，得2分；</w:t>
            </w:r>
            <w:r>
              <w:rPr>
                <w:rFonts w:ascii="楷体_GB2312" w:eastAsia="楷体_GB2312" w:hAnsi="宋体" w:cs="楷体_GB2312" w:hint="eastAsia"/>
                <w:kern w:val="0"/>
                <w:sz w:val="15"/>
                <w:szCs w:val="15"/>
              </w:rPr>
              <w:br/>
              <w:t xml:space="preserve">    2.绩效指标具有清晰、可衡量的指标值的，得1分；</w:t>
            </w:r>
            <w:r>
              <w:rPr>
                <w:rFonts w:ascii="楷体_GB2312" w:eastAsia="楷体_GB2312" w:hAnsi="宋体" w:cs="楷体_GB2312" w:hint="eastAsia"/>
                <w:kern w:val="0"/>
                <w:sz w:val="15"/>
                <w:szCs w:val="15"/>
              </w:rPr>
              <w:br/>
              <w:t xml:space="preserve">    3.绩效指标包含可量化的指标的，得1分；完全没有可量化的指标的，不得分；</w:t>
            </w:r>
            <w:r>
              <w:rPr>
                <w:rFonts w:ascii="楷体_GB2312" w:eastAsia="楷体_GB2312" w:hAnsi="宋体" w:cs="楷体_GB2312" w:hint="eastAsia"/>
                <w:kern w:val="0"/>
                <w:sz w:val="15"/>
                <w:szCs w:val="15"/>
              </w:rPr>
              <w:br/>
              <w:t xml:space="preserve">    4.绩效目标的目标值测算能提供相关依据或符合客观实际情况的，得1分；</w:t>
            </w:r>
            <w:r>
              <w:rPr>
                <w:rFonts w:ascii="楷体_GB2312" w:eastAsia="楷体_GB2312" w:hAnsi="宋体" w:cs="楷体_GB2312" w:hint="eastAsia"/>
                <w:kern w:val="0"/>
                <w:sz w:val="15"/>
                <w:szCs w:val="15"/>
              </w:rPr>
              <w:br/>
              <w:t>对照上述4项标准，不完全符合的，每项应酌情扣分。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4</w:t>
            </w:r>
          </w:p>
        </w:tc>
      </w:tr>
      <w:tr w:rsidR="00542845" w:rsidTr="00D9189F">
        <w:trPr>
          <w:trHeight w:val="1210"/>
        </w:trPr>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预算执行情况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30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资金管理</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资金支出率</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预算实际支付进度和既定支付进度的匹配情况，反映和考核</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预算执行的及时性和均衡性。</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本指标得分=本指标满分分值×执行率。</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4.94</w:t>
            </w:r>
          </w:p>
        </w:tc>
      </w:tr>
      <w:tr w:rsidR="00542845" w:rsidTr="00D9189F">
        <w:trPr>
          <w:trHeight w:val="144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8"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财务合</w:t>
            </w:r>
            <w:proofErr w:type="gramStart"/>
            <w:r>
              <w:rPr>
                <w:rFonts w:ascii="楷体_GB2312" w:eastAsia="楷体_GB2312" w:hAnsi="宋体" w:cs="楷体_GB2312" w:hint="eastAsia"/>
                <w:kern w:val="0"/>
                <w:sz w:val="15"/>
                <w:szCs w:val="15"/>
              </w:rPr>
              <w:t>规</w:t>
            </w:r>
            <w:proofErr w:type="gramEnd"/>
            <w:r>
              <w:rPr>
                <w:rFonts w:ascii="楷体_GB2312" w:eastAsia="楷体_GB2312" w:hAnsi="宋体" w:cs="楷体_GB2312" w:hint="eastAsia"/>
                <w:kern w:val="0"/>
                <w:sz w:val="15"/>
                <w:szCs w:val="15"/>
              </w:rPr>
              <w:t>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资金支出规范性，包括资金管理、费用支出等制度是否严格执行；会计核算是否规范，是否存在截留、挤占、挪用项目资金情况。</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 xml:space="preserve">    1.预算执行规范性2分，按规定履行调整报批手续或未发生调整的，且按事项完成进度支付资金的得1分，否则酌情扣分。</w:t>
            </w:r>
            <w:r>
              <w:rPr>
                <w:rFonts w:ascii="楷体_GB2312" w:eastAsia="楷体_GB2312" w:hAnsi="宋体" w:cs="楷体_GB2312" w:hint="eastAsia"/>
                <w:kern w:val="0"/>
                <w:sz w:val="15"/>
                <w:szCs w:val="15"/>
              </w:rPr>
              <w:br/>
              <w:t xml:space="preserve">    2.事项支出的合</w:t>
            </w:r>
            <w:proofErr w:type="gramStart"/>
            <w:r>
              <w:rPr>
                <w:rFonts w:ascii="楷体_GB2312" w:eastAsia="楷体_GB2312" w:hAnsi="宋体" w:cs="楷体_GB2312" w:hint="eastAsia"/>
                <w:kern w:val="0"/>
                <w:sz w:val="15"/>
                <w:szCs w:val="15"/>
              </w:rPr>
              <w:t>规</w:t>
            </w:r>
            <w:proofErr w:type="gramEnd"/>
            <w:r>
              <w:rPr>
                <w:rFonts w:ascii="楷体_GB2312" w:eastAsia="楷体_GB2312" w:hAnsi="宋体" w:cs="楷体_GB2312" w:hint="eastAsia"/>
                <w:kern w:val="0"/>
                <w:sz w:val="15"/>
                <w:szCs w:val="15"/>
              </w:rPr>
              <w:t>性2分，资金管理、费用标准、支付符合有关制度规定的得1分；超范围、超标准支出，虚列支出，截留、挤占、挪用资金的，以及其他不符合制度规定支出的，视情节严重情况扣分，扣完为止。</w:t>
            </w:r>
            <w:r>
              <w:rPr>
                <w:rFonts w:ascii="楷体_GB2312" w:eastAsia="楷体_GB2312" w:hAnsi="宋体" w:cs="楷体_GB2312" w:hint="eastAsia"/>
                <w:kern w:val="0"/>
                <w:sz w:val="15"/>
                <w:szCs w:val="15"/>
              </w:rPr>
              <w:br/>
              <w:t xml:space="preserve">    3.会计核算规范性1分，规范执行会计核算制度得1分；未按规定设专账核算，或支出凭证不符合规定，或其他核算不规范的，酌情扣分。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5</w:t>
            </w:r>
          </w:p>
        </w:tc>
      </w:tr>
      <w:tr w:rsidR="00542845" w:rsidTr="00D9189F">
        <w:trPr>
          <w:trHeight w:val="54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项目管理</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20</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项目实施程序</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支出实施过程是否规范,包括是否符合申报条件；申报、批复程序是否符合相关管理办法；项目招投标是否履行相应手续等。</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 xml:space="preserve">    1.项目的设立、调整按规定履行</w:t>
            </w:r>
            <w:proofErr w:type="gramStart"/>
            <w:r>
              <w:rPr>
                <w:rFonts w:ascii="楷体_GB2312" w:eastAsia="楷体_GB2312" w:hAnsi="宋体" w:cs="楷体_GB2312" w:hint="eastAsia"/>
                <w:kern w:val="0"/>
                <w:sz w:val="15"/>
                <w:szCs w:val="15"/>
              </w:rPr>
              <w:t>报批程续的</w:t>
            </w:r>
            <w:proofErr w:type="gramEnd"/>
            <w:r>
              <w:rPr>
                <w:rFonts w:ascii="楷体_GB2312" w:eastAsia="楷体_GB2312" w:hAnsi="宋体" w:cs="楷体_GB2312" w:hint="eastAsia"/>
                <w:kern w:val="0"/>
                <w:sz w:val="15"/>
                <w:szCs w:val="15"/>
              </w:rPr>
              <w:t>，得5分；</w:t>
            </w:r>
            <w:r>
              <w:rPr>
                <w:rFonts w:ascii="楷体_GB2312" w:eastAsia="楷体_GB2312" w:hAnsi="宋体" w:cs="楷体_GB2312" w:hint="eastAsia"/>
                <w:kern w:val="0"/>
                <w:sz w:val="15"/>
                <w:szCs w:val="15"/>
              </w:rPr>
              <w:br/>
              <w:t xml:space="preserve">    2.项目招投标以及方案实施均严格执行相关制度规定的，得5分；</w:t>
            </w:r>
            <w:r>
              <w:rPr>
                <w:rFonts w:ascii="楷体_GB2312" w:eastAsia="楷体_GB2312" w:hAnsi="宋体" w:cs="楷体_GB2312" w:hint="eastAsia"/>
                <w:kern w:val="0"/>
                <w:sz w:val="15"/>
                <w:szCs w:val="15"/>
              </w:rPr>
              <w:br/>
              <w:t>评价时发现有项目不符合上述条件的，酌情扣分。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r>
      <w:tr w:rsidR="00542845" w:rsidTr="00D9189F">
        <w:trPr>
          <w:trHeight w:val="90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8"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项目监管</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反映部门（单位）对所实施项目的检查、监控、督促整改等管理情况。</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ind w:firstLine="285"/>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1.建立有效资金管理机制，且执行情况良好的,得5分；</w:t>
            </w:r>
            <w:r>
              <w:rPr>
                <w:rFonts w:ascii="楷体_GB2312" w:eastAsia="楷体_GB2312" w:hAnsi="宋体" w:cs="楷体_GB2312" w:hint="eastAsia"/>
                <w:kern w:val="0"/>
                <w:sz w:val="15"/>
                <w:szCs w:val="15"/>
              </w:rPr>
              <w:br/>
              <w:t xml:space="preserve">    2.按规定对</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经费开展有效的检查、监控、督促整改的，得5分</w:t>
            </w:r>
          </w:p>
          <w:p w:rsidR="00542845" w:rsidRDefault="00542845" w:rsidP="00D9189F">
            <w:pPr>
              <w:widowControl/>
              <w:spacing w:line="240" w:lineRule="exact"/>
              <w:ind w:firstLine="285"/>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评价时发现有项目不符合上述条件的，酌情扣分。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r>
      <w:tr w:rsidR="00542845" w:rsidTr="00D9189F">
        <w:trPr>
          <w:trHeight w:val="360"/>
        </w:trPr>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预算使用效益</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40</w:t>
            </w: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效率性</w:t>
            </w:r>
          </w:p>
        </w:tc>
        <w:tc>
          <w:tcPr>
            <w:tcW w:w="568"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项目完成及时性</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完成情况与预期时间对比的情况。</w:t>
            </w:r>
          </w:p>
        </w:tc>
        <w:tc>
          <w:tcPr>
            <w:tcW w:w="6200"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ind w:firstLineChars="200" w:firstLine="300"/>
              <w:rPr>
                <w:rFonts w:ascii="楷体_GB2312" w:eastAsia="楷体_GB2312" w:hAnsi="宋体" w:cs="楷体_GB2312"/>
                <w:kern w:val="0"/>
                <w:sz w:val="15"/>
                <w:szCs w:val="15"/>
              </w:rPr>
            </w:pP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按计划时间完成的，得7分；</w:t>
            </w:r>
          </w:p>
          <w:p w:rsidR="00542845" w:rsidRDefault="00542845" w:rsidP="00D9189F">
            <w:pPr>
              <w:widowControl/>
              <w:spacing w:line="240" w:lineRule="exact"/>
              <w:ind w:firstLineChars="200" w:firstLine="300"/>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未按计划时间完成的，根据完成情况酌情扣分。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r>
      <w:tr w:rsidR="00542845" w:rsidTr="00D9189F">
        <w:trPr>
          <w:trHeight w:val="126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效果性</w:t>
            </w:r>
          </w:p>
        </w:tc>
        <w:tc>
          <w:tcPr>
            <w:tcW w:w="568"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社会经济生态效益</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15</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对经济发展、社会发展和生态环境所带来的直接或间接影响。</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根据</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内容和性质，从社会、经济、生态环境三个方面，至少选择一至两个方面对工作实效和效益进行评价。</w:t>
            </w:r>
            <w:r>
              <w:rPr>
                <w:rFonts w:ascii="楷体_GB2312" w:eastAsia="楷体_GB2312" w:hAnsi="宋体" w:cs="楷体_GB2312" w:hint="eastAsia"/>
                <w:kern w:val="0"/>
                <w:sz w:val="15"/>
                <w:szCs w:val="15"/>
              </w:rPr>
              <w:br/>
              <w:t xml:space="preserve">    1.</w:t>
            </w:r>
            <w:r w:rsidRPr="002F1208">
              <w:rPr>
                <w:rFonts w:ascii="楷体_GB2312" w:eastAsia="楷体_GB2312" w:hAnsi="宋体" w:cs="楷体_GB2312" w:hint="eastAsia"/>
                <w:kern w:val="0"/>
                <w:sz w:val="15"/>
                <w:szCs w:val="15"/>
              </w:rPr>
              <w:t xml:space="preserve"> 重点项目</w:t>
            </w:r>
            <w:r>
              <w:rPr>
                <w:rFonts w:ascii="楷体_GB2312" w:eastAsia="楷体_GB2312" w:hAnsi="宋体" w:cs="楷体_GB2312" w:hint="eastAsia"/>
                <w:kern w:val="0"/>
                <w:sz w:val="15"/>
                <w:szCs w:val="15"/>
              </w:rPr>
              <w:t>主要绩效指标能否体现</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实施的效果。主要绩效指标均体现</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实施效果的，得7分；只有部分指标体现效果的，酌情扣分。</w:t>
            </w:r>
            <w:r>
              <w:rPr>
                <w:rFonts w:ascii="楷体_GB2312" w:eastAsia="楷体_GB2312" w:hAnsi="宋体" w:cs="楷体_GB2312" w:hint="eastAsia"/>
                <w:kern w:val="0"/>
                <w:sz w:val="15"/>
                <w:szCs w:val="15"/>
              </w:rPr>
              <w:br/>
              <w:t xml:space="preserve">    2.</w:t>
            </w:r>
            <w:r w:rsidRPr="002F1208">
              <w:rPr>
                <w:rFonts w:ascii="楷体_GB2312" w:eastAsia="楷体_GB2312" w:hAnsi="宋体" w:cs="楷体_GB2312" w:hint="eastAsia"/>
                <w:kern w:val="0"/>
                <w:sz w:val="15"/>
                <w:szCs w:val="15"/>
              </w:rPr>
              <w:t xml:space="preserve"> 重点项目</w:t>
            </w:r>
            <w:r>
              <w:rPr>
                <w:rFonts w:ascii="楷体_GB2312" w:eastAsia="楷体_GB2312" w:hAnsi="宋体" w:cs="楷体_GB2312" w:hint="eastAsia"/>
                <w:kern w:val="0"/>
                <w:sz w:val="15"/>
                <w:szCs w:val="15"/>
              </w:rPr>
              <w:t>支出是否实现了预期效果。能体现效果的，得8分；只有体现部分效果的，酌情扣分。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14</w:t>
            </w:r>
          </w:p>
        </w:tc>
      </w:tr>
      <w:tr w:rsidR="00542845" w:rsidTr="00D9189F">
        <w:trPr>
          <w:trHeight w:val="540"/>
        </w:trPr>
        <w:tc>
          <w:tcPr>
            <w:tcW w:w="57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rPr>
                <w:rFonts w:ascii="Calibri" w:hAnsi="Calibri"/>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公平性</w:t>
            </w:r>
          </w:p>
        </w:tc>
        <w:tc>
          <w:tcPr>
            <w:tcW w:w="568" w:type="dxa"/>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公众或服务对象满意度</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10</w:t>
            </w:r>
          </w:p>
        </w:tc>
        <w:tc>
          <w:tcPr>
            <w:tcW w:w="3386"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240" w:lineRule="exac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反映社会公众或部门（单位）的服务对象对</w:t>
            </w:r>
            <w:r w:rsidRPr="002F1208">
              <w:rPr>
                <w:rFonts w:ascii="楷体_GB2312" w:eastAsia="楷体_GB2312" w:hAnsi="宋体" w:cs="楷体_GB2312" w:hint="eastAsia"/>
                <w:kern w:val="0"/>
                <w:sz w:val="15"/>
                <w:szCs w:val="15"/>
              </w:rPr>
              <w:t>重点项目</w:t>
            </w:r>
            <w:r>
              <w:rPr>
                <w:rFonts w:ascii="楷体_GB2312" w:eastAsia="楷体_GB2312" w:hAnsi="宋体" w:cs="楷体_GB2312" w:hint="eastAsia"/>
                <w:kern w:val="0"/>
                <w:sz w:val="15"/>
                <w:szCs w:val="15"/>
              </w:rPr>
              <w:t>实施效果的满意度。</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240" w:lineRule="exact"/>
              <w:jc w:val="left"/>
              <w:rPr>
                <w:rFonts w:ascii="楷体_GB2312" w:eastAsia="楷体_GB2312" w:hAnsi="宋体" w:cs="楷体_GB2312"/>
                <w:kern w:val="0"/>
                <w:sz w:val="15"/>
                <w:szCs w:val="15"/>
              </w:rPr>
            </w:pPr>
            <w:r>
              <w:rPr>
                <w:rFonts w:ascii="楷体_GB2312" w:eastAsia="楷体_GB2312" w:hAnsi="宋体" w:cs="楷体_GB2312" w:hint="eastAsia"/>
                <w:kern w:val="0"/>
                <w:sz w:val="15"/>
                <w:szCs w:val="15"/>
              </w:rPr>
              <w:t>社会公众或服务对象是</w:t>
            </w:r>
            <w:proofErr w:type="gramStart"/>
            <w:r>
              <w:rPr>
                <w:rFonts w:ascii="楷体_GB2312" w:eastAsia="楷体_GB2312" w:hAnsi="宋体" w:cs="楷体_GB2312" w:hint="eastAsia"/>
                <w:kern w:val="0"/>
                <w:sz w:val="15"/>
                <w:szCs w:val="15"/>
              </w:rPr>
              <w:t>指</w:t>
            </w:r>
            <w:r w:rsidRPr="002F1208">
              <w:rPr>
                <w:rFonts w:ascii="楷体_GB2312" w:eastAsia="楷体_GB2312" w:hAnsi="宋体" w:cs="楷体_GB2312" w:hint="eastAsia"/>
                <w:kern w:val="0"/>
                <w:sz w:val="15"/>
                <w:szCs w:val="15"/>
              </w:rPr>
              <w:t>重点</w:t>
            </w:r>
            <w:proofErr w:type="gramEnd"/>
            <w:r w:rsidRPr="002F1208">
              <w:rPr>
                <w:rFonts w:ascii="楷体_GB2312" w:eastAsia="楷体_GB2312" w:hAnsi="宋体" w:cs="楷体_GB2312" w:hint="eastAsia"/>
                <w:kern w:val="0"/>
                <w:sz w:val="15"/>
                <w:szCs w:val="15"/>
              </w:rPr>
              <w:t>项目</w:t>
            </w:r>
            <w:r>
              <w:rPr>
                <w:rFonts w:ascii="楷体_GB2312" w:eastAsia="楷体_GB2312" w:hAnsi="宋体" w:cs="楷体_GB2312" w:hint="eastAsia"/>
                <w:kern w:val="0"/>
                <w:sz w:val="15"/>
                <w:szCs w:val="15"/>
              </w:rPr>
              <w:t>实施而影响到的部门、群体或个人。</w:t>
            </w:r>
            <w:r w:rsidRPr="006A1850">
              <w:rPr>
                <w:rFonts w:ascii="楷体_GB2312" w:eastAsia="楷体_GB2312" w:hAnsi="宋体" w:cs="楷体_GB2312" w:hint="eastAsia"/>
                <w:kern w:val="0"/>
                <w:sz w:val="15"/>
                <w:szCs w:val="15"/>
              </w:rPr>
              <w:t>调查公共海域附近的居民、景区内的游客和经营者对公共海域保洁效果的满意程度</w:t>
            </w:r>
            <w:r>
              <w:rPr>
                <w:rFonts w:ascii="楷体_GB2312" w:eastAsia="楷体_GB2312" w:hAnsi="宋体" w:cs="楷体_GB2312" w:hint="eastAsia"/>
                <w:kern w:val="0"/>
                <w:sz w:val="15"/>
                <w:szCs w:val="15"/>
              </w:rPr>
              <w:t>进行合理的评分。</w:t>
            </w:r>
          </w:p>
        </w:tc>
        <w:tc>
          <w:tcPr>
            <w:tcW w:w="80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center"/>
              <w:rPr>
                <w:rFonts w:ascii="楷体_GB2312" w:eastAsia="楷体_GB2312" w:hAnsi="宋体" w:cs="楷体_GB2312"/>
                <w:kern w:val="0"/>
                <w:sz w:val="15"/>
                <w:szCs w:val="15"/>
              </w:rPr>
            </w:pPr>
            <w:r>
              <w:rPr>
                <w:rFonts w:ascii="楷体_GB2312" w:eastAsia="楷体_GB2312" w:hAnsi="宋体" w:cs="楷体_GB2312" w:hint="eastAsia"/>
                <w:kern w:val="0"/>
                <w:sz w:val="15"/>
                <w:szCs w:val="15"/>
              </w:rPr>
              <w:t>9</w:t>
            </w:r>
          </w:p>
        </w:tc>
      </w:tr>
      <w:tr w:rsidR="00542845" w:rsidTr="00D9189F">
        <w:trPr>
          <w:trHeight w:val="259"/>
        </w:trPr>
        <w:tc>
          <w:tcPr>
            <w:tcW w:w="577" w:type="dxa"/>
            <w:tcBorders>
              <w:top w:val="nil"/>
              <w:left w:val="single" w:sz="4" w:space="0" w:color="auto"/>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总分</w:t>
            </w: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100</w:t>
            </w:r>
          </w:p>
        </w:tc>
        <w:tc>
          <w:tcPr>
            <w:tcW w:w="567"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w:t>
            </w:r>
          </w:p>
        </w:tc>
        <w:tc>
          <w:tcPr>
            <w:tcW w:w="568"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100</w:t>
            </w:r>
          </w:p>
        </w:tc>
        <w:tc>
          <w:tcPr>
            <w:tcW w:w="709"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tcPr>
          <w:p w:rsidR="00542845" w:rsidRDefault="00542845" w:rsidP="00D9189F">
            <w:pPr>
              <w:widowControl/>
              <w:spacing w:line="320" w:lineRule="exact"/>
              <w:jc w:val="left"/>
              <w:rPr>
                <w:rFonts w:ascii="宋体" w:cs="宋体"/>
                <w:kern w:val="0"/>
                <w:sz w:val="15"/>
                <w:szCs w:val="15"/>
              </w:rPr>
            </w:pPr>
            <w:r>
              <w:rPr>
                <w:rFonts w:ascii="宋体" w:hAnsi="宋体" w:cs="宋体" w:hint="eastAsia"/>
                <w:kern w:val="0"/>
                <w:sz w:val="15"/>
                <w:szCs w:val="15"/>
              </w:rPr>
              <w:t>100</w:t>
            </w:r>
          </w:p>
        </w:tc>
        <w:tc>
          <w:tcPr>
            <w:tcW w:w="3386" w:type="dxa"/>
            <w:tcBorders>
              <w:top w:val="nil"/>
              <w:left w:val="nil"/>
              <w:bottom w:val="single" w:sz="4" w:space="0" w:color="auto"/>
              <w:right w:val="single" w:sz="4" w:space="0" w:color="auto"/>
            </w:tcBorders>
            <w:shd w:val="clear" w:color="auto" w:fill="auto"/>
          </w:tcPr>
          <w:p w:rsidR="00542845" w:rsidRDefault="00542845" w:rsidP="00D9189F">
            <w:pPr>
              <w:widowControl/>
              <w:spacing w:line="320" w:lineRule="exact"/>
              <w:ind w:firstLine="480"/>
              <w:jc w:val="center"/>
              <w:rPr>
                <w:rFonts w:ascii="宋体" w:cs="宋体"/>
                <w:kern w:val="0"/>
                <w:sz w:val="15"/>
                <w:szCs w:val="15"/>
              </w:rPr>
            </w:pPr>
            <w:r>
              <w:rPr>
                <w:rFonts w:ascii="宋体" w:hAnsi="宋体" w:cs="宋体" w:hint="eastAsia"/>
                <w:kern w:val="0"/>
                <w:sz w:val="15"/>
                <w:szCs w:val="15"/>
              </w:rPr>
              <w:t>——</w:t>
            </w:r>
          </w:p>
        </w:tc>
        <w:tc>
          <w:tcPr>
            <w:tcW w:w="6200" w:type="dxa"/>
            <w:tcBorders>
              <w:top w:val="nil"/>
              <w:left w:val="nil"/>
              <w:bottom w:val="single" w:sz="4" w:space="0" w:color="auto"/>
              <w:right w:val="single" w:sz="4" w:space="0" w:color="auto"/>
            </w:tcBorders>
            <w:shd w:val="clear" w:color="auto" w:fill="auto"/>
          </w:tcPr>
          <w:p w:rsidR="00542845" w:rsidRDefault="00542845" w:rsidP="00D9189F">
            <w:pPr>
              <w:widowControl/>
              <w:spacing w:line="320" w:lineRule="exact"/>
              <w:ind w:firstLine="480"/>
              <w:jc w:val="center"/>
              <w:rPr>
                <w:rFonts w:ascii="宋体" w:cs="宋体"/>
                <w:kern w:val="0"/>
                <w:sz w:val="15"/>
                <w:szCs w:val="15"/>
              </w:rPr>
            </w:pPr>
            <w:r>
              <w:rPr>
                <w:rFonts w:ascii="宋体" w:hAnsi="宋体" w:cs="宋体" w:hint="eastAsia"/>
                <w:kern w:val="0"/>
                <w:sz w:val="15"/>
                <w:szCs w:val="15"/>
              </w:rPr>
              <w:t>——</w:t>
            </w:r>
          </w:p>
        </w:tc>
        <w:tc>
          <w:tcPr>
            <w:tcW w:w="807" w:type="dxa"/>
            <w:tcBorders>
              <w:top w:val="nil"/>
              <w:left w:val="nil"/>
              <w:bottom w:val="single" w:sz="4" w:space="0" w:color="auto"/>
              <w:right w:val="single" w:sz="4" w:space="0" w:color="auto"/>
            </w:tcBorders>
            <w:shd w:val="clear" w:color="auto" w:fill="auto"/>
            <w:vAlign w:val="bottom"/>
          </w:tcPr>
          <w:p w:rsidR="00542845" w:rsidRDefault="00542845" w:rsidP="00D9189F">
            <w:pPr>
              <w:widowControl/>
              <w:spacing w:line="320" w:lineRule="exact"/>
              <w:ind w:leftChars="70" w:left="147" w:firstLineChars="227" w:firstLine="340"/>
              <w:jc w:val="center"/>
              <w:rPr>
                <w:rFonts w:ascii="宋体" w:cs="宋体"/>
                <w:kern w:val="0"/>
                <w:sz w:val="15"/>
                <w:szCs w:val="15"/>
              </w:rPr>
            </w:pPr>
            <w:r>
              <w:rPr>
                <w:rFonts w:ascii="楷体_GB2312" w:eastAsia="楷体_GB2312" w:hAnsi="宋体" w:cs="楷体_GB2312" w:hint="eastAsia"/>
                <w:kern w:val="0"/>
                <w:sz w:val="15"/>
                <w:szCs w:val="15"/>
              </w:rPr>
              <w:t xml:space="preserve"> 96.94</w:t>
            </w:r>
          </w:p>
        </w:tc>
      </w:tr>
    </w:tbl>
    <w:p w:rsidR="00542845" w:rsidRDefault="00542845" w:rsidP="00542845">
      <w:pPr>
        <w:rPr>
          <w:sz w:val="18"/>
          <w:szCs w:val="18"/>
        </w:rPr>
      </w:pPr>
    </w:p>
    <w:p w:rsidR="00542845" w:rsidRDefault="00542845" w:rsidP="00542845">
      <w:pPr>
        <w:spacing w:line="570" w:lineRule="exact"/>
        <w:ind w:firstLineChars="200" w:firstLine="360"/>
        <w:rPr>
          <w:sz w:val="18"/>
          <w:szCs w:val="18"/>
        </w:rPr>
      </w:pPr>
    </w:p>
    <w:p w:rsidR="00542845" w:rsidRDefault="00542845" w:rsidP="00542845"/>
    <w:p w:rsidR="00542845" w:rsidRDefault="00542845" w:rsidP="00542845">
      <w:pPr>
        <w:spacing w:line="570" w:lineRule="exact"/>
        <w:ind w:firstLineChars="200" w:firstLine="360"/>
        <w:rPr>
          <w:sz w:val="18"/>
          <w:szCs w:val="18"/>
        </w:rPr>
      </w:pPr>
    </w:p>
    <w:p w:rsidR="00542845" w:rsidRDefault="00542845" w:rsidP="00542845"/>
    <w:p w:rsidR="00542845" w:rsidRPr="00542845" w:rsidRDefault="00542845">
      <w:pPr>
        <w:spacing w:line="560" w:lineRule="exact"/>
        <w:ind w:firstLineChars="200" w:firstLine="640"/>
        <w:rPr>
          <w:rFonts w:ascii="仿宋_GB2312" w:eastAsia="仿宋_GB2312"/>
          <w:sz w:val="32"/>
          <w:szCs w:val="32"/>
        </w:rPr>
      </w:pPr>
    </w:p>
    <w:sectPr w:rsidR="00542845" w:rsidRPr="00542845" w:rsidSect="008B5E6B">
      <w:footerReference w:type="default" r:id="rId8"/>
      <w:pgSz w:w="16839" w:h="11907" w:orient="landscape"/>
      <w:pgMar w:top="1134"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B4" w:rsidRDefault="00B42BB4" w:rsidP="00FC1CB3">
      <w:r>
        <w:separator/>
      </w:r>
    </w:p>
  </w:endnote>
  <w:endnote w:type="continuationSeparator" w:id="0">
    <w:p w:rsidR="00B42BB4" w:rsidRDefault="00B42BB4" w:rsidP="00FC1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B3" w:rsidRDefault="00FC1CB3">
    <w:pPr>
      <w:pStyle w:val="a3"/>
      <w:framePr w:wrap="around" w:vAnchor="text" w:hAnchor="margin" w:xAlign="outside" w:y="1"/>
      <w:rPr>
        <w:rStyle w:val="a5"/>
        <w:rFonts w:cs="Times New Roman"/>
      </w:rPr>
    </w:pPr>
    <w:r>
      <w:rPr>
        <w:rStyle w:val="a5"/>
      </w:rPr>
      <w:fldChar w:fldCharType="begin"/>
    </w:r>
    <w:r w:rsidR="00B42BB4">
      <w:rPr>
        <w:rStyle w:val="a5"/>
      </w:rPr>
      <w:instrText xml:space="preserve">PAGE  </w:instrText>
    </w:r>
    <w:r>
      <w:rPr>
        <w:rStyle w:val="a5"/>
      </w:rPr>
      <w:fldChar w:fldCharType="separate"/>
    </w:r>
    <w:r w:rsidR="00542845">
      <w:rPr>
        <w:rStyle w:val="a5"/>
        <w:noProof/>
      </w:rPr>
      <w:t>6</w:t>
    </w:r>
    <w:r>
      <w:rPr>
        <w:rStyle w:val="a5"/>
      </w:rPr>
      <w:fldChar w:fldCharType="end"/>
    </w:r>
  </w:p>
  <w:p w:rsidR="00FC1CB3" w:rsidRDefault="00FC1CB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6B" w:rsidRDefault="00B42BB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542845">
      <w:rPr>
        <w:rStyle w:val="a5"/>
        <w:noProof/>
      </w:rPr>
      <w:t>8</w:t>
    </w:r>
    <w:r>
      <w:rPr>
        <w:rStyle w:val="a5"/>
      </w:rPr>
      <w:fldChar w:fldCharType="end"/>
    </w:r>
  </w:p>
  <w:p w:rsidR="008B5E6B" w:rsidRDefault="00B42BB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B4" w:rsidRDefault="00B42BB4" w:rsidP="00FC1CB3">
      <w:r>
        <w:separator/>
      </w:r>
    </w:p>
  </w:footnote>
  <w:footnote w:type="continuationSeparator" w:id="0">
    <w:p w:rsidR="00B42BB4" w:rsidRDefault="00B42BB4" w:rsidP="00FC1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CA01A3"/>
    <w:rsid w:val="00013D68"/>
    <w:rsid w:val="0009317C"/>
    <w:rsid w:val="000C0E2C"/>
    <w:rsid w:val="001405B0"/>
    <w:rsid w:val="00181B7B"/>
    <w:rsid w:val="0018364B"/>
    <w:rsid w:val="00196F96"/>
    <w:rsid w:val="001B31F7"/>
    <w:rsid w:val="001B6D30"/>
    <w:rsid w:val="001C58FF"/>
    <w:rsid w:val="001C7892"/>
    <w:rsid w:val="001F22C8"/>
    <w:rsid w:val="00216BAE"/>
    <w:rsid w:val="00227F8F"/>
    <w:rsid w:val="00231C5F"/>
    <w:rsid w:val="00237E7C"/>
    <w:rsid w:val="00252A7E"/>
    <w:rsid w:val="002563D9"/>
    <w:rsid w:val="00272427"/>
    <w:rsid w:val="002B32EE"/>
    <w:rsid w:val="002C00F9"/>
    <w:rsid w:val="002D14B6"/>
    <w:rsid w:val="002D2241"/>
    <w:rsid w:val="002E1870"/>
    <w:rsid w:val="002F36DD"/>
    <w:rsid w:val="00324D55"/>
    <w:rsid w:val="0033286C"/>
    <w:rsid w:val="0033345A"/>
    <w:rsid w:val="00341C1B"/>
    <w:rsid w:val="00345A0F"/>
    <w:rsid w:val="00353F49"/>
    <w:rsid w:val="00374069"/>
    <w:rsid w:val="0038539B"/>
    <w:rsid w:val="00386521"/>
    <w:rsid w:val="00386582"/>
    <w:rsid w:val="00386D38"/>
    <w:rsid w:val="003A37FD"/>
    <w:rsid w:val="003B2474"/>
    <w:rsid w:val="003F21D4"/>
    <w:rsid w:val="00436142"/>
    <w:rsid w:val="00466056"/>
    <w:rsid w:val="00493345"/>
    <w:rsid w:val="004B2317"/>
    <w:rsid w:val="004B6563"/>
    <w:rsid w:val="00504FA5"/>
    <w:rsid w:val="00517F12"/>
    <w:rsid w:val="005219FA"/>
    <w:rsid w:val="00527CB5"/>
    <w:rsid w:val="00531E4D"/>
    <w:rsid w:val="00542845"/>
    <w:rsid w:val="005A61E0"/>
    <w:rsid w:val="005C0399"/>
    <w:rsid w:val="005D3A75"/>
    <w:rsid w:val="00634527"/>
    <w:rsid w:val="006829E2"/>
    <w:rsid w:val="006B0583"/>
    <w:rsid w:val="006B5549"/>
    <w:rsid w:val="006C08C0"/>
    <w:rsid w:val="006F3ED8"/>
    <w:rsid w:val="00740314"/>
    <w:rsid w:val="0074126B"/>
    <w:rsid w:val="00741931"/>
    <w:rsid w:val="00781CD1"/>
    <w:rsid w:val="007A1F91"/>
    <w:rsid w:val="007B3CA7"/>
    <w:rsid w:val="007C4628"/>
    <w:rsid w:val="007D4963"/>
    <w:rsid w:val="007E2748"/>
    <w:rsid w:val="0083403B"/>
    <w:rsid w:val="008457BB"/>
    <w:rsid w:val="00867D30"/>
    <w:rsid w:val="00867F87"/>
    <w:rsid w:val="008D5474"/>
    <w:rsid w:val="008E31B9"/>
    <w:rsid w:val="008F0D04"/>
    <w:rsid w:val="008F49D2"/>
    <w:rsid w:val="00907D9F"/>
    <w:rsid w:val="009164F2"/>
    <w:rsid w:val="00920009"/>
    <w:rsid w:val="00935023"/>
    <w:rsid w:val="009533B5"/>
    <w:rsid w:val="00974605"/>
    <w:rsid w:val="00976E59"/>
    <w:rsid w:val="009A143D"/>
    <w:rsid w:val="009F43DF"/>
    <w:rsid w:val="00A439C8"/>
    <w:rsid w:val="00A6342C"/>
    <w:rsid w:val="00A63DA6"/>
    <w:rsid w:val="00A713D4"/>
    <w:rsid w:val="00AC3E91"/>
    <w:rsid w:val="00AE6751"/>
    <w:rsid w:val="00B065BF"/>
    <w:rsid w:val="00B06DE7"/>
    <w:rsid w:val="00B42BB4"/>
    <w:rsid w:val="00B63618"/>
    <w:rsid w:val="00B77DAE"/>
    <w:rsid w:val="00B92728"/>
    <w:rsid w:val="00BA71DC"/>
    <w:rsid w:val="00BD2AE7"/>
    <w:rsid w:val="00BE0E8E"/>
    <w:rsid w:val="00BE1196"/>
    <w:rsid w:val="00BE226F"/>
    <w:rsid w:val="00BF308C"/>
    <w:rsid w:val="00C24251"/>
    <w:rsid w:val="00C4279C"/>
    <w:rsid w:val="00C55EE5"/>
    <w:rsid w:val="00CA01A3"/>
    <w:rsid w:val="00CA0DA9"/>
    <w:rsid w:val="00CB4B87"/>
    <w:rsid w:val="00CB506D"/>
    <w:rsid w:val="00D171CB"/>
    <w:rsid w:val="00D32C9A"/>
    <w:rsid w:val="00D337CC"/>
    <w:rsid w:val="00D41B8F"/>
    <w:rsid w:val="00D556A2"/>
    <w:rsid w:val="00D57D55"/>
    <w:rsid w:val="00D65D87"/>
    <w:rsid w:val="00D908B5"/>
    <w:rsid w:val="00D91C7F"/>
    <w:rsid w:val="00DC53EE"/>
    <w:rsid w:val="00DE1831"/>
    <w:rsid w:val="00E04D96"/>
    <w:rsid w:val="00E059F3"/>
    <w:rsid w:val="00E2350E"/>
    <w:rsid w:val="00E51DAF"/>
    <w:rsid w:val="00E62C5C"/>
    <w:rsid w:val="00E772C1"/>
    <w:rsid w:val="00E80D80"/>
    <w:rsid w:val="00E949AB"/>
    <w:rsid w:val="00EA616C"/>
    <w:rsid w:val="00EC2394"/>
    <w:rsid w:val="00ED66BA"/>
    <w:rsid w:val="00F0748E"/>
    <w:rsid w:val="00F1261C"/>
    <w:rsid w:val="00F411B1"/>
    <w:rsid w:val="00F8401C"/>
    <w:rsid w:val="00FA591D"/>
    <w:rsid w:val="00FC1CB3"/>
    <w:rsid w:val="00FD1B1D"/>
    <w:rsid w:val="00FE552F"/>
    <w:rsid w:val="00FF1475"/>
    <w:rsid w:val="2851309C"/>
    <w:rsid w:val="2C6976DD"/>
    <w:rsid w:val="321A5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B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C1CB3"/>
    <w:pPr>
      <w:tabs>
        <w:tab w:val="center" w:pos="4153"/>
        <w:tab w:val="right" w:pos="8306"/>
      </w:tabs>
      <w:snapToGrid w:val="0"/>
      <w:jc w:val="left"/>
    </w:pPr>
    <w:rPr>
      <w:rFonts w:ascii="Calibri" w:hAnsi="Calibri" w:cs="Calibri"/>
      <w:sz w:val="18"/>
      <w:szCs w:val="18"/>
    </w:rPr>
  </w:style>
  <w:style w:type="paragraph" w:styleId="a4">
    <w:name w:val="header"/>
    <w:basedOn w:val="a"/>
    <w:link w:val="Char0"/>
    <w:uiPriority w:val="99"/>
    <w:semiHidden/>
    <w:qFormat/>
    <w:rsid w:val="00FC1CB3"/>
    <w:pPr>
      <w:pBdr>
        <w:bottom w:val="single" w:sz="6" w:space="1" w:color="auto"/>
      </w:pBdr>
      <w:tabs>
        <w:tab w:val="center" w:pos="4153"/>
        <w:tab w:val="right" w:pos="8306"/>
      </w:tabs>
      <w:snapToGrid w:val="0"/>
      <w:jc w:val="center"/>
    </w:pPr>
    <w:rPr>
      <w:rFonts w:ascii="Calibri" w:hAnsi="Calibri" w:cs="Calibri"/>
      <w:sz w:val="18"/>
      <w:szCs w:val="18"/>
    </w:rPr>
  </w:style>
  <w:style w:type="character" w:styleId="a5">
    <w:name w:val="page number"/>
    <w:basedOn w:val="a0"/>
    <w:uiPriority w:val="99"/>
    <w:qFormat/>
    <w:rsid w:val="00FC1CB3"/>
  </w:style>
  <w:style w:type="character" w:customStyle="1" w:styleId="Char0">
    <w:name w:val="页眉 Char"/>
    <w:basedOn w:val="a0"/>
    <w:link w:val="a4"/>
    <w:uiPriority w:val="99"/>
    <w:semiHidden/>
    <w:qFormat/>
    <w:locked/>
    <w:rsid w:val="00FC1CB3"/>
    <w:rPr>
      <w:sz w:val="18"/>
      <w:szCs w:val="18"/>
    </w:rPr>
  </w:style>
  <w:style w:type="character" w:customStyle="1" w:styleId="Char">
    <w:name w:val="页脚 Char"/>
    <w:basedOn w:val="a0"/>
    <w:link w:val="a3"/>
    <w:uiPriority w:val="99"/>
    <w:semiHidden/>
    <w:qFormat/>
    <w:locked/>
    <w:rsid w:val="00FC1C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691</Words>
  <Characters>3944</Characters>
  <Application>Microsoft Office Word</Application>
  <DocSecurity>0</DocSecurity>
  <Lines>32</Lines>
  <Paragraphs>9</Paragraphs>
  <ScaleCrop>false</ScaleCrop>
  <Company>P R C</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沈洋</dc:creator>
  <cp:lastModifiedBy>陈捷</cp:lastModifiedBy>
  <cp:revision>9</cp:revision>
  <cp:lastPrinted>2019-04-10T07:56:00Z</cp:lastPrinted>
  <dcterms:created xsi:type="dcterms:W3CDTF">2019-06-24T10:22:00Z</dcterms:created>
  <dcterms:modified xsi:type="dcterms:W3CDTF">2019-07-29T11:02:00Z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