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eastAsia="方正小标宋简体"/>
          <w:color w:val="000000"/>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关于盐田区20</w:t>
      </w:r>
      <w:r>
        <w:rPr>
          <w:rFonts w:hint="eastAsia" w:ascii="方正小标宋简体" w:eastAsia="方正小标宋简体"/>
          <w:color w:val="000000"/>
          <w:sz w:val="44"/>
          <w:szCs w:val="44"/>
          <w:lang w:val="en-US" w:eastAsia="zh-CN"/>
        </w:rPr>
        <w:t>20</w:t>
      </w:r>
      <w:r>
        <w:rPr>
          <w:rFonts w:hint="eastAsia" w:ascii="方正小标宋简体" w:eastAsia="方正小标宋简体"/>
          <w:color w:val="000000"/>
          <w:sz w:val="44"/>
          <w:szCs w:val="44"/>
        </w:rPr>
        <w:t>年财政决算的报</w:t>
      </w:r>
      <w:r>
        <w:rPr>
          <w:rFonts w:hint="eastAsia" w:ascii="方正小标宋简体" w:eastAsia="方正小标宋简体"/>
          <w:color w:val="000000"/>
          <w:sz w:val="44"/>
          <w:szCs w:val="44"/>
          <w:lang w:eastAsia="zh-CN"/>
        </w:rPr>
        <w:t>告</w:t>
      </w:r>
    </w:p>
    <w:p>
      <w:pPr>
        <w:keepNext w:val="0"/>
        <w:keepLines w:val="0"/>
        <w:pageBreakBefore w:val="0"/>
        <w:kinsoku/>
        <w:overflowPunct/>
        <w:topLinePunct w:val="0"/>
        <w:bidi w:val="0"/>
        <w:spacing w:beforeAutospacing="0" w:afterAutospacing="0" w:line="560" w:lineRule="exact"/>
        <w:jc w:val="center"/>
        <w:textAlignment w:val="auto"/>
        <w:rPr>
          <w:rFonts w:hint="eastAsia" w:ascii="楷体_GB2312" w:hAnsi="宋体" w:eastAsia="楷体_GB2312" w:cs="宋体"/>
          <w:sz w:val="32"/>
          <w:szCs w:val="20"/>
          <w:highlight w:val="none"/>
        </w:rPr>
      </w:pPr>
      <w:r>
        <w:rPr>
          <w:rFonts w:hint="eastAsia" w:ascii="楷体_GB2312" w:hAnsi="宋体" w:eastAsia="楷体_GB2312" w:cs="宋体"/>
          <w:sz w:val="32"/>
          <w:szCs w:val="20"/>
        </w:rPr>
        <w:t>——20</w:t>
      </w:r>
      <w:r>
        <w:rPr>
          <w:rFonts w:hint="eastAsia" w:ascii="楷体_GB2312" w:hAnsi="宋体" w:eastAsia="楷体_GB2312" w:cs="宋体"/>
          <w:sz w:val="32"/>
          <w:szCs w:val="20"/>
          <w:lang w:val="en-US" w:eastAsia="zh-CN"/>
        </w:rPr>
        <w:t>21</w:t>
      </w:r>
      <w:r>
        <w:rPr>
          <w:rFonts w:hint="eastAsia" w:ascii="楷体_GB2312" w:hAnsi="宋体" w:eastAsia="楷体_GB2312" w:cs="宋体"/>
          <w:sz w:val="32"/>
          <w:szCs w:val="20"/>
          <w:highlight w:val="none"/>
        </w:rPr>
        <w:t>年</w:t>
      </w:r>
      <w:r>
        <w:rPr>
          <w:rFonts w:hint="eastAsia" w:ascii="楷体_GB2312" w:hAnsi="宋体" w:eastAsia="楷体_GB2312" w:cs="宋体"/>
          <w:sz w:val="32"/>
          <w:szCs w:val="20"/>
          <w:highlight w:val="none"/>
          <w:lang w:val="en-US" w:eastAsia="zh-CN"/>
        </w:rPr>
        <w:t>11</w:t>
      </w:r>
      <w:r>
        <w:rPr>
          <w:rFonts w:hint="eastAsia" w:ascii="楷体_GB2312" w:hAnsi="宋体" w:eastAsia="楷体_GB2312" w:cs="宋体"/>
          <w:sz w:val="32"/>
          <w:szCs w:val="20"/>
          <w:highlight w:val="none"/>
        </w:rPr>
        <w:t>月</w:t>
      </w:r>
      <w:r>
        <w:rPr>
          <w:rFonts w:hint="eastAsia" w:ascii="楷体_GB2312" w:hAnsi="宋体" w:eastAsia="楷体_GB2312" w:cs="宋体"/>
          <w:sz w:val="32"/>
          <w:szCs w:val="20"/>
          <w:highlight w:val="none"/>
          <w:lang w:val="en-US" w:eastAsia="zh-CN"/>
        </w:rPr>
        <w:t>30</w:t>
      </w:r>
      <w:r>
        <w:rPr>
          <w:rFonts w:hint="eastAsia" w:ascii="楷体_GB2312" w:hAnsi="宋体" w:eastAsia="楷体_GB2312" w:cs="宋体"/>
          <w:sz w:val="32"/>
          <w:szCs w:val="20"/>
          <w:highlight w:val="none"/>
        </w:rPr>
        <w:t>日在盐田区第</w:t>
      </w:r>
      <w:r>
        <w:rPr>
          <w:rFonts w:hint="eastAsia" w:ascii="楷体_GB2312" w:hAnsi="宋体" w:eastAsia="楷体_GB2312" w:cs="宋体"/>
          <w:sz w:val="32"/>
          <w:szCs w:val="20"/>
          <w:highlight w:val="none"/>
          <w:lang w:eastAsia="zh-CN"/>
        </w:rPr>
        <w:t>六</w:t>
      </w:r>
      <w:r>
        <w:rPr>
          <w:rFonts w:hint="eastAsia" w:ascii="楷体_GB2312" w:hAnsi="宋体" w:eastAsia="楷体_GB2312" w:cs="宋体"/>
          <w:sz w:val="32"/>
          <w:szCs w:val="20"/>
          <w:highlight w:val="none"/>
        </w:rPr>
        <w:t>届人民</w:t>
      </w:r>
    </w:p>
    <w:p>
      <w:pPr>
        <w:keepNext w:val="0"/>
        <w:keepLines w:val="0"/>
        <w:pageBreakBefore w:val="0"/>
        <w:kinsoku/>
        <w:overflowPunct/>
        <w:topLinePunct w:val="0"/>
        <w:bidi w:val="0"/>
        <w:spacing w:beforeAutospacing="0" w:afterAutospacing="0" w:line="560" w:lineRule="exact"/>
        <w:jc w:val="center"/>
        <w:textAlignment w:val="auto"/>
        <w:rPr>
          <w:rFonts w:ascii="楷体_GB2312" w:hAnsi="宋体" w:eastAsia="楷体_GB2312" w:cs="宋体"/>
          <w:sz w:val="32"/>
          <w:szCs w:val="20"/>
        </w:rPr>
      </w:pPr>
      <w:r>
        <w:rPr>
          <w:rFonts w:hint="eastAsia" w:ascii="楷体_GB2312" w:hAnsi="宋体" w:eastAsia="楷体_GB2312" w:cs="宋体"/>
          <w:sz w:val="32"/>
          <w:szCs w:val="20"/>
          <w:highlight w:val="none"/>
        </w:rPr>
        <w:t>代表大会常务委员会第</w:t>
      </w:r>
      <w:r>
        <w:rPr>
          <w:rFonts w:hint="eastAsia" w:ascii="楷体_GB2312" w:hAnsi="宋体" w:eastAsia="楷体_GB2312" w:cs="宋体"/>
          <w:sz w:val="32"/>
          <w:szCs w:val="20"/>
          <w:highlight w:val="none"/>
          <w:lang w:val="en-US" w:eastAsia="zh-CN"/>
        </w:rPr>
        <w:t>一</w:t>
      </w:r>
      <w:r>
        <w:rPr>
          <w:rFonts w:hint="eastAsia" w:ascii="楷体_GB2312" w:hAnsi="宋体" w:eastAsia="楷体_GB2312" w:cs="宋体"/>
          <w:sz w:val="32"/>
          <w:szCs w:val="20"/>
          <w:highlight w:val="none"/>
        </w:rPr>
        <w:t>次会</w:t>
      </w:r>
      <w:r>
        <w:rPr>
          <w:rFonts w:hint="eastAsia" w:ascii="楷体_GB2312" w:hAnsi="宋体" w:eastAsia="楷体_GB2312" w:cs="宋体"/>
          <w:sz w:val="32"/>
          <w:szCs w:val="20"/>
        </w:rPr>
        <w:t>议上</w:t>
      </w:r>
    </w:p>
    <w:p>
      <w:pPr>
        <w:keepNext w:val="0"/>
        <w:keepLines w:val="0"/>
        <w:pageBreakBefore w:val="0"/>
        <w:widowControl/>
        <w:shd w:val="clear" w:color="auto" w:fill="FFFFFF"/>
        <w:kinsoku/>
        <w:overflowPunct/>
        <w:topLinePunct w:val="0"/>
        <w:bidi w:val="0"/>
        <w:adjustRightInd w:val="0"/>
        <w:snapToGrid w:val="0"/>
        <w:spacing w:beforeAutospacing="0" w:afterAutospacing="0" w:line="560" w:lineRule="exact"/>
        <w:jc w:val="center"/>
        <w:textAlignment w:val="auto"/>
        <w:rPr>
          <w:rFonts w:hint="eastAsia" w:ascii="楷体_GB2312" w:hAnsi="宋体" w:eastAsia="楷体_GB2312" w:cs="宋体"/>
          <w:sz w:val="32"/>
          <w:szCs w:val="20"/>
          <w:lang w:val="en-US" w:eastAsia="zh-CN"/>
        </w:rPr>
      </w:pPr>
      <w:r>
        <w:rPr>
          <w:rFonts w:hint="eastAsia" w:ascii="楷体_GB2312" w:hAnsi="宋体" w:eastAsia="楷体_GB2312" w:cs="宋体"/>
          <w:sz w:val="32"/>
          <w:szCs w:val="20"/>
          <w:lang w:eastAsia="zh-CN"/>
        </w:rPr>
        <w:t>盐田</w:t>
      </w:r>
      <w:r>
        <w:rPr>
          <w:rFonts w:hint="eastAsia" w:ascii="楷体_GB2312" w:hAnsi="宋体" w:eastAsia="楷体_GB2312" w:cs="宋体"/>
          <w:sz w:val="32"/>
          <w:szCs w:val="20"/>
        </w:rPr>
        <w:t>区财政局</w:t>
      </w:r>
      <w:r>
        <w:rPr>
          <w:rFonts w:hint="eastAsia" w:ascii="楷体_GB2312" w:hAnsi="宋体" w:eastAsia="楷体_GB2312" w:cs="宋体"/>
          <w:sz w:val="32"/>
          <w:szCs w:val="20"/>
          <w:lang w:eastAsia="zh-CN"/>
        </w:rPr>
        <w:t>局长</w:t>
      </w:r>
      <w:r>
        <w:rPr>
          <w:rFonts w:hint="eastAsia" w:ascii="楷体_GB2312" w:hAnsi="宋体" w:eastAsia="楷体_GB2312" w:cs="宋体"/>
          <w:sz w:val="32"/>
          <w:szCs w:val="20"/>
          <w:lang w:val="en-US" w:eastAsia="zh-CN"/>
        </w:rPr>
        <w:t xml:space="preserve"> 李丽蓉</w:t>
      </w:r>
    </w:p>
    <w:p>
      <w:pPr>
        <w:keepNext w:val="0"/>
        <w:keepLines w:val="0"/>
        <w:pageBreakBefore w:val="0"/>
        <w:widowControl/>
        <w:shd w:val="clear" w:color="auto" w:fill="FFFFFF"/>
        <w:kinsoku/>
        <w:overflowPunct/>
        <w:topLinePunct w:val="0"/>
        <w:bidi w:val="0"/>
        <w:adjustRightInd w:val="0"/>
        <w:snapToGrid w:val="0"/>
        <w:spacing w:beforeAutospacing="0" w:afterAutospacing="0" w:line="560" w:lineRule="exact"/>
        <w:jc w:val="center"/>
        <w:textAlignment w:val="auto"/>
        <w:rPr>
          <w:rFonts w:hint="eastAsia" w:ascii="楷体_GB2312" w:hAnsi="宋体" w:eastAsia="楷体_GB2312" w:cs="宋体"/>
          <w:sz w:val="32"/>
          <w:szCs w:val="20"/>
          <w:lang w:eastAsia="zh-CN"/>
        </w:rPr>
      </w:pPr>
    </w:p>
    <w:p>
      <w:pPr>
        <w:keepNext w:val="0"/>
        <w:keepLines w:val="0"/>
        <w:pageBreakBefore w:val="0"/>
        <w:kinsoku/>
        <w:overflowPunct/>
        <w:topLinePunct w:val="0"/>
        <w:bidi w:val="0"/>
        <w:spacing w:beforeAutospacing="0" w:afterAutospacing="0" w:line="560" w:lineRule="exact"/>
        <w:textAlignment w:val="auto"/>
        <w:rPr>
          <w:rFonts w:ascii="仿宋_GB2312" w:eastAsia="仿宋_GB2312"/>
          <w:sz w:val="32"/>
          <w:szCs w:val="32"/>
        </w:rPr>
      </w:pPr>
      <w:r>
        <w:rPr>
          <w:rFonts w:hint="eastAsia" w:ascii="仿宋_GB2312" w:eastAsia="仿宋_GB2312"/>
          <w:sz w:val="32"/>
          <w:szCs w:val="32"/>
        </w:rPr>
        <w:t>主任、各位副主任</w:t>
      </w:r>
      <w:r>
        <w:rPr>
          <w:rFonts w:hint="eastAsia" w:ascii="仿宋_GB2312" w:eastAsia="仿宋_GB2312"/>
          <w:sz w:val="32"/>
          <w:szCs w:val="32"/>
          <w:lang w:eastAsia="zh-CN"/>
        </w:rPr>
        <w:t>、</w:t>
      </w:r>
      <w:r>
        <w:rPr>
          <w:rFonts w:hint="eastAsia" w:ascii="仿宋_GB2312" w:eastAsia="仿宋_GB2312"/>
          <w:sz w:val="32"/>
          <w:szCs w:val="32"/>
        </w:rPr>
        <w:t>各位委员：</w:t>
      </w:r>
    </w:p>
    <w:p>
      <w:pPr>
        <w:keepNext w:val="0"/>
        <w:keepLines w:val="0"/>
        <w:pageBreakBefore w:val="0"/>
        <w:kinsoku/>
        <w:overflowPunct/>
        <w:topLinePunct w:val="0"/>
        <w:bidi w:val="0"/>
        <w:spacing w:beforeAutospacing="0" w:afterAutospacing="0" w:line="560" w:lineRule="exact"/>
        <w:textAlignment w:val="auto"/>
        <w:rPr>
          <w:rFonts w:hint="eastAsia" w:ascii="仿宋_GB2312" w:eastAsia="仿宋_GB2312"/>
          <w:sz w:val="32"/>
          <w:szCs w:val="32"/>
          <w:lang w:eastAsia="zh-CN"/>
        </w:rPr>
      </w:pPr>
      <w:r>
        <w:rPr>
          <w:rFonts w:hint="eastAsia" w:ascii="仿宋_GB2312" w:eastAsia="仿宋_GB2312"/>
          <w:sz w:val="32"/>
          <w:szCs w:val="32"/>
        </w:rPr>
        <w:t>　　受区政府委托，我向区人大常委会报告我区20</w:t>
      </w:r>
      <w:r>
        <w:rPr>
          <w:rFonts w:hint="eastAsia" w:ascii="仿宋_GB2312" w:eastAsia="仿宋_GB2312"/>
          <w:sz w:val="32"/>
          <w:szCs w:val="32"/>
          <w:lang w:val="en-US" w:eastAsia="zh-CN"/>
        </w:rPr>
        <w:t>20</w:t>
      </w:r>
      <w:r>
        <w:rPr>
          <w:rFonts w:hint="eastAsia" w:ascii="仿宋_GB2312" w:eastAsia="仿宋_GB2312"/>
          <w:sz w:val="32"/>
          <w:szCs w:val="32"/>
        </w:rPr>
        <w:t>年度财政决算（草案）情况，请予审议。</w:t>
      </w:r>
    </w:p>
    <w:p>
      <w:pPr>
        <w:keepNext w:val="0"/>
        <w:keepLines w:val="0"/>
        <w:pageBreakBefore w:val="0"/>
        <w:kinsoku/>
        <w:wordWrap/>
        <w:overflowPunct/>
        <w:topLinePunct w:val="0"/>
        <w:autoSpaceDE/>
        <w:autoSpaceDN/>
        <w:bidi w:val="0"/>
        <w:adjustRightInd/>
        <w:spacing w:beforeAutospacing="0" w:afterAutospacing="0" w:line="560" w:lineRule="exact"/>
        <w:jc w:val="both"/>
        <w:textAlignment w:val="auto"/>
        <w:rPr>
          <w:rFonts w:ascii="仿宋_GB2312" w:hAnsi="微软雅黑" w:eastAsia="仿宋_GB2312" w:cs="Helvetica"/>
          <w:color w:val="000000"/>
          <w:sz w:val="32"/>
          <w:szCs w:val="32"/>
          <w:highlight w:val="none"/>
        </w:rPr>
      </w:pPr>
      <w:r>
        <w:rPr>
          <w:rFonts w:hint="eastAsia" w:ascii="仿宋_GB2312" w:eastAsia="仿宋_GB2312"/>
          <w:sz w:val="32"/>
          <w:szCs w:val="32"/>
        </w:rPr>
        <w:t>　　2020年，面对突如其来的新冠肺炎疫情和严峻复杂的国内外形势，全区坚持以习近平新时代中国特色社会主义思想为指导，</w:t>
      </w:r>
      <w:r>
        <w:rPr>
          <w:rFonts w:hint="eastAsia" w:ascii="仿宋_GB2312" w:eastAsia="仿宋_GB2312"/>
          <w:sz w:val="32"/>
          <w:szCs w:val="32"/>
          <w:lang w:eastAsia="zh-CN"/>
        </w:rPr>
        <w:t>全面贯彻</w:t>
      </w:r>
      <w:r>
        <w:rPr>
          <w:rFonts w:hint="eastAsia" w:ascii="仿宋_GB2312" w:eastAsia="仿宋_GB2312"/>
          <w:sz w:val="32"/>
          <w:szCs w:val="32"/>
        </w:rPr>
        <w:t>党的十九大和十九届二中、三中、四中、五中全会和中央经济工作会议精神，</w:t>
      </w:r>
      <w:r>
        <w:rPr>
          <w:rFonts w:hint="eastAsia" w:ascii="仿宋_GB2312" w:eastAsia="仿宋_GB2312"/>
          <w:sz w:val="32"/>
          <w:szCs w:val="32"/>
          <w:lang w:eastAsia="zh-CN"/>
        </w:rPr>
        <w:t>深入</w:t>
      </w:r>
      <w:r>
        <w:rPr>
          <w:rFonts w:hint="eastAsia" w:ascii="仿宋_GB2312" w:eastAsia="仿宋_GB2312"/>
          <w:sz w:val="32"/>
          <w:szCs w:val="32"/>
        </w:rPr>
        <w:t>贯彻习近平总书记</w:t>
      </w:r>
      <w:r>
        <w:rPr>
          <w:rFonts w:hint="eastAsia" w:ascii="仿宋_GB2312" w:eastAsia="仿宋_GB2312"/>
          <w:sz w:val="32"/>
          <w:szCs w:val="32"/>
          <w:lang w:eastAsia="zh-CN"/>
        </w:rPr>
        <w:t>对</w:t>
      </w:r>
      <w:r>
        <w:rPr>
          <w:rFonts w:hint="eastAsia" w:ascii="仿宋_GB2312" w:eastAsia="仿宋_GB2312"/>
          <w:sz w:val="32"/>
          <w:szCs w:val="32"/>
        </w:rPr>
        <w:t>广东、深圳</w:t>
      </w:r>
      <w:r>
        <w:rPr>
          <w:rFonts w:hint="eastAsia" w:ascii="仿宋_GB2312" w:eastAsia="仿宋_GB2312"/>
          <w:sz w:val="32"/>
          <w:szCs w:val="32"/>
          <w:lang w:eastAsia="zh-CN"/>
        </w:rPr>
        <w:t>系列</w:t>
      </w:r>
      <w:r>
        <w:rPr>
          <w:rFonts w:hint="eastAsia" w:ascii="仿宋_GB2312" w:eastAsia="仿宋_GB2312"/>
          <w:sz w:val="32"/>
          <w:szCs w:val="32"/>
        </w:rPr>
        <w:t>重要讲话和重要指示批示精神，严格执行区第五届人民代表大会第</w:t>
      </w:r>
      <w:r>
        <w:rPr>
          <w:rFonts w:hint="eastAsia" w:ascii="仿宋_GB2312" w:eastAsia="仿宋_GB2312"/>
          <w:sz w:val="32"/>
          <w:szCs w:val="32"/>
          <w:lang w:eastAsia="zh-CN"/>
        </w:rPr>
        <w:t>六</w:t>
      </w:r>
      <w:r>
        <w:rPr>
          <w:rFonts w:hint="eastAsia" w:ascii="仿宋_GB2312" w:eastAsia="仿宋_GB2312"/>
          <w:sz w:val="32"/>
          <w:szCs w:val="32"/>
        </w:rPr>
        <w:t>次会议审查批准的预算，统筹推进疫情防控和经济社会发展，扎实做好</w:t>
      </w:r>
      <w:r>
        <w:rPr>
          <w:rFonts w:hint="eastAsia" w:ascii="仿宋_GB2312" w:eastAsia="仿宋_GB2312"/>
          <w:sz w:val="32"/>
          <w:szCs w:val="32"/>
          <w:lang w:eastAsia="zh-CN"/>
        </w:rPr>
        <w:t>各项工作。</w:t>
      </w:r>
      <w:r>
        <w:rPr>
          <w:rFonts w:hint="eastAsia" w:ascii="仿宋_GB2312" w:eastAsia="仿宋_GB2312"/>
          <w:sz w:val="32"/>
          <w:szCs w:val="32"/>
        </w:rPr>
        <w:t>财政部门在全力保障重点领域支出的同时，挖掘增收节支潜力，保持</w:t>
      </w:r>
      <w:r>
        <w:rPr>
          <w:rFonts w:hint="eastAsia" w:ascii="仿宋_GB2312" w:eastAsia="仿宋_GB2312"/>
          <w:sz w:val="32"/>
          <w:szCs w:val="32"/>
          <w:highlight w:val="none"/>
        </w:rPr>
        <w:t>预算平衡和财政稳定运行</w:t>
      </w:r>
      <w:r>
        <w:rPr>
          <w:rFonts w:hint="eastAsia" w:ascii="仿宋_GB2312" w:eastAsia="仿宋_GB2312"/>
          <w:sz w:val="32"/>
          <w:szCs w:val="32"/>
          <w:highlight w:val="none"/>
          <w:lang w:eastAsia="zh-CN"/>
        </w:rPr>
        <w:t>，全年</w:t>
      </w:r>
      <w:r>
        <w:rPr>
          <w:rFonts w:hint="eastAsia" w:ascii="仿宋_GB2312" w:eastAsia="仿宋_GB2312"/>
          <w:sz w:val="32"/>
          <w:szCs w:val="32"/>
          <w:highlight w:val="none"/>
        </w:rPr>
        <w:t>决算情况总体较好。根据预算法有关规定，重点报告以下情况：</w:t>
      </w:r>
    </w:p>
    <w:p>
      <w:pPr>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黑体" w:hAnsi="微软雅黑" w:eastAsia="黑体" w:cs="宋体"/>
          <w:color w:val="000000"/>
          <w:kern w:val="0"/>
          <w:sz w:val="32"/>
          <w:szCs w:val="32"/>
        </w:rPr>
        <w:t>一、2020年一般公共预算收支决算情况</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楷体_GB2312" w:hAnsi="微软雅黑" w:eastAsia="楷体_GB2312" w:cs="宋体"/>
          <w:color w:val="000000"/>
          <w:kern w:val="0"/>
          <w:sz w:val="32"/>
          <w:szCs w:val="32"/>
        </w:rPr>
        <w:t>（一）</w:t>
      </w:r>
      <w:r>
        <w:rPr>
          <w:rFonts w:hint="eastAsia" w:ascii="楷体_GB2312" w:hAnsi="楷体" w:eastAsia="楷体_GB2312"/>
          <w:bCs/>
          <w:sz w:val="32"/>
          <w:szCs w:val="32"/>
        </w:rPr>
        <w:t>收支平衡情况。</w:t>
      </w:r>
    </w:p>
    <w:p>
      <w:pPr>
        <w:pStyle w:val="21"/>
        <w:keepNext w:val="0"/>
        <w:keepLines w:val="0"/>
        <w:pageBreakBefore w:val="0"/>
        <w:widowControl w:val="0"/>
        <w:kinsoku/>
        <w:wordWrap/>
        <w:overflowPunct/>
        <w:topLinePunct w:val="0"/>
        <w:bidi w:val="0"/>
        <w:adjustRightInd/>
        <w:snapToGrid w:val="0"/>
        <w:spacing w:beforeAutospacing="0" w:afterAutospacing="0" w:line="560" w:lineRule="exact"/>
        <w:ind w:firstLine="640" w:firstLineChars="200"/>
        <w:jc w:val="both"/>
        <w:textAlignment w:val="auto"/>
        <w:rPr>
          <w:rFonts w:ascii="楷体_GB2312" w:hAnsi="微软雅黑" w:eastAsia="楷体_GB2312"/>
          <w:sz w:val="32"/>
          <w:szCs w:val="32"/>
        </w:rPr>
      </w:pPr>
      <w:r>
        <w:rPr>
          <w:rFonts w:hint="eastAsia" w:ascii="仿宋_GB2312" w:hAnsi="微软雅黑" w:eastAsia="仿宋_GB2312"/>
          <w:color w:val="000000"/>
          <w:sz w:val="32"/>
          <w:szCs w:val="32"/>
        </w:rPr>
        <w:t>2020年，区级一般公共预算收入实现339,440万元，增长5.1%，</w:t>
      </w:r>
      <w:r>
        <w:rPr>
          <w:rFonts w:hint="eastAsia" w:ascii="仿宋_GB2312" w:eastAsia="仿宋_GB2312" w:cs="仿宋_GB2312"/>
          <w:sz w:val="32"/>
          <w:szCs w:val="32"/>
        </w:rPr>
        <w:t>加上各项转移性收入40</w:t>
      </w:r>
      <w:r>
        <w:rPr>
          <w:rFonts w:hint="eastAsia" w:ascii="仿宋_GB2312" w:eastAsia="仿宋_GB2312" w:cs="仿宋_GB2312"/>
          <w:sz w:val="32"/>
          <w:szCs w:val="32"/>
          <w:lang w:val="en-US" w:eastAsia="zh-CN"/>
        </w:rPr>
        <w:t>3</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554</w:t>
      </w:r>
      <w:r>
        <w:rPr>
          <w:rFonts w:hint="eastAsia" w:ascii="仿宋_GB2312" w:eastAsia="仿宋_GB2312" w:cs="仿宋_GB2312"/>
          <w:sz w:val="32"/>
          <w:szCs w:val="32"/>
        </w:rPr>
        <w:t>万元，</w:t>
      </w:r>
      <w:r>
        <w:rPr>
          <w:rFonts w:hint="eastAsia" w:ascii="仿宋_GB2312" w:hAnsi="微软雅黑" w:eastAsia="仿宋_GB2312"/>
          <w:sz w:val="32"/>
          <w:szCs w:val="32"/>
        </w:rPr>
        <w:t>总收入74</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994</w:t>
      </w:r>
      <w:r>
        <w:rPr>
          <w:rFonts w:hint="eastAsia" w:ascii="仿宋_GB2312" w:hAnsi="微软雅黑" w:eastAsia="仿宋_GB2312"/>
          <w:sz w:val="32"/>
          <w:szCs w:val="32"/>
        </w:rPr>
        <w:t>万元。区级一般公共预算支出597,440万元，下降12.2%，</w:t>
      </w:r>
      <w:r>
        <w:rPr>
          <w:rFonts w:hint="eastAsia" w:ascii="仿宋_GB2312" w:hAnsi="宋体" w:eastAsia="仿宋_GB2312"/>
          <w:sz w:val="32"/>
          <w:szCs w:val="32"/>
        </w:rPr>
        <w:t>加上转移性支出14</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339</w:t>
      </w:r>
      <w:r>
        <w:rPr>
          <w:rFonts w:hint="eastAsia" w:ascii="仿宋_GB2312" w:hAnsi="宋体" w:eastAsia="仿宋_GB2312"/>
          <w:sz w:val="32"/>
          <w:szCs w:val="32"/>
        </w:rPr>
        <w:t>万元</w:t>
      </w:r>
      <w:r>
        <w:rPr>
          <w:rFonts w:hint="eastAsia" w:ascii="仿宋_GB2312" w:eastAsia="仿宋_GB2312" w:cs="仿宋_GB2312"/>
          <w:sz w:val="32"/>
          <w:szCs w:val="32"/>
        </w:rPr>
        <w:t>，总支出</w:t>
      </w:r>
      <w:r>
        <w:rPr>
          <w:rFonts w:hint="eastAsia" w:ascii="仿宋_GB2312" w:hAnsi="微软雅黑" w:eastAsia="仿宋_GB2312"/>
          <w:sz w:val="32"/>
          <w:szCs w:val="32"/>
        </w:rPr>
        <w:t>74</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779</w:t>
      </w:r>
      <w:r>
        <w:rPr>
          <w:rFonts w:hint="eastAsia" w:ascii="仿宋_GB2312" w:hAnsi="微软雅黑"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总收支相抵后，结转结余</w:t>
      </w:r>
      <w:r>
        <w:rPr>
          <w:rFonts w:hint="eastAsia" w:ascii="仿宋_GB2312" w:hAnsi="微软雅黑" w:eastAsia="仿宋_GB2312"/>
          <w:sz w:val="32"/>
          <w:szCs w:val="32"/>
        </w:rPr>
        <w:t>1,215万</w:t>
      </w:r>
      <w:r>
        <w:rPr>
          <w:rFonts w:hint="eastAsia" w:ascii="仿宋_GB2312" w:eastAsia="仿宋_GB2312" w:cs="仿宋_GB2312"/>
          <w:sz w:val="32"/>
          <w:szCs w:val="32"/>
        </w:rPr>
        <w:t>元。</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楷体_GB2312" w:hAnsi="微软雅黑" w:eastAsia="楷体_GB2312" w:cs="宋体"/>
          <w:kern w:val="0"/>
          <w:sz w:val="32"/>
          <w:szCs w:val="32"/>
        </w:rPr>
        <w:t>（二）</w:t>
      </w:r>
      <w:r>
        <w:rPr>
          <w:rFonts w:hint="eastAsia" w:ascii="楷体_GB2312" w:hAnsi="楷体" w:eastAsia="楷体_GB2312"/>
          <w:bCs/>
          <w:sz w:val="32"/>
          <w:szCs w:val="32"/>
        </w:rPr>
        <w:t>收入决算情况。</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仿宋_GB2312"/>
          <w:b/>
          <w:bCs/>
          <w:sz w:val="32"/>
          <w:szCs w:val="32"/>
        </w:rPr>
      </w:pPr>
      <w:r>
        <w:rPr>
          <w:rFonts w:hint="eastAsia" w:ascii="仿宋_GB2312" w:hAnsi="微软雅黑" w:eastAsia="仿宋_GB2312" w:cs="宋体"/>
          <w:kern w:val="0"/>
          <w:sz w:val="32"/>
          <w:szCs w:val="32"/>
        </w:rPr>
        <w:t>2020年，我区一般公共预算总收入</w:t>
      </w:r>
      <w:r>
        <w:rPr>
          <w:rFonts w:hint="eastAsia" w:ascii="仿宋_GB2312" w:hAnsi="微软雅黑" w:eastAsia="仿宋_GB2312"/>
          <w:sz w:val="32"/>
          <w:szCs w:val="32"/>
        </w:rPr>
        <w:t>74</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994</w:t>
      </w:r>
      <w:r>
        <w:rPr>
          <w:rFonts w:hint="eastAsia" w:ascii="仿宋_GB2312" w:hAnsi="微软雅黑" w:eastAsia="仿宋_GB2312" w:cs="宋体"/>
          <w:kern w:val="0"/>
          <w:sz w:val="32"/>
          <w:szCs w:val="32"/>
        </w:rPr>
        <w:t>万元，包括：</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ascii="仿宋_GB2312" w:hAnsi="宋体" w:eastAsia="仿宋_GB2312"/>
          <w:b/>
          <w:sz w:val="32"/>
          <w:szCs w:val="32"/>
        </w:rPr>
      </w:pPr>
      <w:r>
        <w:rPr>
          <w:rFonts w:hint="eastAsia" w:ascii="仿宋_GB2312" w:hAnsi="宋体" w:eastAsia="仿宋_GB2312"/>
          <w:b/>
          <w:sz w:val="32"/>
          <w:szCs w:val="32"/>
        </w:rPr>
        <w:t>1.税收收入。</w:t>
      </w:r>
      <w:r>
        <w:rPr>
          <w:rFonts w:hint="eastAsia" w:ascii="仿宋_GB2312" w:hAnsi="微软雅黑" w:eastAsia="仿宋_GB2312" w:cs="宋体"/>
          <w:kern w:val="0"/>
          <w:sz w:val="32"/>
          <w:szCs w:val="32"/>
        </w:rPr>
        <w:t>区级税收分成收入314,489万元,增长5.1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。其中：增值税收入44,997万元，下降45.6%；</w:t>
      </w:r>
      <w:r>
        <w:rPr>
          <w:rFonts w:hint="eastAsia" w:ascii="仿宋_GB2312" w:hAnsi="微软雅黑" w:eastAsia="仿宋_GB2312" w:cs="宋体"/>
          <w:color w:val="000000"/>
          <w:kern w:val="0"/>
          <w:sz w:val="32"/>
          <w:szCs w:val="32"/>
        </w:rPr>
        <w:t>企业所得税收入112,186万元，</w:t>
      </w:r>
      <w:r>
        <w:rPr>
          <w:rFonts w:hint="eastAsia" w:ascii="仿宋_GB2312" w:hAnsi="微软雅黑" w:eastAsia="仿宋_GB2312" w:cs="宋体"/>
          <w:kern w:val="0"/>
          <w:sz w:val="32"/>
          <w:szCs w:val="32"/>
        </w:rPr>
        <w:t>增长</w:t>
      </w:r>
      <w:r>
        <w:rPr>
          <w:rFonts w:hint="eastAsia" w:ascii="仿宋_GB2312" w:hAnsi="微软雅黑" w:eastAsia="仿宋_GB2312" w:cs="宋体"/>
          <w:color w:val="000000"/>
          <w:kern w:val="0"/>
          <w:sz w:val="32"/>
          <w:szCs w:val="32"/>
        </w:rPr>
        <w:t>32.1%；个人所得税收入31,513万元，增长61%</w:t>
      </w:r>
      <w:r>
        <w:rPr>
          <w:rFonts w:hint="eastAsia" w:ascii="仿宋_GB2312" w:hAnsi="微软雅黑" w:eastAsia="仿宋_GB2312" w:cs="宋体"/>
          <w:kern w:val="0"/>
          <w:sz w:val="32"/>
          <w:szCs w:val="32"/>
        </w:rPr>
        <w:t>；土地增</w:t>
      </w:r>
      <w:r>
        <w:rPr>
          <w:rFonts w:hint="eastAsia" w:ascii="仿宋_GB2312" w:hAnsi="微软雅黑" w:eastAsia="仿宋_GB2312" w:cs="宋体"/>
          <w:color w:val="000000"/>
          <w:kern w:val="0"/>
          <w:sz w:val="32"/>
          <w:szCs w:val="32"/>
        </w:rPr>
        <w:t>值税收入71,144万元，增长53.3%</w:t>
      </w:r>
      <w:r>
        <w:rPr>
          <w:rFonts w:hint="eastAsia" w:ascii="仿宋_GB2312" w:hAnsi="微软雅黑" w:eastAsia="仿宋_GB2312" w:cs="宋体"/>
          <w:kern w:val="0"/>
          <w:sz w:val="32"/>
          <w:szCs w:val="32"/>
        </w:rPr>
        <w:t>。</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ascii="仿宋_GB2312" w:hAnsi="微软雅黑" w:eastAsia="仿宋_GB2312" w:cs="宋体"/>
          <w:kern w:val="0"/>
          <w:sz w:val="32"/>
          <w:szCs w:val="32"/>
        </w:rPr>
      </w:pPr>
      <w:r>
        <w:rPr>
          <w:rFonts w:hint="eastAsia" w:ascii="仿宋_GB2312" w:hAnsi="宋体" w:eastAsia="仿宋_GB2312"/>
          <w:b/>
          <w:sz w:val="32"/>
          <w:szCs w:val="32"/>
        </w:rPr>
        <w:t>2.非税收入。</w:t>
      </w:r>
      <w:r>
        <w:rPr>
          <w:rFonts w:hint="eastAsia" w:ascii="仿宋_GB2312" w:hAnsi="微软雅黑" w:eastAsia="仿宋_GB2312" w:cs="宋体"/>
          <w:color w:val="000000"/>
          <w:kern w:val="0"/>
          <w:sz w:val="32"/>
          <w:szCs w:val="32"/>
        </w:rPr>
        <w:t>非税收入24,951万元,增长5.5</w:t>
      </w:r>
      <w:r>
        <w:rPr>
          <w:rFonts w:ascii="仿宋_GB2312" w:hAnsi="微软雅黑" w:eastAsia="仿宋_GB2312" w:cs="宋体"/>
          <w:color w:val="000000"/>
          <w:kern w:val="0"/>
          <w:sz w:val="32"/>
          <w:szCs w:val="32"/>
        </w:rPr>
        <w:t>%</w:t>
      </w:r>
      <w:r>
        <w:rPr>
          <w:rFonts w:hint="eastAsia" w:ascii="仿宋_GB2312" w:hAnsi="微软雅黑" w:eastAsia="仿宋_GB2312" w:cs="宋体"/>
          <w:kern w:val="0"/>
          <w:sz w:val="32"/>
          <w:szCs w:val="32"/>
        </w:rPr>
        <w:t>，其中：国有资源（资产）有偿使用收入12</w:t>
      </w:r>
      <w:r>
        <w:rPr>
          <w:rFonts w:hint="eastAsia" w:ascii="仿宋_GB2312" w:hAnsi="微软雅黑" w:eastAsia="仿宋_GB2312" w:cs="宋体"/>
          <w:color w:val="000000"/>
          <w:kern w:val="0"/>
          <w:sz w:val="32"/>
          <w:szCs w:val="32"/>
        </w:rPr>
        <w:t>,097</w:t>
      </w:r>
      <w:r>
        <w:rPr>
          <w:rFonts w:hint="eastAsia" w:ascii="仿宋_GB2312" w:hAnsi="微软雅黑" w:eastAsia="仿宋_GB2312" w:cs="宋体"/>
          <w:kern w:val="0"/>
          <w:sz w:val="32"/>
          <w:szCs w:val="32"/>
        </w:rPr>
        <w:t>万元，国有资本经营收入3,978万元，政府住房基金收入3</w:t>
      </w:r>
      <w:r>
        <w:rPr>
          <w:rFonts w:hint="eastAsia" w:ascii="仿宋_GB2312" w:hAnsi="微软雅黑" w:eastAsia="仿宋_GB2312" w:cs="宋体"/>
          <w:color w:val="000000"/>
          <w:kern w:val="0"/>
          <w:sz w:val="32"/>
          <w:szCs w:val="32"/>
        </w:rPr>
        <w:t>,</w:t>
      </w:r>
      <w:r>
        <w:rPr>
          <w:rFonts w:hint="eastAsia" w:ascii="仿宋_GB2312" w:hAnsi="微软雅黑" w:eastAsia="仿宋_GB2312" w:cs="宋体"/>
          <w:kern w:val="0"/>
          <w:sz w:val="32"/>
          <w:szCs w:val="32"/>
        </w:rPr>
        <w:t>340万元，罚没收入2,787万元，行政事业性收费收入700万元，其他收入2,049万元。</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ascii="仿宋_GB2312" w:hAnsi="宋体" w:eastAsia="仿宋_GB2312"/>
          <w:sz w:val="32"/>
          <w:szCs w:val="32"/>
        </w:rPr>
      </w:pPr>
      <w:r>
        <w:rPr>
          <w:rFonts w:hint="eastAsia" w:ascii="仿宋_GB2312" w:hAnsi="宋体" w:eastAsia="仿宋_GB2312"/>
          <w:b/>
          <w:sz w:val="32"/>
          <w:szCs w:val="32"/>
        </w:rPr>
        <w:t>3.转移性收入。</w:t>
      </w:r>
      <w:r>
        <w:rPr>
          <w:rFonts w:hint="eastAsia" w:ascii="仿宋_GB2312" w:hAnsi="宋体" w:eastAsia="仿宋_GB2312"/>
          <w:sz w:val="32"/>
          <w:szCs w:val="32"/>
        </w:rPr>
        <w:t>转移性收入</w:t>
      </w:r>
      <w:r>
        <w:rPr>
          <w:rFonts w:hint="eastAsia" w:ascii="仿宋_GB2312" w:eastAsia="仿宋_GB2312" w:cs="仿宋_GB2312"/>
          <w:sz w:val="32"/>
          <w:szCs w:val="32"/>
        </w:rPr>
        <w:t>40</w:t>
      </w:r>
      <w:r>
        <w:rPr>
          <w:rFonts w:hint="eastAsia" w:ascii="仿宋_GB2312" w:eastAsia="仿宋_GB2312" w:cs="仿宋_GB2312"/>
          <w:sz w:val="32"/>
          <w:szCs w:val="32"/>
          <w:lang w:val="en-US" w:eastAsia="zh-CN"/>
        </w:rPr>
        <w:t>3</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554</w:t>
      </w:r>
      <w:r>
        <w:rPr>
          <w:rFonts w:hint="eastAsia" w:ascii="仿宋_GB2312" w:hAnsi="宋体" w:eastAsia="仿宋_GB2312"/>
          <w:sz w:val="32"/>
          <w:szCs w:val="32"/>
        </w:rPr>
        <w:t>万元。主要是上级体制结算收入15</w:t>
      </w:r>
      <w:r>
        <w:rPr>
          <w:rFonts w:hint="eastAsia" w:ascii="仿宋_GB2312" w:hAnsi="宋体" w:eastAsia="仿宋_GB2312"/>
          <w:sz w:val="32"/>
          <w:szCs w:val="32"/>
          <w:lang w:val="en-US" w:eastAsia="zh-CN"/>
        </w:rPr>
        <w:t>6</w:t>
      </w: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699</w:t>
      </w:r>
      <w:r>
        <w:rPr>
          <w:rFonts w:hint="eastAsia" w:ascii="仿宋_GB2312" w:hAnsi="宋体" w:eastAsia="仿宋_GB2312"/>
          <w:sz w:val="32"/>
          <w:szCs w:val="32"/>
        </w:rPr>
        <w:t>万元，按规定从政府性基金、国有资本经营预算及其他资金调入13,449万元, 动用预算稳定调节基金</w:t>
      </w:r>
      <w:r>
        <w:rPr>
          <w:rFonts w:hint="eastAsia" w:ascii="仿宋_GB2312" w:hAnsi="微软雅黑" w:eastAsia="仿宋_GB2312" w:cs="宋体"/>
          <w:kern w:val="0"/>
          <w:sz w:val="32"/>
          <w:szCs w:val="32"/>
        </w:rPr>
        <w:t>190,584万</w:t>
      </w:r>
      <w:r>
        <w:rPr>
          <w:rFonts w:hint="eastAsia" w:ascii="仿宋_GB2312" w:hAnsi="宋体" w:eastAsia="仿宋_GB2312"/>
          <w:sz w:val="32"/>
          <w:szCs w:val="32"/>
        </w:rPr>
        <w:t>元，债务转贷收入40,500万元，上年结余2</w:t>
      </w:r>
      <w:r>
        <w:rPr>
          <w:rFonts w:hint="eastAsia" w:ascii="仿宋_GB2312" w:hAnsi="微软雅黑" w:eastAsia="仿宋_GB2312"/>
          <w:color w:val="000000"/>
          <w:sz w:val="32"/>
          <w:szCs w:val="32"/>
        </w:rPr>
        <w:t>,</w:t>
      </w:r>
      <w:r>
        <w:rPr>
          <w:rFonts w:hint="eastAsia" w:ascii="仿宋_GB2312" w:hAnsi="宋体" w:eastAsia="仿宋_GB2312"/>
          <w:sz w:val="32"/>
          <w:szCs w:val="32"/>
        </w:rPr>
        <w:t>322万元。</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楷体_GB2312" w:hAnsi="微软雅黑" w:eastAsia="楷体_GB2312" w:cs="宋体"/>
          <w:kern w:val="0"/>
          <w:sz w:val="32"/>
          <w:szCs w:val="32"/>
        </w:rPr>
        <w:t>（三）</w:t>
      </w:r>
      <w:r>
        <w:rPr>
          <w:rFonts w:hint="eastAsia" w:ascii="楷体_GB2312" w:hAnsi="楷体" w:eastAsia="楷体_GB2312"/>
          <w:bCs/>
          <w:sz w:val="32"/>
          <w:szCs w:val="32"/>
        </w:rPr>
        <w:t>支出决算情况。</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
          <w:bCs/>
          <w:sz w:val="32"/>
          <w:szCs w:val="32"/>
        </w:rPr>
      </w:pPr>
      <w:r>
        <w:rPr>
          <w:rFonts w:hint="eastAsia" w:ascii="仿宋_GB2312" w:hAnsi="微软雅黑" w:eastAsia="仿宋_GB2312" w:cs="宋体"/>
          <w:kern w:val="0"/>
          <w:sz w:val="32"/>
          <w:szCs w:val="32"/>
        </w:rPr>
        <w:t>2020年，我区一般公共预算支出</w:t>
      </w:r>
      <w:r>
        <w:rPr>
          <w:rFonts w:hint="eastAsia" w:ascii="仿宋_GB2312" w:hAnsi="微软雅黑" w:eastAsia="仿宋_GB2312"/>
          <w:sz w:val="32"/>
          <w:szCs w:val="32"/>
        </w:rPr>
        <w:t>597,440</w:t>
      </w:r>
      <w:r>
        <w:rPr>
          <w:rFonts w:hint="eastAsia" w:ascii="仿宋_GB2312" w:hAnsi="微软雅黑" w:eastAsia="仿宋_GB2312" w:cs="宋体"/>
          <w:kern w:val="0"/>
          <w:sz w:val="32"/>
          <w:szCs w:val="32"/>
        </w:rPr>
        <w:t>万元，</w:t>
      </w:r>
      <w:r>
        <w:rPr>
          <w:rFonts w:hint="eastAsia" w:ascii="仿宋_GB2312" w:hAnsi="宋体" w:eastAsia="仿宋_GB2312"/>
          <w:sz w:val="32"/>
          <w:szCs w:val="32"/>
        </w:rPr>
        <w:t>加上转移性支出14</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339</w:t>
      </w:r>
      <w:r>
        <w:rPr>
          <w:rFonts w:hint="eastAsia" w:ascii="仿宋_GB2312" w:hAnsi="宋体" w:eastAsia="仿宋_GB2312"/>
          <w:sz w:val="32"/>
          <w:szCs w:val="32"/>
        </w:rPr>
        <w:t>万元</w:t>
      </w:r>
      <w:r>
        <w:rPr>
          <w:rFonts w:hint="eastAsia" w:ascii="仿宋_GB2312" w:eastAsia="仿宋_GB2312" w:cs="仿宋_GB2312"/>
          <w:sz w:val="32"/>
          <w:szCs w:val="32"/>
        </w:rPr>
        <w:t>，总支出</w:t>
      </w:r>
      <w:r>
        <w:rPr>
          <w:rFonts w:hint="eastAsia" w:ascii="仿宋_GB2312" w:hAnsi="微软雅黑" w:eastAsia="仿宋_GB2312"/>
          <w:sz w:val="32"/>
          <w:szCs w:val="32"/>
        </w:rPr>
        <w:t>74</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779</w:t>
      </w:r>
      <w:r>
        <w:rPr>
          <w:rFonts w:hint="eastAsia" w:ascii="仿宋_GB2312" w:hAnsi="微软雅黑" w:eastAsia="仿宋_GB2312" w:cs="宋体"/>
          <w:kern w:val="0"/>
          <w:sz w:val="32"/>
          <w:szCs w:val="32"/>
        </w:rPr>
        <w:t>万元</w:t>
      </w:r>
      <w:r>
        <w:rPr>
          <w:rFonts w:hint="eastAsia" w:ascii="仿宋_GB2312" w:eastAsia="仿宋_GB2312" w:cs="仿宋_GB2312"/>
          <w:sz w:val="32"/>
          <w:szCs w:val="32"/>
        </w:rPr>
        <w:t>。</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1.按照财政部统一规定的功能科目，各项支出具体情况如下：</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ascii="仿宋_GB2312" w:hAnsi="微软雅黑" w:eastAsia="仿宋_GB2312" w:cs="宋体"/>
          <w:kern w:val="0"/>
          <w:sz w:val="32"/>
          <w:szCs w:val="32"/>
        </w:rPr>
      </w:pPr>
      <w:r>
        <w:rPr>
          <w:rFonts w:hint="eastAsia" w:ascii="仿宋_GB2312" w:hAnsi="微软雅黑" w:eastAsia="仿宋_GB2312" w:cs="宋体"/>
          <w:b/>
          <w:color w:val="000000"/>
          <w:kern w:val="0"/>
          <w:sz w:val="32"/>
          <w:szCs w:val="32"/>
        </w:rPr>
        <w:t>（</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）一般公共服务支出</w:t>
      </w:r>
      <w:r>
        <w:rPr>
          <w:rFonts w:hint="eastAsia" w:ascii="仿宋_GB2312" w:eastAsia="仿宋_GB2312"/>
          <w:b/>
          <w:sz w:val="32"/>
          <w:szCs w:val="32"/>
        </w:rPr>
        <w:t>92,903</w:t>
      </w:r>
      <w:r>
        <w:rPr>
          <w:rFonts w:hint="eastAsia" w:ascii="仿宋_GB2312" w:hAnsi="微软雅黑" w:eastAsia="仿宋_GB2312" w:cs="宋体"/>
          <w:b/>
          <w:color w:val="000000"/>
          <w:kern w:val="0"/>
          <w:sz w:val="32"/>
          <w:szCs w:val="32"/>
        </w:rPr>
        <w:t>万元,增长3.1</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宋体" w:eastAsia="仿宋_GB2312"/>
          <w:sz w:val="32"/>
          <w:szCs w:val="32"/>
        </w:rPr>
        <w:t>该科目主要反映政府提供一般公共服务的支出</w:t>
      </w:r>
      <w:r>
        <w:rPr>
          <w:rFonts w:hint="eastAsia" w:ascii="仿宋_GB2312" w:hAnsi="微软雅黑" w:eastAsia="仿宋_GB2312" w:cs="宋体"/>
          <w:kern w:val="0"/>
          <w:sz w:val="32"/>
          <w:szCs w:val="32"/>
        </w:rPr>
        <w:t>。增长的主要原因:</w:t>
      </w:r>
      <w:r>
        <w:rPr>
          <w:rFonts w:hint="eastAsia" w:ascii="仿宋_GB2312" w:hAnsi="宋体" w:eastAsia="仿宋_GB2312"/>
          <w:bCs/>
          <w:sz w:val="32"/>
          <w:szCs w:val="32"/>
        </w:rPr>
        <w:t>一是</w:t>
      </w:r>
      <w:r>
        <w:rPr>
          <w:rFonts w:hint="eastAsia" w:ascii="仿宋_GB2312" w:hAnsi="微软雅黑" w:eastAsia="仿宋_GB2312" w:cs="宋体"/>
          <w:kern w:val="0"/>
          <w:sz w:val="32"/>
          <w:szCs w:val="32"/>
        </w:rPr>
        <w:t>深港国际旅游消费合作全面深化，中英</w:t>
      </w:r>
      <w:r>
        <w:rPr>
          <w:rFonts w:hint="eastAsia" w:ascii="仿宋_GB2312" w:hAnsi="宋体" w:eastAsia="仿宋_GB2312"/>
          <w:bCs/>
          <w:sz w:val="32"/>
          <w:szCs w:val="32"/>
        </w:rPr>
        <w:t>街关口第二通道全面建成，</w:t>
      </w:r>
      <w:r>
        <w:rPr>
          <w:rFonts w:hint="eastAsia" w:ascii="仿宋_GB2312" w:hAnsi="宋体" w:eastAsia="仿宋_GB2312"/>
          <w:bCs/>
          <w:sz w:val="32"/>
          <w:szCs w:val="32"/>
          <w:lang w:eastAsia="zh-CN"/>
        </w:rPr>
        <w:t>新增支出</w:t>
      </w:r>
      <w:r>
        <w:rPr>
          <w:rFonts w:hint="eastAsia" w:ascii="仿宋_GB2312" w:hAnsi="宋体" w:eastAsia="仿宋_GB2312"/>
          <w:bCs/>
          <w:sz w:val="32"/>
          <w:szCs w:val="32"/>
        </w:rPr>
        <w:t>1,700万元。二是</w:t>
      </w:r>
      <w:r>
        <w:rPr>
          <w:rFonts w:hint="eastAsia" w:ascii="仿宋_GB2312" w:hAnsi="微软雅黑" w:eastAsia="仿宋_GB2312" w:cs="宋体"/>
          <w:kern w:val="0"/>
          <w:sz w:val="32"/>
          <w:szCs w:val="32"/>
        </w:rPr>
        <w:t>盐田综合保税区经济发展服务中心2019年4月成立，11月起资金由区级保障，2020年全年同比增支5</w:t>
      </w:r>
      <w:r>
        <w:rPr>
          <w:rFonts w:hint="eastAsia" w:ascii="仿宋_GB2312" w:hAnsi="宋体" w:eastAsia="仿宋_GB2312"/>
          <w:bCs/>
          <w:sz w:val="32"/>
          <w:szCs w:val="32"/>
        </w:rPr>
        <w:t>,</w:t>
      </w:r>
      <w:r>
        <w:rPr>
          <w:rFonts w:hint="eastAsia" w:ascii="仿宋_GB2312" w:hAnsi="微软雅黑" w:eastAsia="仿宋_GB2312" w:cs="宋体"/>
          <w:kern w:val="0"/>
          <w:sz w:val="32"/>
          <w:szCs w:val="32"/>
        </w:rPr>
        <w:t>846万元。</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2" w:firstLineChars="200"/>
        <w:jc w:val="both"/>
        <w:textAlignment w:val="auto"/>
        <w:rPr>
          <w:rFonts w:hint="eastAsia" w:ascii="仿宋_GB2312" w:hAnsi="微软雅黑" w:eastAsia="仿宋_GB2312" w:cs="宋体"/>
          <w:kern w:val="0"/>
          <w:sz w:val="32"/>
          <w:szCs w:val="32"/>
          <w:lang w:val="zh-TW"/>
        </w:rPr>
      </w:pPr>
      <w:r>
        <w:rPr>
          <w:rFonts w:hint="eastAsia" w:ascii="仿宋_GB2312" w:hAnsi="微软雅黑" w:eastAsia="仿宋_GB2312" w:cs="宋体"/>
          <w:b/>
          <w:color w:val="000000"/>
          <w:kern w:val="0"/>
          <w:sz w:val="32"/>
          <w:szCs w:val="32"/>
        </w:rPr>
        <w:t>（2）公共安全支出65,044万元,下降11.2</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微软雅黑" w:eastAsia="仿宋_GB2312" w:cs="宋体"/>
          <w:kern w:val="0"/>
          <w:sz w:val="32"/>
          <w:szCs w:val="32"/>
        </w:rPr>
        <w:t>该科目主要反映政府维护社会公共安全方面的支出。</w:t>
      </w:r>
      <w:r>
        <w:rPr>
          <w:rFonts w:hint="eastAsia" w:ascii="仿宋_GB2312" w:hAnsi="微软雅黑" w:eastAsia="仿宋_GB2312" w:cs="宋体"/>
          <w:kern w:val="0"/>
          <w:sz w:val="32"/>
          <w:szCs w:val="32"/>
          <w:lang w:val="en-US" w:eastAsia="zh-CN"/>
        </w:rPr>
        <w:t>2020</w:t>
      </w:r>
      <w:r>
        <w:rPr>
          <w:rFonts w:hint="default" w:ascii="仿宋_GB2312" w:hAnsi="微软雅黑" w:eastAsia="仿宋_GB2312" w:cs="宋体"/>
          <w:kern w:val="0"/>
          <w:sz w:val="32"/>
          <w:szCs w:val="32"/>
          <w:lang w:val="en" w:eastAsia="zh-CN"/>
        </w:rPr>
        <w:t>年</w:t>
      </w:r>
      <w:r>
        <w:rPr>
          <w:rFonts w:hint="eastAsia" w:ascii="仿宋_GB2312" w:hAnsi="微软雅黑" w:eastAsia="仿宋_GB2312" w:cs="宋体"/>
          <w:kern w:val="0"/>
          <w:sz w:val="32"/>
          <w:szCs w:val="32"/>
          <w:lang w:val="en-US" w:eastAsia="zh-CN"/>
        </w:rPr>
        <w:t>,盐田区</w:t>
      </w:r>
      <w:r>
        <w:rPr>
          <w:rFonts w:hint="eastAsia" w:ascii="仿宋_GB2312" w:hAnsi="微软雅黑" w:eastAsia="仿宋_GB2312" w:cs="宋体"/>
          <w:kern w:val="0"/>
          <w:sz w:val="32"/>
          <w:szCs w:val="32"/>
          <w:lang w:val="zh-TW"/>
        </w:rPr>
        <w:t>深入推进扫黑除恶专项斗争，全年破获涉恶刑事案件11宗。持续优化“942”治安陆海防控体系和智慧边海防建设，110刑事治安总警情下降16.3%，治安安全指数和群众安全感稳居全市前列。</w:t>
      </w:r>
      <w:r>
        <w:rPr>
          <w:rFonts w:hint="eastAsia" w:ascii="仿宋_GB2312" w:hAnsi="微软雅黑" w:eastAsia="仿宋_GB2312" w:cs="宋体"/>
          <w:kern w:val="0"/>
          <w:sz w:val="32"/>
          <w:szCs w:val="32"/>
          <w:lang w:val="zh-TW" w:eastAsia="zh-CN"/>
        </w:rPr>
        <w:t>支出</w:t>
      </w:r>
      <w:r>
        <w:rPr>
          <w:rFonts w:hint="eastAsia" w:ascii="仿宋_GB2312" w:hAnsi="微软雅黑" w:eastAsia="仿宋_GB2312" w:cs="宋体"/>
          <w:kern w:val="0"/>
          <w:sz w:val="32"/>
          <w:szCs w:val="32"/>
        </w:rPr>
        <w:t>下降的主要原因：盐田区智慧视频系统</w:t>
      </w:r>
      <w:r>
        <w:rPr>
          <w:rFonts w:hint="eastAsia" w:ascii="仿宋_GB2312" w:hAnsi="微软雅黑" w:eastAsia="仿宋_GB2312" w:cs="宋体"/>
          <w:kern w:val="0"/>
          <w:sz w:val="32"/>
          <w:szCs w:val="32"/>
          <w:lang w:eastAsia="zh-CN"/>
        </w:rPr>
        <w:t>、盐田区人脸识别系统、海上应急指挥艇等项目于</w:t>
      </w:r>
      <w:r>
        <w:rPr>
          <w:rFonts w:hint="eastAsia" w:ascii="仿宋_GB2312" w:hAnsi="微软雅黑" w:eastAsia="仿宋_GB2312" w:cs="宋体"/>
          <w:kern w:val="0"/>
          <w:sz w:val="32"/>
          <w:szCs w:val="32"/>
          <w:lang w:val="en-US" w:eastAsia="zh-CN"/>
        </w:rPr>
        <w:t>2016-2018年间开工建设并</w:t>
      </w:r>
      <w:r>
        <w:rPr>
          <w:rFonts w:hint="eastAsia" w:ascii="仿宋_GB2312" w:hAnsi="微软雅黑" w:eastAsia="仿宋_GB2312" w:cs="宋体"/>
          <w:kern w:val="0"/>
          <w:sz w:val="32"/>
          <w:szCs w:val="32"/>
          <w:lang w:eastAsia="zh-CN"/>
        </w:rPr>
        <w:t>已完工，</w:t>
      </w:r>
      <w:r>
        <w:rPr>
          <w:rFonts w:hint="eastAsia" w:ascii="仿宋_GB2312" w:hAnsi="微软雅黑" w:eastAsia="仿宋_GB2312" w:cs="宋体"/>
          <w:kern w:val="0"/>
          <w:sz w:val="32"/>
          <w:szCs w:val="32"/>
          <w:lang w:val="en-US" w:eastAsia="zh-CN"/>
        </w:rPr>
        <w:t>2020年支出同比减少。</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ascii="仿宋_GB2312" w:hAnsi="微软雅黑" w:eastAsia="仿宋_GB2312" w:cs="宋体"/>
          <w:kern w:val="0"/>
          <w:sz w:val="32"/>
          <w:szCs w:val="32"/>
        </w:rPr>
      </w:pPr>
      <w:r>
        <w:rPr>
          <w:rFonts w:hint="eastAsia" w:ascii="仿宋_GB2312" w:hAnsi="微软雅黑" w:eastAsia="仿宋_GB2312" w:cs="宋体"/>
          <w:b/>
          <w:kern w:val="0"/>
          <w:sz w:val="32"/>
          <w:szCs w:val="32"/>
        </w:rPr>
        <w:t>（3）教育支出148,944万元,增长30.9%。</w:t>
      </w:r>
      <w:r>
        <w:rPr>
          <w:rFonts w:hint="eastAsia" w:ascii="仿宋_GB2312" w:hAnsi="微软雅黑" w:eastAsia="仿宋_GB2312" w:cs="宋体"/>
          <w:kern w:val="0"/>
          <w:sz w:val="32"/>
          <w:szCs w:val="32"/>
        </w:rPr>
        <w:t>该科目主要反</w:t>
      </w:r>
      <w:r>
        <w:rPr>
          <w:rFonts w:hint="eastAsia" w:ascii="仿宋_GB2312" w:hAnsi="微软雅黑" w:eastAsia="仿宋_GB2312" w:cs="宋体"/>
          <w:kern w:val="0"/>
          <w:sz w:val="32"/>
          <w:szCs w:val="32"/>
          <w:lang w:eastAsia="zh-CN"/>
        </w:rPr>
        <w:t>映政府</w:t>
      </w:r>
      <w:r>
        <w:rPr>
          <w:rFonts w:hint="eastAsia" w:ascii="仿宋_GB2312" w:hAnsi="微软雅黑" w:eastAsia="仿宋_GB2312" w:cs="宋体"/>
          <w:kern w:val="0"/>
          <w:sz w:val="32"/>
          <w:szCs w:val="32"/>
        </w:rPr>
        <w:t>教育</w:t>
      </w:r>
      <w:r>
        <w:rPr>
          <w:rFonts w:hint="eastAsia" w:ascii="仿宋_GB2312" w:hAnsi="微软雅黑" w:eastAsia="仿宋_GB2312" w:cs="宋体"/>
          <w:kern w:val="0"/>
          <w:sz w:val="32"/>
          <w:szCs w:val="32"/>
          <w:lang w:eastAsia="zh-CN"/>
        </w:rPr>
        <w:t>事务</w:t>
      </w:r>
      <w:r>
        <w:rPr>
          <w:rFonts w:hint="eastAsia" w:ascii="仿宋_GB2312" w:hAnsi="微软雅黑" w:eastAsia="仿宋_GB2312" w:cs="宋体"/>
          <w:kern w:val="0"/>
          <w:sz w:val="32"/>
          <w:szCs w:val="32"/>
        </w:rPr>
        <w:t>支出。增长的主要原因：一是加大对学前</w:t>
      </w:r>
      <w:r>
        <w:rPr>
          <w:rFonts w:hint="eastAsia" w:ascii="仿宋_GB2312" w:hAnsi="微软雅黑" w:eastAsia="仿宋_GB2312" w:cs="宋体"/>
          <w:kern w:val="0"/>
          <w:sz w:val="32"/>
          <w:szCs w:val="32"/>
          <w:highlight w:val="none"/>
        </w:rPr>
        <w:t>教育投入，新建、改建、转型幼儿园</w:t>
      </w:r>
      <w:r>
        <w:rPr>
          <w:rFonts w:hint="eastAsia" w:ascii="仿宋_GB2312" w:hAnsi="微软雅黑" w:eastAsia="仿宋_GB2312" w:cs="宋体"/>
          <w:kern w:val="0"/>
          <w:sz w:val="32"/>
          <w:szCs w:val="32"/>
          <w:highlight w:val="none"/>
          <w:lang w:val="en-US" w:eastAsia="zh-CN"/>
        </w:rPr>
        <w:t>9</w:t>
      </w:r>
      <w:r>
        <w:rPr>
          <w:rFonts w:ascii="仿宋_GB2312" w:hAnsi="微软雅黑" w:eastAsia="仿宋_GB2312" w:cs="宋体"/>
          <w:kern w:val="0"/>
          <w:sz w:val="32"/>
          <w:szCs w:val="32"/>
          <w:highlight w:val="none"/>
        </w:rPr>
        <w:t xml:space="preserve"> </w:t>
      </w:r>
      <w:r>
        <w:rPr>
          <w:rFonts w:hint="eastAsia" w:ascii="仿宋_GB2312" w:hAnsi="微软雅黑" w:eastAsia="仿宋_GB2312" w:cs="宋体"/>
          <w:kern w:val="0"/>
          <w:sz w:val="32"/>
          <w:szCs w:val="32"/>
          <w:highlight w:val="none"/>
        </w:rPr>
        <w:t>所，全区学前教育支出18,867万元，</w:t>
      </w:r>
      <w:r>
        <w:rPr>
          <w:rFonts w:hint="eastAsia" w:ascii="仿宋_GB2312" w:hAnsi="微软雅黑" w:eastAsia="仿宋_GB2312" w:cs="宋体"/>
          <w:kern w:val="0"/>
          <w:sz w:val="32"/>
          <w:szCs w:val="32"/>
        </w:rPr>
        <w:t>同比增</w:t>
      </w:r>
      <w:r>
        <w:rPr>
          <w:rFonts w:hint="eastAsia" w:ascii="仿宋_GB2312" w:hAnsi="微软雅黑" w:eastAsia="仿宋_GB2312" w:cs="宋体"/>
          <w:kern w:val="0"/>
          <w:sz w:val="32"/>
          <w:szCs w:val="32"/>
          <w:lang w:eastAsia="zh-CN"/>
        </w:rPr>
        <w:t>长</w:t>
      </w:r>
      <w:r>
        <w:rPr>
          <w:rFonts w:hint="eastAsia" w:ascii="仿宋_GB2312" w:hAnsi="微软雅黑" w:eastAsia="仿宋_GB2312" w:cs="宋体"/>
          <w:kern w:val="0"/>
          <w:sz w:val="32"/>
          <w:szCs w:val="32"/>
          <w:lang w:val="en-US" w:eastAsia="zh-CN"/>
        </w:rPr>
        <w:t>91.6%</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highlight w:val="none"/>
        </w:rPr>
        <w:t>二是小</w:t>
      </w:r>
      <w:r>
        <w:rPr>
          <w:rFonts w:hint="eastAsia" w:ascii="仿宋_GB2312" w:hAnsi="微软雅黑" w:eastAsia="仿宋_GB2312" w:cs="宋体"/>
          <w:kern w:val="0"/>
          <w:sz w:val="32"/>
          <w:szCs w:val="32"/>
        </w:rPr>
        <w:t>学及初中教育支出86,022万元，同比</w:t>
      </w:r>
      <w:r>
        <w:rPr>
          <w:rFonts w:hint="eastAsia" w:ascii="仿宋_GB2312" w:hAnsi="微软雅黑" w:eastAsia="仿宋_GB2312" w:cs="宋体"/>
          <w:kern w:val="0"/>
          <w:sz w:val="32"/>
          <w:szCs w:val="32"/>
          <w:lang w:eastAsia="zh-CN"/>
        </w:rPr>
        <w:t>增长</w:t>
      </w:r>
      <w:r>
        <w:rPr>
          <w:rFonts w:hint="eastAsia" w:ascii="仿宋_GB2312" w:hAnsi="微软雅黑" w:eastAsia="仿宋_GB2312" w:cs="宋体"/>
          <w:kern w:val="0"/>
          <w:sz w:val="32"/>
          <w:szCs w:val="32"/>
          <w:lang w:val="en-US" w:eastAsia="zh-CN"/>
        </w:rPr>
        <w:t>51.8%</w:t>
      </w:r>
      <w:r>
        <w:rPr>
          <w:rFonts w:hint="eastAsia" w:ascii="仿宋_GB2312" w:hAnsi="微软雅黑" w:eastAsia="仿宋_GB2312" w:cs="宋体"/>
          <w:kern w:val="0"/>
          <w:sz w:val="32"/>
          <w:szCs w:val="32"/>
        </w:rPr>
        <w:t>，主要是积极推进校园建设，完成中山纪念学校、乐群小学等校园改扩建工程，</w:t>
      </w:r>
      <w:r>
        <w:rPr>
          <w:rFonts w:hint="eastAsia" w:ascii="仿宋_GB2312" w:hAnsi="微软雅黑" w:eastAsia="仿宋_GB2312" w:cs="宋体"/>
          <w:kern w:val="0"/>
          <w:sz w:val="32"/>
          <w:szCs w:val="32"/>
          <w:lang w:eastAsia="zh-CN"/>
        </w:rPr>
        <w:t>加快建设</w:t>
      </w:r>
      <w:r>
        <w:rPr>
          <w:rFonts w:hint="eastAsia" w:ascii="仿宋_GB2312" w:hAnsi="微软雅黑" w:eastAsia="仿宋_GB2312" w:cs="宋体"/>
          <w:kern w:val="0"/>
          <w:sz w:val="32"/>
          <w:szCs w:val="32"/>
        </w:rPr>
        <w:t>盐田区外国语学校综合楼、盐田区外国语小学综合楼、海心小学、山海小学等</w:t>
      </w:r>
      <w:r>
        <w:rPr>
          <w:rFonts w:hint="eastAsia" w:ascii="仿宋_GB2312" w:hAnsi="微软雅黑" w:eastAsia="仿宋_GB2312" w:cs="宋体"/>
          <w:kern w:val="0"/>
          <w:sz w:val="32"/>
          <w:szCs w:val="32"/>
          <w:lang w:eastAsia="zh-CN"/>
        </w:rPr>
        <w:t>项目</w:t>
      </w:r>
      <w:r>
        <w:rPr>
          <w:rFonts w:hint="eastAsia" w:ascii="仿宋_GB2312" w:hAnsi="微软雅黑" w:eastAsia="仿宋_GB2312" w:cs="宋体"/>
          <w:kern w:val="0"/>
          <w:sz w:val="32"/>
          <w:szCs w:val="32"/>
        </w:rPr>
        <w:t>。</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5"/>
        <w:jc w:val="both"/>
        <w:textAlignment w:val="auto"/>
        <w:rPr>
          <w:rFonts w:ascii="仿宋_GB2312" w:hAnsi="微软雅黑" w:eastAsia="仿宋_GB2312" w:cs="宋体"/>
          <w:kern w:val="0"/>
          <w:sz w:val="32"/>
          <w:szCs w:val="32"/>
        </w:rPr>
      </w:pPr>
      <w:r>
        <w:rPr>
          <w:rFonts w:hint="eastAsia" w:ascii="仿宋_GB2312" w:hAnsi="微软雅黑" w:eastAsia="仿宋_GB2312" w:cs="宋体"/>
          <w:b/>
          <w:color w:val="000000"/>
          <w:kern w:val="0"/>
          <w:sz w:val="32"/>
          <w:szCs w:val="32"/>
        </w:rPr>
        <w:t>（4）科学技术支出-844万元</w:t>
      </w:r>
      <w:r>
        <w:rPr>
          <w:rFonts w:hint="eastAsia" w:ascii="仿宋_GB2312" w:hAnsi="微软雅黑" w:eastAsia="仿宋_GB2312" w:cs="宋体"/>
          <w:b/>
          <w:color w:val="000000"/>
          <w:kern w:val="0"/>
          <w:sz w:val="32"/>
          <w:szCs w:val="32"/>
          <w:lang w:eastAsia="zh-CN"/>
        </w:rPr>
        <w:t>，剔除</w:t>
      </w:r>
      <w:r>
        <w:rPr>
          <w:rFonts w:hint="eastAsia" w:ascii="仿宋_GB2312" w:hAnsi="微软雅黑" w:eastAsia="仿宋_GB2312" w:cs="宋体"/>
          <w:b/>
          <w:color w:val="000000"/>
          <w:kern w:val="0"/>
          <w:sz w:val="32"/>
          <w:szCs w:val="32"/>
          <w:lang w:val="en-US" w:eastAsia="zh-CN"/>
        </w:rPr>
        <w:t>2020年收回政府投资引导基金因素后增长68.1%</w:t>
      </w:r>
      <w:r>
        <w:rPr>
          <w:rFonts w:hint="eastAsia" w:ascii="仿宋_GB2312" w:hAnsi="微软雅黑" w:eastAsia="仿宋_GB2312" w:cs="宋体"/>
          <w:b/>
          <w:color w:val="000000"/>
          <w:kern w:val="0"/>
          <w:sz w:val="32"/>
          <w:szCs w:val="32"/>
        </w:rPr>
        <w:t>。</w:t>
      </w:r>
      <w:r>
        <w:rPr>
          <w:rFonts w:hint="eastAsia" w:ascii="仿宋_GB2312" w:hAnsi="微软雅黑" w:eastAsia="仿宋_GB2312" w:cs="宋体"/>
          <w:kern w:val="0"/>
          <w:sz w:val="32"/>
          <w:szCs w:val="32"/>
        </w:rPr>
        <w:t>该科目主要反映</w:t>
      </w:r>
      <w:r>
        <w:rPr>
          <w:rFonts w:hint="eastAsia" w:ascii="仿宋_GB2312" w:hAnsi="微软雅黑" w:eastAsia="仿宋_GB2312" w:cs="宋体"/>
          <w:kern w:val="0"/>
          <w:sz w:val="32"/>
          <w:szCs w:val="32"/>
          <w:lang w:eastAsia="zh-CN"/>
        </w:rPr>
        <w:t>科学技术方面的</w:t>
      </w:r>
      <w:r>
        <w:rPr>
          <w:rFonts w:hint="eastAsia" w:ascii="仿宋_GB2312" w:hAnsi="微软雅黑" w:eastAsia="仿宋_GB2312" w:cs="宋体"/>
          <w:kern w:val="0"/>
          <w:sz w:val="32"/>
          <w:szCs w:val="32"/>
        </w:rPr>
        <w:t>支出。</w:t>
      </w:r>
      <w:r>
        <w:rPr>
          <w:rFonts w:hint="eastAsia" w:ascii="仿宋_GB2312" w:hAnsi="微软雅黑" w:eastAsia="仿宋_GB2312" w:cs="宋体"/>
          <w:kern w:val="0"/>
          <w:sz w:val="32"/>
          <w:szCs w:val="32"/>
          <w:lang w:val="en-US" w:eastAsia="zh-CN"/>
        </w:rPr>
        <w:t>2020年，</w:t>
      </w:r>
      <w:r>
        <w:rPr>
          <w:rFonts w:hint="eastAsia" w:ascii="仿宋_GB2312" w:hAnsi="微软雅黑" w:eastAsia="仿宋_GB2312" w:cs="宋体"/>
          <w:kern w:val="0"/>
          <w:sz w:val="32"/>
          <w:szCs w:val="32"/>
        </w:rPr>
        <w:t>为加强财政资金统筹使用，收回政府投资引导基金1.6亿元，冲销当年支出。剔除该因素，科学技术支出增长68.1%，主要是产业发展资金支出增支4,825万元，用于支持辖区企业发展、提升企业自主创新能力、促进产业转型升级和招商引资等。</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ascii="仿宋_GB2312" w:hAnsi="仿宋_GB2312" w:eastAsia="仿宋_GB2312"/>
          <w:color w:val="000000"/>
          <w:sz w:val="32"/>
        </w:rPr>
      </w:pPr>
      <w:r>
        <w:rPr>
          <w:rFonts w:hint="eastAsia" w:ascii="仿宋_GB2312" w:hAnsi="微软雅黑" w:eastAsia="仿宋_GB2312" w:cs="宋体"/>
          <w:b/>
          <w:color w:val="000000"/>
          <w:kern w:val="0"/>
          <w:sz w:val="32"/>
          <w:szCs w:val="32"/>
        </w:rPr>
        <w:t>（5）文化旅游体育与传媒支出16,047万元,增长33.2%。</w:t>
      </w:r>
      <w:r>
        <w:rPr>
          <w:rFonts w:hint="eastAsia" w:ascii="仿宋_GB2312" w:hAnsi="微软雅黑" w:eastAsia="仿宋_GB2312" w:cs="宋体"/>
          <w:kern w:val="0"/>
          <w:sz w:val="32"/>
          <w:szCs w:val="32"/>
        </w:rPr>
        <w:t>该科目主要反映</w:t>
      </w:r>
      <w:r>
        <w:rPr>
          <w:rFonts w:hint="eastAsia" w:ascii="仿宋_GB2312" w:hAnsi="微软雅黑" w:eastAsia="仿宋_GB2312" w:cs="宋体"/>
          <w:kern w:val="0"/>
          <w:sz w:val="32"/>
          <w:szCs w:val="32"/>
          <w:lang w:eastAsia="zh-CN"/>
        </w:rPr>
        <w:t>政府在</w:t>
      </w:r>
      <w:r>
        <w:rPr>
          <w:rFonts w:hint="eastAsia" w:ascii="仿宋_GB2312" w:hAnsi="微软雅黑" w:eastAsia="仿宋_GB2312" w:cs="宋体"/>
          <w:kern w:val="0"/>
          <w:sz w:val="32"/>
          <w:szCs w:val="32"/>
        </w:rPr>
        <w:t>文化、旅游、文物、体育、广播影视、新闻出版</w:t>
      </w:r>
      <w:r>
        <w:rPr>
          <w:rFonts w:hint="eastAsia" w:ascii="仿宋_GB2312" w:hAnsi="微软雅黑" w:eastAsia="仿宋_GB2312" w:cs="宋体"/>
          <w:kern w:val="0"/>
          <w:sz w:val="32"/>
          <w:szCs w:val="32"/>
          <w:lang w:eastAsia="zh-CN"/>
        </w:rPr>
        <w:t>等方面的</w:t>
      </w:r>
      <w:r>
        <w:rPr>
          <w:rFonts w:hint="eastAsia" w:ascii="仿宋_GB2312" w:hAnsi="微软雅黑" w:eastAsia="仿宋_GB2312" w:cs="宋体"/>
          <w:kern w:val="0"/>
          <w:sz w:val="32"/>
          <w:szCs w:val="32"/>
        </w:rPr>
        <w:t>支出。2020年，盐田区</w:t>
      </w:r>
      <w:r>
        <w:rPr>
          <w:rFonts w:hint="eastAsia" w:ascii="仿宋_GB2312" w:hAnsi="仿宋_GB2312" w:eastAsia="仿宋_GB2312"/>
          <w:color w:val="000000"/>
          <w:sz w:val="32"/>
        </w:rPr>
        <w:t>高水平举办庆祝深圳经济特区建立40周年系列活动，建成开放灯塔等7个图书馆，开展文化惠民活动1000余场。</w:t>
      </w:r>
      <w:r>
        <w:rPr>
          <w:rFonts w:hint="eastAsia" w:ascii="仿宋_GB2312" w:hAnsi="仿宋_GB2312" w:eastAsia="仿宋_GB2312"/>
          <w:color w:val="000000"/>
          <w:sz w:val="32"/>
          <w:lang w:eastAsia="zh-CN"/>
        </w:rPr>
        <w:t>增长的主要原因是：</w:t>
      </w:r>
      <w:r>
        <w:rPr>
          <w:rFonts w:hint="eastAsia" w:ascii="仿宋_GB2312" w:hAnsi="微软雅黑" w:eastAsia="仿宋_GB2312" w:cs="宋体"/>
          <w:kern w:val="0"/>
          <w:sz w:val="32"/>
          <w:szCs w:val="32"/>
        </w:rPr>
        <w:t>梅沙运动中心、盐田区游泳馆、盐田区体育中心室外网球场改造工程及设备购置等项目</w:t>
      </w:r>
      <w:r>
        <w:rPr>
          <w:rFonts w:hint="eastAsia" w:ascii="仿宋_GB2312" w:hAnsi="微软雅黑" w:eastAsia="仿宋_GB2312" w:cs="宋体"/>
          <w:kern w:val="0"/>
          <w:sz w:val="32"/>
          <w:szCs w:val="32"/>
          <w:lang w:eastAsia="zh-CN"/>
        </w:rPr>
        <w:t>同比增支</w:t>
      </w:r>
      <w:r>
        <w:rPr>
          <w:rFonts w:hint="eastAsia" w:ascii="仿宋_GB2312" w:hAnsi="微软雅黑" w:eastAsia="仿宋_GB2312" w:cs="宋体"/>
          <w:kern w:val="0"/>
          <w:sz w:val="32"/>
          <w:szCs w:val="32"/>
          <w:lang w:val="en-US" w:eastAsia="zh-CN"/>
        </w:rPr>
        <w:t>4,131万元</w:t>
      </w:r>
      <w:r>
        <w:rPr>
          <w:rFonts w:hint="eastAsia" w:ascii="仿宋_GB2312" w:hAnsi="微软雅黑" w:eastAsia="仿宋_GB2312" w:cs="宋体"/>
          <w:kern w:val="0"/>
          <w:sz w:val="32"/>
          <w:szCs w:val="32"/>
        </w:rPr>
        <w:t>。</w:t>
      </w:r>
    </w:p>
    <w:p>
      <w:pPr>
        <w:spacing w:line="579" w:lineRule="exact"/>
        <w:ind w:firstLine="642" w:firstLineChars="200"/>
        <w:rPr>
          <w:rFonts w:ascii="仿宋_GB2312" w:hAnsi="微软雅黑" w:eastAsia="仿宋_GB2312" w:cs="宋体"/>
          <w:kern w:val="0"/>
          <w:sz w:val="32"/>
          <w:szCs w:val="32"/>
        </w:rPr>
      </w:pPr>
      <w:r>
        <w:rPr>
          <w:rFonts w:hint="eastAsia" w:ascii="仿宋_GB2312" w:hAnsi="微软雅黑" w:eastAsia="仿宋_GB2312" w:cs="宋体"/>
          <w:b/>
          <w:color w:val="000000"/>
          <w:kern w:val="0"/>
          <w:sz w:val="32"/>
          <w:szCs w:val="32"/>
        </w:rPr>
        <w:t>（6）社会保障和就业支出25,836万元</w:t>
      </w:r>
      <w:r>
        <w:rPr>
          <w:rFonts w:hint="eastAsia" w:ascii="仿宋_GB2312" w:hAnsi="微软雅黑" w:eastAsia="仿宋_GB2312" w:cs="宋体"/>
          <w:b/>
          <w:color w:val="000000"/>
          <w:kern w:val="0"/>
          <w:sz w:val="32"/>
          <w:szCs w:val="32"/>
          <w:lang w:eastAsia="zh-CN"/>
        </w:rPr>
        <w:t>，剔除一次性因素</w:t>
      </w:r>
      <w:r>
        <w:rPr>
          <w:rFonts w:hint="eastAsia" w:ascii="仿宋_GB2312" w:hAnsi="微软雅黑" w:eastAsia="仿宋_GB2312" w:cs="宋体"/>
          <w:b/>
          <w:color w:val="000000"/>
          <w:kern w:val="0"/>
          <w:sz w:val="32"/>
          <w:szCs w:val="32"/>
          <w:lang w:val="en-US" w:eastAsia="zh-CN"/>
        </w:rPr>
        <w:t>后增长2.3%。</w:t>
      </w:r>
      <w:r>
        <w:rPr>
          <w:rFonts w:hint="eastAsia" w:ascii="仿宋_GB2312" w:hAnsi="微软雅黑" w:eastAsia="仿宋_GB2312" w:cs="宋体"/>
          <w:kern w:val="0"/>
          <w:sz w:val="32"/>
          <w:szCs w:val="32"/>
        </w:rPr>
        <w:t>该科目主要反映</w:t>
      </w:r>
      <w:r>
        <w:rPr>
          <w:rFonts w:hint="eastAsia" w:ascii="仿宋_GB2312" w:hAnsi="微软雅黑" w:eastAsia="仿宋_GB2312" w:cs="宋体"/>
          <w:kern w:val="0"/>
          <w:sz w:val="32"/>
          <w:szCs w:val="32"/>
          <w:lang w:eastAsia="zh-CN"/>
        </w:rPr>
        <w:t>政府在</w:t>
      </w:r>
      <w:r>
        <w:rPr>
          <w:rFonts w:hint="eastAsia" w:ascii="仿宋_GB2312" w:hAnsi="微软雅黑" w:eastAsia="仿宋_GB2312" w:cs="宋体"/>
          <w:kern w:val="0"/>
          <w:sz w:val="32"/>
          <w:szCs w:val="32"/>
        </w:rPr>
        <w:t>社会保障与就业方面的支出。</w:t>
      </w:r>
      <w:r>
        <w:rPr>
          <w:rFonts w:hint="eastAsia" w:ascii="仿宋_GB2312" w:hAnsi="宋体" w:eastAsia="仿宋_GB2312"/>
          <w:sz w:val="32"/>
          <w:szCs w:val="32"/>
        </w:rPr>
        <w:t>剔除的一次性因素是</w:t>
      </w:r>
      <w:r>
        <w:rPr>
          <w:rFonts w:hint="eastAsia" w:ascii="仿宋_GB2312" w:hAnsi="Calibri" w:eastAsia="仿宋_GB2312"/>
          <w:sz w:val="32"/>
        </w:rPr>
        <w:t>根据机关事业单位基本养老保险改革相关工作方案，机关养老保险基金归还</w:t>
      </w:r>
      <w:r>
        <w:rPr>
          <w:rFonts w:hint="eastAsia" w:ascii="仿宋_GB2312" w:eastAsia="仿宋_GB2312"/>
          <w:sz w:val="32"/>
          <w:lang w:eastAsia="zh-CN"/>
        </w:rPr>
        <w:t>区</w:t>
      </w:r>
      <w:r>
        <w:rPr>
          <w:rFonts w:hint="eastAsia" w:ascii="仿宋_GB2312" w:hAnsi="Calibri" w:eastAsia="仿宋_GB2312"/>
          <w:sz w:val="32"/>
        </w:rPr>
        <w:t>财政垫付资金，按规定相应冲减社会保障和就业支出。</w:t>
      </w:r>
      <w:r>
        <w:rPr>
          <w:rFonts w:hint="eastAsia" w:ascii="仿宋_GB2312" w:eastAsia="仿宋_GB2312"/>
          <w:sz w:val="32"/>
          <w:lang w:eastAsia="zh-CN"/>
        </w:rPr>
        <w:t>该科目</w:t>
      </w:r>
      <w:r>
        <w:rPr>
          <w:rFonts w:hint="eastAsia" w:ascii="仿宋_GB2312" w:hAnsi="微软雅黑" w:eastAsia="仿宋_GB2312" w:cs="宋体"/>
          <w:kern w:val="0"/>
          <w:sz w:val="32"/>
          <w:szCs w:val="32"/>
        </w:rPr>
        <w:t>主要支出包括：一是</w:t>
      </w:r>
      <w:r>
        <w:rPr>
          <w:rFonts w:hint="eastAsia" w:ascii="仿宋_GB2312" w:hAnsi="仿宋_GB2312" w:eastAsia="仿宋_GB2312"/>
          <w:color w:val="000000"/>
          <w:sz w:val="32"/>
        </w:rPr>
        <w:t>落实积极就业政策，加大人才引进力度,</w:t>
      </w:r>
      <w:r>
        <w:rPr>
          <w:rFonts w:hint="eastAsia"/>
        </w:rPr>
        <w:t xml:space="preserve"> </w:t>
      </w:r>
      <w:r>
        <w:rPr>
          <w:rFonts w:hint="eastAsia" w:ascii="仿宋_GB2312" w:hAnsi="仿宋_GB2312" w:eastAsia="仿宋_GB2312"/>
          <w:color w:val="000000"/>
          <w:sz w:val="32"/>
        </w:rPr>
        <w:t>促进居民就业专项资金支出470万元，人才发展专项资金支出9,475万元；二是关爱老年人、残疾人、低保低收入等弱势群体，提高高龄老人津贴发放标准,相关项目经费支出4,182万元；三是依法落实军人军属优待政策，实现退役军人安置优待经费、拥军优属慰问经费等各类支出1,637万元。</w:t>
      </w:r>
    </w:p>
    <w:p>
      <w:pPr>
        <w:pStyle w:val="6"/>
        <w:keepNext w:val="0"/>
        <w:keepLines w:val="0"/>
        <w:pageBreakBefore w:val="0"/>
        <w:widowControl/>
        <w:kinsoku/>
        <w:wordWrap/>
        <w:overflowPunct/>
        <w:topLinePunct w:val="0"/>
        <w:bidi w:val="0"/>
        <w:adjustRightInd/>
        <w:spacing w:beforeAutospacing="0" w:after="0" w:afterAutospacing="0" w:line="560" w:lineRule="exact"/>
        <w:ind w:right="-227" w:firstLine="642" w:firstLineChars="200"/>
        <w:jc w:val="both"/>
        <w:textAlignment w:val="auto"/>
        <w:rPr>
          <w:rFonts w:hint="eastAsia" w:ascii="仿宋_GB2312" w:hAnsi="仿宋_GB2312" w:eastAsia="仿宋_GB2312" w:cs="仿宋_GB2312"/>
          <w:kern w:val="2"/>
          <w:sz w:val="32"/>
        </w:rPr>
      </w:pPr>
      <w:r>
        <w:rPr>
          <w:rFonts w:hint="eastAsia" w:ascii="仿宋_GB2312" w:hAnsi="仿宋_GB2312" w:eastAsia="仿宋_GB2312" w:cs="仿宋_GB2312"/>
          <w:b/>
          <w:color w:val="000000"/>
          <w:kern w:val="2"/>
          <w:sz w:val="32"/>
        </w:rPr>
        <w:t>（7）卫生健康支出54,534万元,增长2.4</w:t>
      </w:r>
      <w:r>
        <w:rPr>
          <w:rFonts w:ascii="仿宋_GB2312" w:hAnsi="仿宋_GB2312" w:eastAsia="仿宋_GB2312" w:cs="仿宋_GB2312"/>
          <w:b/>
          <w:color w:val="000000"/>
          <w:kern w:val="2"/>
          <w:sz w:val="32"/>
        </w:rPr>
        <w:t>%</w:t>
      </w:r>
      <w:r>
        <w:rPr>
          <w:rFonts w:hint="eastAsia" w:ascii="仿宋_GB2312" w:hAnsi="仿宋_GB2312" w:eastAsia="仿宋_GB2312" w:cs="仿宋_GB2312"/>
          <w:b/>
          <w:color w:val="000000"/>
          <w:kern w:val="2"/>
          <w:sz w:val="32"/>
        </w:rPr>
        <w:t>。</w:t>
      </w:r>
      <w:r>
        <w:rPr>
          <w:rFonts w:hint="eastAsia" w:ascii="仿宋_GB2312" w:hAnsi="仿宋_GB2312" w:eastAsia="仿宋_GB2312" w:cs="仿宋_GB2312"/>
          <w:color w:val="000000"/>
          <w:kern w:val="2"/>
          <w:sz w:val="32"/>
        </w:rPr>
        <w:t>该科目主要反映</w:t>
      </w:r>
      <w:r>
        <w:rPr>
          <w:rFonts w:hint="eastAsia" w:ascii="仿宋_GB2312" w:hAnsi="仿宋_GB2312" w:eastAsia="仿宋_GB2312" w:cs="仿宋_GB2312"/>
          <w:color w:val="000000"/>
          <w:kern w:val="2"/>
          <w:sz w:val="32"/>
          <w:lang w:eastAsia="zh-CN"/>
        </w:rPr>
        <w:t>政府卫生健康方面的</w:t>
      </w:r>
      <w:r>
        <w:rPr>
          <w:rFonts w:hint="eastAsia" w:ascii="仿宋_GB2312" w:hAnsi="仿宋_GB2312" w:eastAsia="仿宋_GB2312" w:cs="仿宋_GB2312"/>
          <w:color w:val="000000"/>
          <w:kern w:val="2"/>
          <w:sz w:val="32"/>
        </w:rPr>
        <w:t>支出。</w:t>
      </w:r>
      <w:r>
        <w:rPr>
          <w:rFonts w:hint="eastAsia" w:ascii="仿宋_GB2312" w:hAnsi="仿宋_GB2312" w:eastAsia="仿宋_GB2312" w:cs="仿宋_GB2312"/>
          <w:kern w:val="2"/>
          <w:sz w:val="32"/>
          <w:lang w:val="en-US" w:eastAsia="zh-CN"/>
        </w:rPr>
        <w:t>2020年，</w:t>
      </w:r>
      <w:r>
        <w:rPr>
          <w:rFonts w:hint="eastAsia" w:ascii="仿宋_GB2312" w:hAnsi="仿宋_GB2312" w:eastAsia="仿宋_GB2312" w:cs="仿宋_GB2312"/>
          <w:kern w:val="2"/>
          <w:sz w:val="32"/>
          <w:lang w:val="zh-TW"/>
        </w:rPr>
        <w:t>区人民医院医疗综合楼开工建设，海涛等4个社康中心重建扩建工程全面完成，三甲医院创建稳步推进，甲状腺疾病诊疗中心、名中医馆建成启用，成功创建省级健康促进区</w:t>
      </w:r>
      <w:r>
        <w:rPr>
          <w:rFonts w:hint="eastAsia" w:ascii="仿宋_GB2312" w:hAnsi="仿宋_GB2312" w:eastAsia="仿宋_GB2312" w:cs="仿宋_GB2312"/>
          <w:kern w:val="2"/>
          <w:sz w:val="32"/>
          <w:lang w:val="zh-TW" w:eastAsia="zh-CN"/>
        </w:rPr>
        <w:t>。</w:t>
      </w:r>
      <w:r>
        <w:rPr>
          <w:rFonts w:hint="eastAsia" w:ascii="仿宋_GB2312" w:hAnsi="仿宋_GB2312" w:eastAsia="仿宋_GB2312" w:cs="仿宋_GB2312"/>
          <w:kern w:val="2"/>
          <w:sz w:val="32"/>
        </w:rPr>
        <w:t>统筹推进疫情防控工作，强化防疫物资保障，平稳开展医疗救治活动，广泛开展爱国卫生运动。</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hint="eastAsia" w:ascii="CESI仿宋-GB2312" w:hAnsi="CESI仿宋-GB2312" w:eastAsia="CESI仿宋-GB2312" w:cs="CESI仿宋-GB2312"/>
          <w:color w:val="000000"/>
          <w:sz w:val="32"/>
          <w:szCs w:val="32"/>
          <w:lang w:eastAsia="zh-CN"/>
        </w:rPr>
      </w:pPr>
      <w:r>
        <w:rPr>
          <w:rFonts w:hint="eastAsia" w:ascii="仿宋_GB2312" w:hAnsi="微软雅黑" w:eastAsia="仿宋_GB2312" w:cs="宋体"/>
          <w:b/>
          <w:color w:val="000000"/>
          <w:kern w:val="0"/>
          <w:sz w:val="32"/>
          <w:szCs w:val="32"/>
        </w:rPr>
        <w:t>（8）节能环保支出7,613万元,增长13</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仿宋_GB2312" w:eastAsia="仿宋_GB2312"/>
          <w:color w:val="000000"/>
          <w:sz w:val="32"/>
        </w:rPr>
        <w:t>该科目主要反映</w:t>
      </w:r>
      <w:r>
        <w:rPr>
          <w:rFonts w:hint="eastAsia" w:ascii="仿宋_GB2312" w:hAnsi="仿宋_GB2312" w:eastAsia="仿宋_GB2312"/>
          <w:color w:val="000000"/>
          <w:sz w:val="32"/>
          <w:lang w:eastAsia="zh-CN"/>
        </w:rPr>
        <w:t>政府节能环保</w:t>
      </w:r>
      <w:r>
        <w:rPr>
          <w:rFonts w:hint="eastAsia" w:ascii="仿宋_GB2312" w:hAnsi="仿宋_GB2312" w:eastAsia="仿宋_GB2312"/>
          <w:color w:val="000000"/>
          <w:sz w:val="32"/>
        </w:rPr>
        <w:t>支出。盐田区加大城市环境品质提升，加快建设资源化利用环境园等生态教育特</w:t>
      </w:r>
      <w:r>
        <w:rPr>
          <w:rFonts w:hint="eastAsia" w:ascii="CESI仿宋-GB2312" w:hAnsi="CESI仿宋-GB2312" w:eastAsia="CESI仿宋-GB2312" w:cs="CESI仿宋-GB2312"/>
          <w:color w:val="000000"/>
          <w:sz w:val="32"/>
          <w:szCs w:val="32"/>
        </w:rPr>
        <w:t>色项目，全面推进垃圾分类和减量化、资源化、无害化工作</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倡导绿色、生态的生活理念，并获“中国天然氧吧”称号</w:t>
      </w:r>
      <w:r>
        <w:rPr>
          <w:rFonts w:hint="eastAsia" w:ascii="CESI仿宋-GB2312" w:hAnsi="CESI仿宋-GB2312" w:eastAsia="CESI仿宋-GB2312" w:cs="CESI仿宋-GB2312"/>
          <w:color w:val="000000"/>
          <w:sz w:val="32"/>
          <w:szCs w:val="32"/>
        </w:rPr>
        <w:t>。主要支出包括：盐田区资源化利用环境园项目</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垃圾减量分类工作经费（含餐厨垃圾处理）</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公共自行车交通系统运营管理</w:t>
      </w:r>
      <w:r>
        <w:rPr>
          <w:rFonts w:hint="eastAsia" w:ascii="CESI仿宋-GB2312" w:hAnsi="CESI仿宋-GB2312" w:eastAsia="CESI仿宋-GB2312" w:cs="CESI仿宋-GB2312"/>
          <w:color w:val="000000"/>
          <w:sz w:val="32"/>
          <w:szCs w:val="32"/>
          <w:lang w:eastAsia="zh-CN"/>
        </w:rPr>
        <w:t>等。</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5"/>
        <w:jc w:val="both"/>
        <w:textAlignment w:val="auto"/>
        <w:rPr>
          <w:rFonts w:ascii="仿宋_GB2312" w:hAnsi="仿宋_GB2312" w:eastAsia="仿宋_GB2312"/>
          <w:color w:val="000000"/>
          <w:sz w:val="32"/>
        </w:rPr>
      </w:pPr>
      <w:r>
        <w:rPr>
          <w:rFonts w:hint="eastAsia" w:ascii="仿宋_GB2312" w:hAnsi="微软雅黑" w:eastAsia="仿宋_GB2312" w:cs="宋体"/>
          <w:b/>
          <w:color w:val="000000"/>
          <w:kern w:val="0"/>
          <w:sz w:val="32"/>
          <w:szCs w:val="32"/>
        </w:rPr>
        <w:t>（9）城乡社区支出133,154万元,下降30.6</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宋体" w:eastAsia="仿宋_GB2312"/>
          <w:sz w:val="32"/>
          <w:szCs w:val="32"/>
          <w:lang w:val="zh-CN"/>
        </w:rPr>
        <w:t>该科目主要反映政府城乡事务支出</w:t>
      </w:r>
      <w:r>
        <w:rPr>
          <w:rFonts w:hint="eastAsia" w:ascii="仿宋_GB2312" w:hAnsi="仿宋_GB2312" w:eastAsia="仿宋_GB2312"/>
          <w:color w:val="000000"/>
          <w:sz w:val="32"/>
        </w:rPr>
        <w:t>。</w:t>
      </w:r>
      <w:r>
        <w:rPr>
          <w:rFonts w:hint="eastAsia" w:ascii="仿宋_GB2312" w:hAnsi="仿宋_GB2312" w:eastAsia="仿宋_GB2312"/>
          <w:color w:val="000000"/>
          <w:sz w:val="32"/>
          <w:lang w:val="en-US" w:eastAsia="zh-CN"/>
        </w:rPr>
        <w:t>2020年，盐田区</w:t>
      </w:r>
      <w:r>
        <w:rPr>
          <w:rFonts w:hint="eastAsia" w:ascii="仿宋_GB2312" w:hAnsi="仿宋_GB2312" w:eastAsia="仿宋_GB2312"/>
          <w:color w:val="000000"/>
          <w:sz w:val="32"/>
        </w:rPr>
        <w:t>高标准完成6.9公里深盐路道路改造景观提升和69公里半山公园带建设，建成2个公园、3个花漾街区、6个立体绿化项目，大梅沙海滨公园完成重建开放，19.5公里海滨栈道全线修复贯通，相关项目支出66,382万元</w:t>
      </w:r>
      <w:r>
        <w:rPr>
          <w:rFonts w:hint="eastAsia" w:ascii="仿宋_GB2312" w:hAnsi="仿宋_GB2312" w:eastAsia="仿宋_GB2312"/>
          <w:color w:val="000000"/>
          <w:sz w:val="32"/>
          <w:lang w:eastAsia="zh-CN"/>
        </w:rPr>
        <w:t>。该科目</w:t>
      </w:r>
      <w:r>
        <w:rPr>
          <w:rFonts w:hint="eastAsia" w:ascii="仿宋_GB2312" w:hAnsi="仿宋_GB2312" w:eastAsia="仿宋_GB2312"/>
          <w:color w:val="000000"/>
          <w:sz w:val="32"/>
        </w:rPr>
        <w:t>下降的主要原因是2020年盐田港拖车综合服务中心一期项目、明珠道改造工程、大梅沙海滨公园整体重建工程（公园）等重点项目资金由“一般公共预算”安排调整为“政府性基金”安排。</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jc w:val="both"/>
        <w:textAlignment w:val="auto"/>
        <w:rPr>
          <w:rFonts w:ascii="仿宋_GB2312" w:hAnsi="微软雅黑" w:eastAsia="仿宋_GB2312" w:cs="宋体"/>
          <w:color w:val="FF0000"/>
          <w:kern w:val="0"/>
          <w:sz w:val="32"/>
          <w:szCs w:val="32"/>
        </w:rPr>
      </w:pPr>
      <w:r>
        <w:rPr>
          <w:rFonts w:hint="eastAsia" w:ascii="仿宋_GB2312" w:hAnsi="微软雅黑" w:eastAsia="仿宋_GB2312" w:cs="宋体"/>
          <w:b/>
          <w:color w:val="000000"/>
          <w:kern w:val="0"/>
          <w:sz w:val="32"/>
          <w:szCs w:val="32"/>
        </w:rPr>
        <w:t>（10）农林水支出22,743万元，增长24.4%。</w:t>
      </w:r>
      <w:r>
        <w:rPr>
          <w:rFonts w:hint="eastAsia" w:ascii="仿宋_GB2312" w:hAnsi="微软雅黑" w:eastAsia="仿宋_GB2312" w:cs="宋体"/>
          <w:color w:val="000000"/>
          <w:kern w:val="0"/>
          <w:sz w:val="32"/>
          <w:szCs w:val="32"/>
        </w:rPr>
        <w:t>该科目主要反映</w:t>
      </w:r>
      <w:r>
        <w:rPr>
          <w:rFonts w:hint="eastAsia" w:ascii="仿宋_GB2312" w:hAnsi="微软雅黑" w:eastAsia="仿宋_GB2312" w:cs="宋体"/>
          <w:color w:val="000000"/>
          <w:kern w:val="0"/>
          <w:sz w:val="32"/>
          <w:szCs w:val="32"/>
          <w:lang w:eastAsia="zh-CN"/>
        </w:rPr>
        <w:t>政府农林水事务</w:t>
      </w:r>
      <w:r>
        <w:rPr>
          <w:rFonts w:hint="eastAsia" w:ascii="仿宋_GB2312" w:hAnsi="微软雅黑" w:eastAsia="仿宋_GB2312" w:cs="宋体"/>
          <w:color w:val="000000"/>
          <w:kern w:val="0"/>
          <w:sz w:val="32"/>
          <w:szCs w:val="32"/>
        </w:rPr>
        <w:t>支出。主要支出包括：加快海绵城区建设，扎实推进排水管理进小区，加强排水管网修复，重点保障水库、河道、防洪设施等工程建设，其中盐田区居民小区二次供水设施改造工程、优质饮用水入户管网更新维护、排水管理进小区工作经费等项目支出15,540万元，增支7,098万元。</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jc w:val="both"/>
        <w:textAlignment w:val="auto"/>
        <w:rPr>
          <w:rFonts w:ascii="仿宋_GB2312" w:eastAsia="仿宋_GB2312" w:cs="仿宋_GB2312"/>
          <w:sz w:val="32"/>
          <w:szCs w:val="32"/>
        </w:rPr>
      </w:pPr>
      <w:r>
        <w:rPr>
          <w:rFonts w:hint="eastAsia" w:ascii="仿宋_GB2312" w:hAnsi="微软雅黑" w:eastAsia="仿宋_GB2312" w:cs="宋体"/>
          <w:b/>
          <w:color w:val="000000"/>
          <w:kern w:val="0"/>
          <w:sz w:val="32"/>
          <w:szCs w:val="32"/>
        </w:rPr>
        <w:t>（</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1）</w:t>
      </w:r>
      <w:r>
        <w:rPr>
          <w:rFonts w:hint="eastAsia" w:ascii="仿宋_GB2312" w:hAnsi="宋体" w:eastAsia="仿宋_GB2312"/>
          <w:b/>
          <w:sz w:val="32"/>
          <w:szCs w:val="32"/>
        </w:rPr>
        <w:t>交通运输支出1,342万元，</w:t>
      </w:r>
      <w:r>
        <w:rPr>
          <w:rFonts w:hint="eastAsia" w:ascii="仿宋_GB2312" w:hAnsi="微软雅黑" w:eastAsia="仿宋_GB2312" w:cs="宋体"/>
          <w:b/>
          <w:color w:val="000000"/>
          <w:kern w:val="0"/>
          <w:sz w:val="32"/>
          <w:szCs w:val="32"/>
        </w:rPr>
        <w:t>下降2.1%</w:t>
      </w:r>
      <w:r>
        <w:rPr>
          <w:rFonts w:hint="eastAsia" w:ascii="仿宋_GB2312" w:hAnsi="宋体" w:eastAsia="仿宋_GB2312"/>
          <w:b/>
          <w:sz w:val="32"/>
          <w:szCs w:val="32"/>
        </w:rPr>
        <w:t>。</w:t>
      </w:r>
      <w:r>
        <w:rPr>
          <w:rFonts w:hint="eastAsia" w:ascii="仿宋_GB2312" w:hAnsi="宋体" w:eastAsia="仿宋_GB2312"/>
          <w:sz w:val="32"/>
          <w:szCs w:val="32"/>
        </w:rPr>
        <w:t>该科目主要反映</w:t>
      </w:r>
      <w:r>
        <w:rPr>
          <w:rFonts w:hint="eastAsia" w:ascii="仿宋_GB2312" w:hAnsi="宋体" w:eastAsia="仿宋_GB2312"/>
          <w:sz w:val="32"/>
          <w:szCs w:val="32"/>
          <w:lang w:eastAsia="zh-CN"/>
        </w:rPr>
        <w:t>交通运输和邮政业方面的</w:t>
      </w:r>
      <w:r>
        <w:rPr>
          <w:rFonts w:hint="eastAsia" w:ascii="仿宋_GB2312" w:hAnsi="宋体" w:eastAsia="仿宋_GB2312"/>
          <w:sz w:val="32"/>
          <w:szCs w:val="32"/>
        </w:rPr>
        <w:t>支出。主要支出包括：一是深圳市交通运输局盐田管理局开展的《深圳市梅沙小运量环线详细规划》等课题支出447万元。二是中青二路工程、北山道北段路基改桥工程等基建项目支出297万元。三是海事服务专项经费支出200万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5"/>
        <w:jc w:val="both"/>
        <w:textAlignment w:val="auto"/>
        <w:rPr>
          <w:rFonts w:hint="eastAsia" w:ascii="仿宋_GB2312" w:eastAsia="仿宋_GB2312" w:cs="仿宋_GB2312"/>
          <w:sz w:val="32"/>
          <w:szCs w:val="32"/>
        </w:rPr>
      </w:pPr>
      <w:r>
        <w:rPr>
          <w:rFonts w:hint="eastAsia" w:ascii="仿宋_GB2312" w:hAnsi="微软雅黑" w:eastAsia="仿宋_GB2312" w:cs="宋体"/>
          <w:b/>
          <w:color w:val="000000"/>
          <w:kern w:val="0"/>
          <w:sz w:val="32"/>
          <w:szCs w:val="32"/>
        </w:rPr>
        <w:t>（12）资源勘探</w:t>
      </w:r>
      <w:r>
        <w:rPr>
          <w:rFonts w:hint="eastAsia" w:ascii="仿宋_GB2312" w:hAnsi="微软雅黑" w:eastAsia="仿宋_GB2312" w:cs="宋体"/>
          <w:b/>
          <w:color w:val="000000"/>
          <w:kern w:val="0"/>
          <w:sz w:val="32"/>
          <w:szCs w:val="32"/>
          <w:lang w:eastAsia="zh-CN"/>
        </w:rPr>
        <w:t>工业</w:t>
      </w:r>
      <w:r>
        <w:rPr>
          <w:rFonts w:hint="eastAsia" w:ascii="仿宋_GB2312" w:hAnsi="微软雅黑" w:eastAsia="仿宋_GB2312" w:cs="宋体"/>
          <w:b/>
          <w:color w:val="000000"/>
          <w:kern w:val="0"/>
          <w:sz w:val="32"/>
          <w:szCs w:val="32"/>
        </w:rPr>
        <w:t>信息等支出3,237万元，增长1434.1%。</w:t>
      </w:r>
      <w:r>
        <w:rPr>
          <w:rFonts w:hint="eastAsia" w:ascii="仿宋_GB2312" w:eastAsia="仿宋_GB2312" w:cs="仿宋_GB2312"/>
          <w:sz w:val="32"/>
          <w:szCs w:val="32"/>
        </w:rPr>
        <w:t>该科目主要反映用</w:t>
      </w:r>
      <w:r>
        <w:rPr>
          <w:rFonts w:hint="eastAsia" w:ascii="仿宋_GB2312" w:eastAsia="仿宋_GB2312" w:cs="仿宋_GB2312"/>
          <w:sz w:val="32"/>
          <w:szCs w:val="32"/>
          <w:lang w:eastAsia="zh-CN"/>
        </w:rPr>
        <w:t>于</w:t>
      </w:r>
      <w:r>
        <w:rPr>
          <w:rFonts w:hint="eastAsia" w:ascii="仿宋_GB2312" w:eastAsia="仿宋_GB2312" w:cs="仿宋_GB2312"/>
          <w:sz w:val="32"/>
          <w:szCs w:val="32"/>
        </w:rPr>
        <w:t>资源勘探、</w:t>
      </w:r>
      <w:r>
        <w:rPr>
          <w:rFonts w:hint="eastAsia" w:ascii="仿宋_GB2312" w:eastAsia="仿宋_GB2312" w:cs="仿宋_GB2312"/>
          <w:sz w:val="32"/>
          <w:szCs w:val="32"/>
          <w:lang w:eastAsia="zh-CN"/>
        </w:rPr>
        <w:t>制造业、建筑业、工业信息等方面的</w:t>
      </w:r>
      <w:r>
        <w:rPr>
          <w:rFonts w:hint="eastAsia" w:ascii="仿宋_GB2312" w:eastAsia="仿宋_GB2312" w:cs="仿宋_GB2312"/>
          <w:sz w:val="32"/>
          <w:szCs w:val="32"/>
        </w:rPr>
        <w:t>支出。增长的主要原因是：为稳定工业经济发展，促进工业产业转型升级，</w:t>
      </w:r>
      <w:r>
        <w:rPr>
          <w:rFonts w:hint="eastAsia" w:ascii="仿宋_GB2312" w:eastAsia="仿宋_GB2312" w:cs="仿宋_GB2312"/>
          <w:sz w:val="32"/>
          <w:szCs w:val="32"/>
          <w:lang w:eastAsia="zh-CN"/>
        </w:rPr>
        <w:t>增加</w:t>
      </w:r>
      <w:r>
        <w:rPr>
          <w:rFonts w:hint="eastAsia" w:ascii="仿宋_GB2312" w:eastAsia="仿宋_GB2312" w:cs="仿宋_GB2312"/>
          <w:sz w:val="32"/>
          <w:szCs w:val="32"/>
        </w:rPr>
        <w:t>工业稳增长</w:t>
      </w:r>
      <w:r>
        <w:rPr>
          <w:rFonts w:hint="eastAsia" w:ascii="仿宋_GB2312" w:eastAsia="仿宋_GB2312" w:cs="仿宋_GB2312"/>
          <w:sz w:val="32"/>
          <w:szCs w:val="32"/>
          <w:lang w:eastAsia="zh-CN"/>
        </w:rPr>
        <w:t>项目经费投入</w:t>
      </w:r>
      <w:r>
        <w:rPr>
          <w:rFonts w:hint="eastAsia" w:ascii="仿宋_GB2312" w:eastAsia="仿宋_GB2312" w:cs="仿宋_GB2312"/>
          <w:sz w:val="32"/>
          <w:szCs w:val="32"/>
        </w:rPr>
        <w:t>。</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5"/>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b/>
          <w:color w:val="000000"/>
          <w:kern w:val="0"/>
          <w:sz w:val="32"/>
          <w:szCs w:val="32"/>
        </w:rPr>
        <w:t>（</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3）住房保障支出61,873万元，增长48.3</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微软雅黑" w:eastAsia="仿宋_GB2312" w:cs="宋体"/>
          <w:color w:val="000000"/>
          <w:kern w:val="0"/>
          <w:sz w:val="32"/>
          <w:szCs w:val="32"/>
        </w:rPr>
        <w:t>该科目主要反映</w:t>
      </w:r>
      <w:r>
        <w:rPr>
          <w:rFonts w:hint="eastAsia" w:ascii="仿宋_GB2312" w:hAnsi="微软雅黑" w:eastAsia="仿宋_GB2312" w:cs="宋体"/>
          <w:color w:val="000000"/>
          <w:kern w:val="0"/>
          <w:sz w:val="32"/>
          <w:szCs w:val="32"/>
          <w:lang w:eastAsia="zh-CN"/>
        </w:rPr>
        <w:t>政府</w:t>
      </w:r>
      <w:r>
        <w:rPr>
          <w:rFonts w:hint="eastAsia" w:ascii="仿宋_GB2312" w:hAnsi="微软雅黑" w:eastAsia="仿宋_GB2312" w:cs="宋体"/>
          <w:color w:val="000000"/>
          <w:kern w:val="0"/>
          <w:sz w:val="32"/>
          <w:szCs w:val="32"/>
        </w:rPr>
        <w:t>用于</w:t>
      </w:r>
      <w:r>
        <w:rPr>
          <w:rFonts w:hint="eastAsia" w:ascii="仿宋_GB2312" w:hAnsi="微软雅黑" w:eastAsia="仿宋_GB2312" w:cs="宋体"/>
          <w:color w:val="000000"/>
          <w:kern w:val="0"/>
          <w:sz w:val="32"/>
          <w:szCs w:val="32"/>
          <w:lang w:eastAsia="zh-CN"/>
        </w:rPr>
        <w:t>住房方面的</w:t>
      </w:r>
      <w:r>
        <w:rPr>
          <w:rFonts w:hint="eastAsia" w:ascii="仿宋_GB2312" w:hAnsi="微软雅黑" w:eastAsia="仿宋_GB2312" w:cs="宋体"/>
          <w:color w:val="000000"/>
          <w:kern w:val="0"/>
          <w:sz w:val="32"/>
          <w:szCs w:val="32"/>
        </w:rPr>
        <w:t>支出。</w:t>
      </w:r>
      <w:r>
        <w:rPr>
          <w:rFonts w:hint="eastAsia" w:ascii="仿宋_GB2312" w:hAnsi="微软雅黑" w:eastAsia="仿宋_GB2312" w:cs="宋体"/>
          <w:kern w:val="0"/>
          <w:sz w:val="32"/>
          <w:szCs w:val="32"/>
        </w:rPr>
        <w:t>我区加大人才住房和保障性住房建设力度，新开工筹集人才住房和保障性住房3546套。增长的主要原因是：第七期人才住房项目支出12,000万元。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5"/>
        <w:jc w:val="both"/>
        <w:textAlignment w:val="auto"/>
        <w:rPr>
          <w:rFonts w:hint="default" w:ascii="仿宋_GB2312" w:hAnsi="微软雅黑" w:eastAsia="仿宋_GB2312" w:cs="宋体"/>
          <w:kern w:val="0"/>
          <w:sz w:val="32"/>
          <w:szCs w:val="32"/>
          <w:lang w:val="en-US" w:eastAsia="zh-CN"/>
        </w:rPr>
      </w:pPr>
      <w:r>
        <w:rPr>
          <w:rFonts w:hint="eastAsia" w:ascii="仿宋_GB2312" w:hAnsi="微软雅黑" w:eastAsia="仿宋_GB2312" w:cs="宋体"/>
          <w:b/>
          <w:color w:val="000000"/>
          <w:kern w:val="0"/>
          <w:sz w:val="32"/>
          <w:szCs w:val="32"/>
        </w:rPr>
        <w:t>（</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4）灾害防治及应急管理支出13,424万元，增长16.4</w:t>
      </w:r>
      <w:r>
        <w:rPr>
          <w:rFonts w:ascii="仿宋_GB2312" w:hAnsi="微软雅黑" w:eastAsia="仿宋_GB2312" w:cs="宋体"/>
          <w:b/>
          <w:color w:val="000000"/>
          <w:kern w:val="0"/>
          <w:sz w:val="32"/>
          <w:szCs w:val="32"/>
        </w:rPr>
        <w:t>%</w:t>
      </w:r>
      <w:r>
        <w:rPr>
          <w:rFonts w:hint="eastAsia" w:ascii="仿宋_GB2312" w:hAnsi="微软雅黑" w:eastAsia="仿宋_GB2312" w:cs="宋体"/>
          <w:b/>
          <w:color w:val="000000"/>
          <w:kern w:val="0"/>
          <w:sz w:val="32"/>
          <w:szCs w:val="32"/>
        </w:rPr>
        <w:t>。</w:t>
      </w:r>
      <w:r>
        <w:rPr>
          <w:rFonts w:hint="eastAsia" w:ascii="仿宋_GB2312" w:hAnsi="微软雅黑" w:eastAsia="仿宋_GB2312" w:cs="宋体"/>
          <w:color w:val="000000"/>
          <w:kern w:val="0"/>
          <w:sz w:val="32"/>
          <w:szCs w:val="32"/>
        </w:rPr>
        <w:t>该科目</w:t>
      </w:r>
      <w:r>
        <w:rPr>
          <w:rFonts w:hint="eastAsia" w:ascii="仿宋_GB2312" w:eastAsia="仿宋_GB2312" w:cs="仿宋_GB2312"/>
          <w:sz w:val="32"/>
          <w:szCs w:val="32"/>
        </w:rPr>
        <w:t>主要反映政府用于自然灾害防治、安全生产监管及应急管理等方面的支出</w:t>
      </w:r>
      <w:r>
        <w:rPr>
          <w:rFonts w:hint="eastAsia" w:ascii="仿宋_GB2312" w:hAnsi="微软雅黑" w:eastAsia="仿宋_GB2312" w:cs="宋体"/>
          <w:kern w:val="0"/>
          <w:sz w:val="32"/>
          <w:szCs w:val="32"/>
        </w:rPr>
        <w:t>，主要支出包括：应急管理事务支出8,147万元，消防事务支出6,834万元</w:t>
      </w:r>
      <w:r>
        <w:rPr>
          <w:rFonts w:hint="eastAsia" w:ascii="仿宋_GB2312" w:hAnsi="微软雅黑" w:eastAsia="仿宋_GB2312" w:cs="宋体"/>
          <w:kern w:val="0"/>
          <w:sz w:val="32"/>
          <w:szCs w:val="32"/>
          <w:lang w:eastAsia="zh-CN"/>
        </w:rPr>
        <w:t>，增长的主要原因是：梅沙消防站项目增支</w:t>
      </w:r>
      <w:r>
        <w:rPr>
          <w:rFonts w:hint="eastAsia" w:ascii="仿宋_GB2312" w:hAnsi="微软雅黑" w:eastAsia="仿宋_GB2312" w:cs="宋体"/>
          <w:kern w:val="0"/>
          <w:sz w:val="32"/>
          <w:szCs w:val="32"/>
          <w:lang w:val="en-US" w:eastAsia="zh-CN"/>
        </w:rPr>
        <w:t>2993万元。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b/>
          <w:color w:val="000000"/>
          <w:kern w:val="0"/>
          <w:sz w:val="32"/>
          <w:szCs w:val="32"/>
        </w:rPr>
        <w:t>（</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5）其他支出-48,978万元，</w:t>
      </w:r>
      <w:r>
        <w:rPr>
          <w:rFonts w:hint="eastAsia" w:ascii="仿宋_GB2312" w:hAnsi="微软雅黑" w:eastAsia="仿宋_GB2312" w:cs="宋体"/>
          <w:b/>
          <w:color w:val="000000"/>
          <w:kern w:val="0"/>
          <w:sz w:val="32"/>
          <w:szCs w:val="32"/>
          <w:lang w:eastAsia="zh-CN"/>
        </w:rPr>
        <w:t>剔除</w:t>
      </w:r>
      <w:r>
        <w:rPr>
          <w:rFonts w:hint="eastAsia" w:ascii="仿宋_GB2312" w:hAnsi="微软雅黑" w:eastAsia="仿宋_GB2312" w:cs="宋体"/>
          <w:b/>
          <w:color w:val="000000"/>
          <w:kern w:val="0"/>
          <w:sz w:val="32"/>
          <w:szCs w:val="32"/>
          <w:lang w:val="en-US" w:eastAsia="zh-CN"/>
        </w:rPr>
        <w:t>2020年收回政府投资引导基金因素后下降41.4%</w:t>
      </w:r>
      <w:r>
        <w:rPr>
          <w:rFonts w:hint="eastAsia" w:ascii="仿宋_GB2312" w:hAnsi="微软雅黑" w:eastAsia="仿宋_GB2312" w:cs="宋体"/>
          <w:b/>
          <w:color w:val="000000"/>
          <w:kern w:val="0"/>
          <w:sz w:val="32"/>
          <w:szCs w:val="32"/>
        </w:rPr>
        <w:t>。</w:t>
      </w:r>
      <w:r>
        <w:rPr>
          <w:rFonts w:hint="eastAsia" w:ascii="仿宋_GB2312" w:hAnsi="微软雅黑" w:eastAsia="仿宋_GB2312" w:cs="宋体"/>
          <w:color w:val="000000"/>
          <w:kern w:val="0"/>
          <w:sz w:val="32"/>
          <w:szCs w:val="32"/>
        </w:rPr>
        <w:t>该科目主要</w:t>
      </w:r>
      <w:r>
        <w:rPr>
          <w:rFonts w:hint="eastAsia" w:ascii="仿宋_GB2312" w:hAnsi="微软雅黑" w:eastAsia="仿宋_GB2312" w:cs="宋体"/>
          <w:kern w:val="0"/>
          <w:sz w:val="32"/>
          <w:szCs w:val="32"/>
        </w:rPr>
        <w:t>反映</w:t>
      </w:r>
      <w:r>
        <w:rPr>
          <w:rFonts w:hint="eastAsia" w:ascii="仿宋_GB2312" w:hAnsi="微软雅黑" w:eastAsia="仿宋_GB2312" w:cs="宋体"/>
          <w:kern w:val="0"/>
          <w:sz w:val="32"/>
          <w:szCs w:val="32"/>
          <w:lang w:eastAsia="zh-CN"/>
        </w:rPr>
        <w:t>不能划分到上述功能</w:t>
      </w:r>
      <w:r>
        <w:rPr>
          <w:rFonts w:hint="eastAsia" w:ascii="仿宋_GB2312" w:hAnsi="微软雅黑" w:eastAsia="仿宋_GB2312" w:cs="宋体"/>
          <w:kern w:val="0"/>
          <w:sz w:val="32"/>
          <w:szCs w:val="32"/>
        </w:rPr>
        <w:t>科目的其他</w:t>
      </w:r>
      <w:r>
        <w:rPr>
          <w:rFonts w:hint="eastAsia" w:ascii="仿宋_GB2312" w:hAnsi="微软雅黑" w:eastAsia="仿宋_GB2312" w:cs="宋体"/>
          <w:kern w:val="0"/>
          <w:sz w:val="32"/>
          <w:szCs w:val="32"/>
          <w:lang w:eastAsia="zh-CN"/>
        </w:rPr>
        <w:t>政府</w:t>
      </w:r>
      <w:r>
        <w:rPr>
          <w:rFonts w:hint="eastAsia" w:ascii="仿宋_GB2312" w:hAnsi="微软雅黑" w:eastAsia="仿宋_GB2312" w:cs="宋体"/>
          <w:kern w:val="0"/>
          <w:sz w:val="32"/>
          <w:szCs w:val="32"/>
        </w:rPr>
        <w:t>支出。下降的主要原因是为加强财政资金统筹使用，收回政府投资引导基金5.0亿元，冲销当年支出。</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b/>
          <w:kern w:val="0"/>
          <w:sz w:val="32"/>
          <w:szCs w:val="32"/>
        </w:rPr>
        <w:t>（16）债务付息支出568万元。</w:t>
      </w:r>
      <w:r>
        <w:rPr>
          <w:rFonts w:hint="eastAsia" w:ascii="仿宋_GB2312" w:hAnsi="微软雅黑" w:eastAsia="仿宋_GB2312" w:cs="宋体"/>
          <w:kern w:val="0"/>
          <w:sz w:val="32"/>
          <w:szCs w:val="32"/>
        </w:rPr>
        <w:t>该科目主要反映用于归还债务利息所发生的支出。</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ascii="仿宋_GB2312" w:eastAsia="仿宋_GB2312"/>
          <w:sz w:val="32"/>
          <w:szCs w:val="32"/>
        </w:rPr>
      </w:pPr>
      <w:r>
        <w:rPr>
          <w:rFonts w:hint="eastAsia" w:ascii="仿宋_GB2312" w:hAnsi="宋体" w:eastAsia="仿宋_GB2312"/>
          <w:b/>
          <w:sz w:val="32"/>
          <w:szCs w:val="32"/>
        </w:rPr>
        <w:t>2.各项转移性支出14</w:t>
      </w:r>
      <w:r>
        <w:rPr>
          <w:rFonts w:hint="eastAsia" w:ascii="仿宋_GB2312" w:hAnsi="宋体" w:eastAsia="仿宋_GB2312"/>
          <w:b/>
          <w:sz w:val="32"/>
          <w:szCs w:val="32"/>
          <w:lang w:val="en-US" w:eastAsia="zh-CN"/>
        </w:rPr>
        <w:t>4</w:t>
      </w:r>
      <w:r>
        <w:rPr>
          <w:rFonts w:hint="eastAsia" w:ascii="仿宋_GB2312" w:hAnsi="宋体" w:eastAsia="仿宋_GB2312"/>
          <w:b/>
          <w:sz w:val="32"/>
          <w:szCs w:val="32"/>
        </w:rPr>
        <w:t>,</w:t>
      </w:r>
      <w:r>
        <w:rPr>
          <w:rFonts w:hint="eastAsia" w:ascii="仿宋_GB2312" w:hAnsi="宋体" w:eastAsia="仿宋_GB2312"/>
          <w:b/>
          <w:sz w:val="32"/>
          <w:szCs w:val="32"/>
          <w:lang w:val="en-US" w:eastAsia="zh-CN"/>
        </w:rPr>
        <w:t>339</w:t>
      </w:r>
      <w:r>
        <w:rPr>
          <w:rFonts w:hint="eastAsia" w:ascii="仿宋_GB2312" w:hAnsi="宋体" w:eastAsia="仿宋_GB2312"/>
          <w:b/>
          <w:sz w:val="32"/>
          <w:szCs w:val="32"/>
        </w:rPr>
        <w:t>万元。</w:t>
      </w:r>
      <w:r>
        <w:rPr>
          <w:rFonts w:hint="eastAsia" w:ascii="仿宋_GB2312" w:hAnsi="宋体" w:eastAsia="仿宋_GB2312"/>
          <w:sz w:val="32"/>
          <w:szCs w:val="32"/>
        </w:rPr>
        <w:t>主要包括：</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ascii="仿宋_GB2312" w:hAnsi="微软雅黑" w:eastAsia="仿宋_GB2312" w:cs="宋体"/>
          <w:bCs/>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b/>
          <w:kern w:val="0"/>
          <w:sz w:val="32"/>
          <w:szCs w:val="32"/>
        </w:rPr>
        <w:t>上解支出41,4</w:t>
      </w:r>
      <w:r>
        <w:rPr>
          <w:rFonts w:hint="eastAsia" w:ascii="仿宋_GB2312" w:hAnsi="微软雅黑" w:eastAsia="仿宋_GB2312" w:cs="宋体"/>
          <w:b/>
          <w:kern w:val="0"/>
          <w:sz w:val="32"/>
          <w:szCs w:val="32"/>
          <w:lang w:val="en-US" w:eastAsia="zh-CN"/>
        </w:rPr>
        <w:t>60</w:t>
      </w:r>
      <w:r>
        <w:rPr>
          <w:rFonts w:hint="eastAsia" w:ascii="仿宋_GB2312" w:hAnsi="微软雅黑" w:eastAsia="仿宋_GB2312" w:cs="宋体"/>
          <w:b/>
          <w:kern w:val="0"/>
          <w:sz w:val="32"/>
          <w:szCs w:val="32"/>
        </w:rPr>
        <w:t>万元。</w:t>
      </w:r>
      <w:r>
        <w:rPr>
          <w:rFonts w:hint="eastAsia" w:ascii="仿宋_GB2312" w:hAnsi="微软雅黑" w:eastAsia="仿宋_GB2312" w:cs="宋体"/>
          <w:kern w:val="0"/>
          <w:sz w:val="32"/>
          <w:szCs w:val="32"/>
        </w:rPr>
        <w:t>上解中央支</w:t>
      </w:r>
      <w:r>
        <w:rPr>
          <w:rFonts w:hint="eastAsia" w:ascii="仿宋_GB2312" w:hAnsi="微软雅黑" w:eastAsia="仿宋_GB2312" w:cs="宋体"/>
          <w:bCs/>
          <w:kern w:val="0"/>
          <w:sz w:val="32"/>
          <w:szCs w:val="32"/>
        </w:rPr>
        <w:t>出4,193万元，主要是税务部门经费基数上解2,934万元</w:t>
      </w:r>
      <w:r>
        <w:rPr>
          <w:rFonts w:hint="eastAsia" w:ascii="仿宋_GB2312" w:hAnsi="宋体" w:eastAsia="仿宋_GB2312"/>
          <w:sz w:val="32"/>
          <w:szCs w:val="32"/>
        </w:rPr>
        <w:t>；</w:t>
      </w:r>
      <w:r>
        <w:rPr>
          <w:rFonts w:hint="eastAsia" w:ascii="仿宋_GB2312" w:hAnsi="微软雅黑" w:eastAsia="仿宋_GB2312" w:cs="宋体"/>
          <w:bCs/>
          <w:kern w:val="0"/>
          <w:sz w:val="32"/>
          <w:szCs w:val="32"/>
        </w:rPr>
        <w:t>上解省支出17,7</w:t>
      </w:r>
      <w:r>
        <w:rPr>
          <w:rFonts w:hint="eastAsia" w:ascii="仿宋_GB2312" w:hAnsi="微软雅黑" w:eastAsia="仿宋_GB2312" w:cs="宋体"/>
          <w:bCs/>
          <w:kern w:val="0"/>
          <w:sz w:val="32"/>
          <w:szCs w:val="32"/>
          <w:lang w:val="en-US" w:eastAsia="zh-CN"/>
        </w:rPr>
        <w:t>39</w:t>
      </w:r>
      <w:r>
        <w:rPr>
          <w:rFonts w:hint="eastAsia" w:ascii="仿宋_GB2312" w:hAnsi="微软雅黑" w:eastAsia="仿宋_GB2312" w:cs="宋体"/>
          <w:bCs/>
          <w:kern w:val="0"/>
          <w:sz w:val="32"/>
          <w:szCs w:val="32"/>
        </w:rPr>
        <w:t>万元，主要是体制合并定额上解15,772万元；上解市支出19,52</w:t>
      </w:r>
      <w:r>
        <w:rPr>
          <w:rFonts w:hint="eastAsia" w:ascii="仿宋_GB2312" w:hAnsi="微软雅黑" w:eastAsia="仿宋_GB2312" w:cs="宋体"/>
          <w:bCs/>
          <w:kern w:val="0"/>
          <w:sz w:val="32"/>
          <w:szCs w:val="32"/>
          <w:lang w:val="en-US" w:eastAsia="zh-CN"/>
        </w:rPr>
        <w:t>8</w:t>
      </w:r>
      <w:r>
        <w:rPr>
          <w:rFonts w:hint="eastAsia" w:ascii="仿宋_GB2312" w:hAnsi="微软雅黑" w:eastAsia="仿宋_GB2312" w:cs="宋体"/>
          <w:bCs/>
          <w:kern w:val="0"/>
          <w:sz w:val="32"/>
          <w:szCs w:val="32"/>
        </w:rPr>
        <w:t>万元，主要是第五轮体制结算定额上解10,608万元。</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ascii="仿宋_GB2312" w:hAnsi="宋体" w:eastAsia="仿宋_GB2312"/>
          <w:sz w:val="32"/>
          <w:szCs w:val="32"/>
        </w:rPr>
      </w:pPr>
      <w:r>
        <w:rPr>
          <w:rFonts w:hint="eastAsia" w:ascii="仿宋_GB2312" w:hAnsi="微软雅黑" w:eastAsia="仿宋_GB2312" w:cs="宋体"/>
          <w:b/>
          <w:color w:val="000000"/>
          <w:kern w:val="0"/>
          <w:sz w:val="32"/>
          <w:szCs w:val="32"/>
        </w:rPr>
        <w:t>（2）</w:t>
      </w:r>
      <w:r>
        <w:rPr>
          <w:rFonts w:hint="eastAsia" w:ascii="仿宋_GB2312" w:hAnsi="宋体" w:eastAsia="仿宋_GB2312"/>
          <w:b/>
          <w:bCs/>
          <w:sz w:val="32"/>
          <w:szCs w:val="32"/>
        </w:rPr>
        <w:t>债务还本支出0元。</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b/>
          <w:bCs/>
          <w:sz w:val="32"/>
          <w:szCs w:val="32"/>
        </w:rPr>
        <w:t>（3）安排本级预算稳定调节基金支出1</w:t>
      </w:r>
      <w:r>
        <w:rPr>
          <w:rFonts w:hint="eastAsia" w:ascii="仿宋_GB2312" w:hAnsi="宋体" w:eastAsia="仿宋_GB2312"/>
          <w:b/>
          <w:bCs/>
          <w:sz w:val="32"/>
          <w:szCs w:val="32"/>
          <w:lang w:val="en-US" w:eastAsia="zh-CN"/>
        </w:rPr>
        <w:t>02</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879</w:t>
      </w:r>
      <w:r>
        <w:rPr>
          <w:rFonts w:hint="eastAsia" w:ascii="仿宋_GB2312" w:hAnsi="宋体" w:eastAsia="仿宋_GB2312"/>
          <w:b/>
          <w:bCs/>
          <w:sz w:val="32"/>
          <w:szCs w:val="32"/>
        </w:rPr>
        <w:t>万元</w:t>
      </w:r>
      <w:r>
        <w:rPr>
          <w:rFonts w:hint="eastAsia" w:ascii="仿宋_GB2312" w:hAnsi="微软雅黑" w:eastAsia="仿宋_GB2312" w:cs="宋体"/>
          <w:b/>
          <w:bCs/>
          <w:kern w:val="0"/>
          <w:sz w:val="32"/>
          <w:szCs w:val="32"/>
        </w:rPr>
        <w:t>。</w:t>
      </w:r>
      <w:r>
        <w:rPr>
          <w:rFonts w:hint="eastAsia" w:ascii="仿宋_GB2312" w:hAnsi="宋体" w:eastAsia="仿宋_GB2312"/>
          <w:sz w:val="32"/>
          <w:szCs w:val="32"/>
        </w:rPr>
        <w:t>主要是按预算法规定，将超收收入以及结转结余资金用于补充预算稳定调节基金。</w:t>
      </w:r>
      <w:r>
        <w:rPr>
          <w:rFonts w:hint="eastAsia" w:ascii="仿宋_GB2312" w:hAnsi="宋体" w:eastAsia="仿宋_GB2312"/>
          <w:sz w:val="32"/>
          <w:szCs w:val="32"/>
          <w:highlight w:val="none"/>
        </w:rPr>
        <w:t>2020年年初预算稳定调节基金为228,5</w:t>
      </w:r>
      <w:r>
        <w:rPr>
          <w:rFonts w:hint="eastAsia" w:ascii="仿宋_GB2312" w:hAnsi="宋体" w:eastAsia="仿宋_GB2312"/>
          <w:sz w:val="32"/>
          <w:szCs w:val="32"/>
          <w:highlight w:val="none"/>
          <w:lang w:val="en-US" w:eastAsia="zh-CN"/>
        </w:rPr>
        <w:t>09</w:t>
      </w:r>
      <w:r>
        <w:rPr>
          <w:rFonts w:hint="eastAsia" w:ascii="仿宋_GB2312" w:hAnsi="宋体" w:eastAsia="仿宋_GB2312"/>
          <w:sz w:val="32"/>
          <w:szCs w:val="32"/>
          <w:highlight w:val="none"/>
        </w:rPr>
        <w:t>万元，扣减全年经人大批准调入公共预算的190,58</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万元，加上收回预算周转金</w:t>
      </w:r>
      <w:r>
        <w:rPr>
          <w:rFonts w:hint="eastAsia" w:ascii="仿宋_GB2312" w:hAnsi="宋体" w:eastAsia="仿宋_GB2312"/>
          <w:sz w:val="32"/>
          <w:szCs w:val="32"/>
          <w:highlight w:val="none"/>
          <w:lang w:val="en-US" w:eastAsia="zh-CN"/>
        </w:rPr>
        <w:t>10,000万元</w:t>
      </w:r>
      <w:r>
        <w:rPr>
          <w:rFonts w:hint="eastAsia" w:ascii="仿宋_GB2312" w:hAnsi="黑体" w:eastAsia="仿宋_GB2312"/>
          <w:sz w:val="32"/>
          <w:szCs w:val="32"/>
          <w:highlight w:val="none"/>
        </w:rPr>
        <w:t>及</w:t>
      </w:r>
      <w:r>
        <w:rPr>
          <w:rFonts w:hint="eastAsia" w:ascii="仿宋_GB2312" w:hAnsi="宋体" w:eastAsia="仿宋_GB2312"/>
          <w:sz w:val="32"/>
          <w:szCs w:val="32"/>
          <w:highlight w:val="none"/>
        </w:rPr>
        <w:t>按规定用当年结余补充的1</w:t>
      </w:r>
      <w:r>
        <w:rPr>
          <w:rFonts w:hint="eastAsia" w:ascii="仿宋_GB2312" w:hAnsi="宋体" w:eastAsia="仿宋_GB2312"/>
          <w:sz w:val="32"/>
          <w:szCs w:val="32"/>
          <w:highlight w:val="none"/>
          <w:lang w:val="en-US" w:eastAsia="zh-CN"/>
        </w:rPr>
        <w:t>02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879</w:t>
      </w:r>
      <w:r>
        <w:rPr>
          <w:rFonts w:hint="eastAsia" w:ascii="仿宋_GB2312" w:hAnsi="宋体" w:eastAsia="仿宋_GB2312"/>
          <w:sz w:val="32"/>
          <w:szCs w:val="32"/>
          <w:highlight w:val="none"/>
        </w:rPr>
        <w:t>万元，2020年年末预算稳定调节金余额为15</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,8</w:t>
      </w:r>
      <w:r>
        <w:rPr>
          <w:rFonts w:hint="eastAsia" w:ascii="仿宋_GB2312" w:hAnsi="宋体" w:eastAsia="仿宋_GB2312"/>
          <w:sz w:val="32"/>
          <w:szCs w:val="32"/>
          <w:highlight w:val="none"/>
          <w:lang w:val="en-US" w:eastAsia="zh-CN"/>
        </w:rPr>
        <w:t>05</w:t>
      </w:r>
      <w:r>
        <w:rPr>
          <w:rFonts w:hint="eastAsia" w:ascii="仿宋_GB2312" w:hAnsi="宋体" w:eastAsia="仿宋_GB2312"/>
          <w:sz w:val="32"/>
          <w:szCs w:val="32"/>
          <w:highlight w:val="none"/>
        </w:rPr>
        <w:t>万元，其中96,984万元已调入2021年年初预算统筹安排</w:t>
      </w:r>
      <w:r>
        <w:rPr>
          <w:rFonts w:hint="eastAsia" w:ascii="仿宋_GB2312" w:hAnsi="宋体" w:eastAsia="仿宋_GB2312"/>
          <w:sz w:val="32"/>
          <w:szCs w:val="32"/>
          <w:highlight w:val="none"/>
          <w:lang w:eastAsia="zh-CN"/>
        </w:rPr>
        <w:t>。</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仿宋_GB2312" w:hAnsi="宋体" w:eastAsia="仿宋_GB2312"/>
          <w:sz w:val="32"/>
          <w:szCs w:val="32"/>
          <w:highlight w:val="yellow"/>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rPr>
        <w:t>按照预算法相关规定安排，</w:t>
      </w:r>
      <w:r>
        <w:rPr>
          <w:rFonts w:hint="eastAsia" w:ascii="仿宋_GB2312" w:hAnsi="宋体" w:eastAsia="仿宋_GB2312"/>
          <w:b w:val="0"/>
          <w:bCs w:val="0"/>
          <w:sz w:val="32"/>
          <w:szCs w:val="32"/>
          <w:highlight w:val="none"/>
          <w:lang w:eastAsia="zh-CN"/>
        </w:rPr>
        <w:t>预算周转金</w:t>
      </w:r>
      <w:r>
        <w:rPr>
          <w:rFonts w:hint="eastAsia" w:ascii="仿宋_GB2312" w:hAnsi="宋体" w:eastAsia="仿宋_GB2312"/>
          <w:b w:val="0"/>
          <w:bCs w:val="0"/>
          <w:sz w:val="32"/>
          <w:szCs w:val="32"/>
        </w:rPr>
        <w:t>用</w:t>
      </w:r>
      <w:r>
        <w:rPr>
          <w:rFonts w:hint="eastAsia" w:ascii="仿宋_GB2312" w:hAnsi="宋体" w:eastAsia="仿宋_GB2312"/>
          <w:sz w:val="32"/>
          <w:szCs w:val="32"/>
        </w:rPr>
        <w:t>于调剂预算年度内季节性收支差额。2020年</w:t>
      </w:r>
      <w:r>
        <w:rPr>
          <w:rFonts w:hint="eastAsia" w:ascii="仿宋_GB2312" w:hAnsi="黑体" w:eastAsia="仿宋_GB2312"/>
          <w:sz w:val="32"/>
          <w:szCs w:val="32"/>
        </w:rPr>
        <w:t>收回预算周转金10,000万元，用于补充预算稳定调节基金</w:t>
      </w:r>
      <w:r>
        <w:rPr>
          <w:rFonts w:hint="eastAsia" w:ascii="仿宋_GB2312" w:hAnsi="宋体" w:eastAsia="仿宋_GB2312"/>
          <w:sz w:val="32"/>
          <w:szCs w:val="32"/>
        </w:rPr>
        <w:t>，截至2020年底我区预算周转金余额为</w:t>
      </w: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150万元</w:t>
      </w:r>
      <w:r>
        <w:rPr>
          <w:rFonts w:hint="eastAsia" w:ascii="仿宋_GB2312" w:hAnsi="微软雅黑" w:eastAsia="仿宋_GB2312" w:cs="宋体"/>
          <w:color w:val="000000"/>
          <w:kern w:val="0"/>
          <w:sz w:val="32"/>
          <w:szCs w:val="32"/>
        </w:rPr>
        <w:t>。</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3.预备费使用情况。</w:t>
      </w:r>
      <w:r>
        <w:rPr>
          <w:rFonts w:hint="eastAsia" w:ascii="仿宋_GB2312" w:hAnsi="微软雅黑" w:eastAsia="仿宋_GB2312" w:cs="宋体"/>
          <w:color w:val="000000"/>
          <w:kern w:val="0"/>
          <w:sz w:val="32"/>
          <w:szCs w:val="32"/>
        </w:rPr>
        <w:t>根据《预算法》第四十条规定，各级一般公共预算应当按照本级一般公共预算支出额的百分之一至百分之三设置预备费，用于当年预算执行中的自然灾害等突发事件处理增加的支出及其他难以预见的开支。2020年预备费预算8,000万元，实际支出3,391万元（已列入相关支出科目决算数），主要用于基本公共卫生服务项目、疫情防控工作经费、疫情期间困难群众临时救助经费、对农贸市场及企业补助等。</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b/>
          <w:color w:val="000000"/>
          <w:kern w:val="0"/>
          <w:sz w:val="32"/>
          <w:szCs w:val="32"/>
          <w:lang w:val="en-US" w:eastAsia="zh-CN"/>
        </w:rPr>
        <w:t>4.结转资金使用情况。</w:t>
      </w:r>
      <w:r>
        <w:rPr>
          <w:rFonts w:hint="default" w:ascii="仿宋_GB2312" w:hAnsi="微软雅黑" w:eastAsia="仿宋_GB2312" w:cs="宋体"/>
          <w:color w:val="000000"/>
          <w:kern w:val="0"/>
          <w:sz w:val="32"/>
          <w:szCs w:val="32"/>
          <w:lang w:val="en-US" w:eastAsia="zh-CN"/>
        </w:rPr>
        <w:t>2019年结转到2020年使用的资金共计2</w:t>
      </w:r>
      <w:r>
        <w:rPr>
          <w:rFonts w:hint="eastAsia" w:ascii="仿宋_GB2312" w:hAnsi="微软雅黑" w:eastAsia="仿宋_GB2312" w:cs="宋体"/>
          <w:color w:val="000000"/>
          <w:kern w:val="0"/>
          <w:sz w:val="32"/>
          <w:szCs w:val="32"/>
        </w:rPr>
        <w:t>,</w:t>
      </w:r>
      <w:r>
        <w:rPr>
          <w:rFonts w:hint="default" w:ascii="仿宋_GB2312" w:hAnsi="微软雅黑" w:eastAsia="仿宋_GB2312" w:cs="宋体"/>
          <w:color w:val="000000"/>
          <w:kern w:val="0"/>
          <w:sz w:val="32"/>
          <w:szCs w:val="32"/>
          <w:lang w:val="en-US" w:eastAsia="zh-CN"/>
        </w:rPr>
        <w:t>322万元，主要是规定结转使用的上级补助资金。上述结转资金2020年实现支出1</w:t>
      </w:r>
      <w:r>
        <w:rPr>
          <w:rFonts w:hint="eastAsia" w:ascii="仿宋_GB2312" w:hAnsi="微软雅黑" w:eastAsia="仿宋_GB2312" w:cs="宋体"/>
          <w:color w:val="000000"/>
          <w:kern w:val="0"/>
          <w:sz w:val="32"/>
          <w:szCs w:val="32"/>
        </w:rPr>
        <w:t>,</w:t>
      </w:r>
      <w:r>
        <w:rPr>
          <w:rFonts w:hint="default" w:ascii="仿宋_GB2312" w:hAnsi="微软雅黑" w:eastAsia="仿宋_GB2312" w:cs="宋体"/>
          <w:color w:val="000000"/>
          <w:kern w:val="0"/>
          <w:sz w:val="32"/>
          <w:szCs w:val="32"/>
          <w:lang w:val="en-US" w:eastAsia="zh-CN"/>
        </w:rPr>
        <w:t>637万元，从中统筹569万元用于年度执行中新增支出需求，剩余1</w:t>
      </w:r>
      <w:r>
        <w:rPr>
          <w:rFonts w:hint="eastAsia" w:ascii="仿宋_GB2312" w:hAnsi="微软雅黑" w:eastAsia="仿宋_GB2312" w:cs="宋体"/>
          <w:color w:val="000000"/>
          <w:kern w:val="0"/>
          <w:sz w:val="32"/>
          <w:szCs w:val="32"/>
          <w:lang w:val="en-US" w:eastAsia="zh-CN"/>
        </w:rPr>
        <w:t>16</w:t>
      </w:r>
      <w:r>
        <w:rPr>
          <w:rFonts w:hint="default" w:ascii="仿宋_GB2312" w:hAnsi="微软雅黑" w:eastAsia="仿宋_GB2312" w:cs="宋体"/>
          <w:color w:val="000000"/>
          <w:kern w:val="0"/>
          <w:sz w:val="32"/>
          <w:szCs w:val="32"/>
          <w:lang w:val="en-US" w:eastAsia="zh-CN"/>
        </w:rPr>
        <w:t>万元结转至2021年使用。</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2" w:firstLineChars="200"/>
        <w:jc w:val="both"/>
        <w:textAlignment w:val="auto"/>
        <w:rPr>
          <w:rFonts w:ascii="仿宋_GB2312" w:hAnsi="宋体" w:eastAsia="仿宋_GB2312" w:cs="宋体"/>
          <w:color w:val="1D1D1D"/>
          <w:kern w:val="0"/>
          <w:sz w:val="32"/>
          <w:szCs w:val="32"/>
        </w:rPr>
      </w:pPr>
      <w:r>
        <w:rPr>
          <w:rFonts w:hint="eastAsia" w:ascii="仿宋_GB2312" w:hAnsi="微软雅黑" w:eastAsia="仿宋_GB2312" w:cs="宋体"/>
          <w:b/>
          <w:color w:val="000000"/>
          <w:kern w:val="0"/>
          <w:sz w:val="32"/>
          <w:szCs w:val="32"/>
          <w:lang w:val="en-US" w:eastAsia="zh-CN"/>
        </w:rPr>
        <w:t>5</w:t>
      </w:r>
      <w:r>
        <w:rPr>
          <w:rFonts w:hint="eastAsia" w:ascii="仿宋_GB2312" w:hAnsi="微软雅黑" w:eastAsia="仿宋_GB2312" w:cs="宋体"/>
          <w:b/>
          <w:color w:val="000000"/>
          <w:kern w:val="0"/>
          <w:sz w:val="32"/>
          <w:szCs w:val="32"/>
        </w:rPr>
        <w:t>.“三公”经费支出情况。</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color w:val="000000"/>
          <w:kern w:val="0"/>
          <w:sz w:val="32"/>
          <w:szCs w:val="32"/>
        </w:rPr>
        <w:t>2020年三公经费支出合计</w:t>
      </w:r>
      <w:r>
        <w:rPr>
          <w:rFonts w:hint="eastAsia" w:ascii="仿宋_GB2312" w:eastAsia="仿宋_GB2312"/>
          <w:color w:val="000000"/>
          <w:sz w:val="32"/>
          <w:szCs w:val="32"/>
        </w:rPr>
        <w:t>1</w:t>
      </w:r>
      <w:r>
        <w:rPr>
          <w:rFonts w:hint="eastAsia" w:ascii="仿宋_GB2312" w:hAnsi="微软雅黑" w:eastAsia="仿宋_GB2312" w:cs="宋体"/>
          <w:color w:val="000000"/>
          <w:kern w:val="0"/>
          <w:sz w:val="32"/>
          <w:szCs w:val="32"/>
        </w:rPr>
        <w:t>,</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58</w:t>
      </w:r>
      <w:r>
        <w:rPr>
          <w:rFonts w:hint="eastAsia" w:ascii="仿宋_GB2312" w:hAnsi="微软雅黑" w:eastAsia="仿宋_GB2312" w:cs="宋体"/>
          <w:color w:val="000000"/>
          <w:kern w:val="0"/>
          <w:sz w:val="32"/>
          <w:szCs w:val="32"/>
        </w:rPr>
        <w:t>万元，</w:t>
      </w:r>
      <w:r>
        <w:rPr>
          <w:rFonts w:hint="eastAsia" w:ascii="仿宋_GB2312" w:hAnsi="宋体" w:eastAsia="仿宋_GB2312" w:cs="宋体"/>
          <w:bCs/>
          <w:color w:val="1D1D1D"/>
          <w:kern w:val="0"/>
          <w:sz w:val="32"/>
          <w:szCs w:val="32"/>
        </w:rPr>
        <w:t>较</w:t>
      </w:r>
      <w:r>
        <w:rPr>
          <w:rFonts w:hint="eastAsia" w:ascii="仿宋_GB2312" w:hAnsi="微软雅黑" w:eastAsia="仿宋_GB2312" w:cs="宋体"/>
          <w:kern w:val="0"/>
          <w:sz w:val="32"/>
          <w:szCs w:val="32"/>
        </w:rPr>
        <w:t>预算控制数</w:t>
      </w:r>
      <w:r>
        <w:rPr>
          <w:rFonts w:hint="eastAsia" w:ascii="仿宋_GB2312" w:hAnsi="宋体" w:eastAsia="仿宋_GB2312" w:cs="仿宋_GB2312"/>
          <w:sz w:val="32"/>
          <w:szCs w:val="32"/>
        </w:rPr>
        <w:t>减</w:t>
      </w:r>
      <w:r>
        <w:rPr>
          <w:rFonts w:hint="eastAsia" w:ascii="仿宋_GB2312" w:hAnsi="微软雅黑" w:eastAsia="仿宋_GB2312" w:cs="宋体"/>
          <w:kern w:val="0"/>
          <w:sz w:val="32"/>
          <w:szCs w:val="32"/>
        </w:rPr>
        <w:t>少1</w:t>
      </w:r>
      <w:r>
        <w:rPr>
          <w:rFonts w:hint="eastAsia" w:ascii="仿宋_GB2312" w:hAnsi="微软雅黑" w:eastAsia="仿宋_GB2312" w:cs="宋体"/>
          <w:color w:val="000000"/>
          <w:kern w:val="0"/>
          <w:sz w:val="32"/>
          <w:szCs w:val="32"/>
        </w:rPr>
        <w:t>,</w:t>
      </w:r>
      <w:r>
        <w:rPr>
          <w:rFonts w:hint="eastAsia" w:ascii="仿宋_GB2312" w:hAnsi="微软雅黑" w:eastAsia="仿宋_GB2312" w:cs="宋体"/>
          <w:kern w:val="0"/>
          <w:sz w:val="32"/>
          <w:szCs w:val="32"/>
          <w:lang w:val="en-US" w:eastAsia="zh-CN"/>
        </w:rPr>
        <w:t>752</w:t>
      </w:r>
      <w:r>
        <w:rPr>
          <w:rFonts w:hint="eastAsia" w:ascii="仿宋_GB2312" w:hAnsi="微软雅黑" w:eastAsia="仿宋_GB2312" w:cs="宋体"/>
          <w:kern w:val="0"/>
          <w:sz w:val="32"/>
          <w:szCs w:val="32"/>
        </w:rPr>
        <w:t>万元，主要是各部门贯彻落实“厉行节约、反对浪费”和过紧日子要求，从严控制和压缩</w:t>
      </w:r>
      <w:r>
        <w:rPr>
          <w:rFonts w:hint="eastAsia" w:ascii="仿宋_GB2312" w:hAnsi="微软雅黑" w:eastAsia="仿宋_GB2312" w:cs="宋体"/>
          <w:kern w:val="0"/>
          <w:sz w:val="32"/>
          <w:szCs w:val="32"/>
          <w:lang w:eastAsia="zh-CN"/>
        </w:rPr>
        <w:t>相关</w:t>
      </w:r>
      <w:r>
        <w:rPr>
          <w:rFonts w:hint="eastAsia" w:ascii="仿宋_GB2312" w:hAnsi="微软雅黑" w:eastAsia="仿宋_GB2312" w:cs="宋体"/>
          <w:kern w:val="0"/>
          <w:sz w:val="32"/>
          <w:szCs w:val="32"/>
        </w:rPr>
        <w:t>经费支出，以及受</w:t>
      </w:r>
      <w:r>
        <w:rPr>
          <w:rFonts w:hint="eastAsia" w:eastAsia="仿宋_GB2312"/>
          <w:sz w:val="32"/>
          <w:szCs w:val="32"/>
        </w:rPr>
        <w:t>新冠疫情</w:t>
      </w:r>
      <w:r>
        <w:rPr>
          <w:rFonts w:hint="eastAsia" w:ascii="仿宋_GB2312" w:hAnsi="微软雅黑" w:eastAsia="仿宋_GB2312" w:cs="宋体"/>
          <w:kern w:val="0"/>
          <w:sz w:val="32"/>
          <w:szCs w:val="32"/>
        </w:rPr>
        <w:t>影响，部分因公出国（境）、接待任务未实施。</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color w:val="000000"/>
          <w:sz w:val="32"/>
          <w:szCs w:val="32"/>
        </w:rPr>
      </w:pPr>
      <w:r>
        <w:rPr>
          <w:rFonts w:hint="eastAsia" w:ascii="仿宋_GB2312" w:hAnsi="微软雅黑" w:eastAsia="仿宋_GB2312" w:cs="宋体"/>
          <w:kern w:val="0"/>
          <w:sz w:val="32"/>
          <w:szCs w:val="32"/>
        </w:rPr>
        <w:t>2020年</w:t>
      </w:r>
      <w:r>
        <w:rPr>
          <w:rFonts w:hint="eastAsia" w:ascii="仿宋_GB2312" w:hAnsi="微软雅黑" w:eastAsia="仿宋_GB2312" w:cs="宋体"/>
          <w:kern w:val="0"/>
          <w:sz w:val="32"/>
          <w:szCs w:val="32"/>
          <w:lang w:eastAsia="zh-CN"/>
        </w:rPr>
        <w:t>三公经费</w:t>
      </w:r>
      <w:r>
        <w:rPr>
          <w:rFonts w:hint="eastAsia" w:ascii="仿宋_GB2312" w:hAnsi="宋体" w:eastAsia="仿宋_GB2312" w:cs="仿宋_GB2312"/>
          <w:sz w:val="32"/>
          <w:szCs w:val="32"/>
        </w:rPr>
        <w:t>较上年减支6</w:t>
      </w:r>
      <w:r>
        <w:rPr>
          <w:rFonts w:hint="eastAsia" w:ascii="仿宋_GB2312" w:hAnsi="宋体" w:eastAsia="仿宋_GB2312" w:cs="仿宋_GB2312"/>
          <w:sz w:val="32"/>
          <w:szCs w:val="32"/>
          <w:lang w:val="en-US" w:eastAsia="zh-CN"/>
        </w:rPr>
        <w:t>27</w:t>
      </w:r>
      <w:r>
        <w:rPr>
          <w:rFonts w:hint="eastAsia" w:ascii="仿宋_GB2312" w:hAnsi="宋体" w:eastAsia="仿宋_GB2312" w:cs="仿宋_GB2312"/>
          <w:sz w:val="32"/>
          <w:szCs w:val="32"/>
        </w:rPr>
        <w:t>万元，下降</w:t>
      </w: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%。具体增减变动情况如下：</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eastAsia="仿宋_GB2312"/>
          <w:sz w:val="32"/>
          <w:szCs w:val="32"/>
        </w:rPr>
      </w:pPr>
      <w:r>
        <w:rPr>
          <w:rFonts w:hint="eastAsia" w:ascii="仿宋_GB2312" w:eastAsia="仿宋_GB2312"/>
          <w:color w:val="000000"/>
          <w:sz w:val="32"/>
          <w:szCs w:val="32"/>
        </w:rPr>
        <w:t>（1）因公出国（境）经费支出20万元，下降94.6%</w:t>
      </w:r>
      <w:r>
        <w:rPr>
          <w:rFonts w:hint="eastAsia" w:ascii="仿宋_GB2312" w:eastAsia="仿宋_GB2312"/>
          <w:sz w:val="32"/>
          <w:szCs w:val="32"/>
        </w:rPr>
        <w:t>，</w:t>
      </w:r>
      <w:r>
        <w:rPr>
          <w:rFonts w:hint="eastAsia" w:eastAsia="仿宋_GB2312"/>
          <w:sz w:val="32"/>
          <w:szCs w:val="32"/>
        </w:rPr>
        <w:t>主</w:t>
      </w:r>
      <w:r>
        <w:rPr>
          <w:rFonts w:hint="eastAsia" w:ascii="仿宋_GB2312" w:eastAsia="仿宋_GB2312"/>
          <w:color w:val="000000"/>
          <w:sz w:val="32"/>
          <w:szCs w:val="32"/>
        </w:rPr>
        <w:t>要是2020年受新冠</w:t>
      </w:r>
      <w:r>
        <w:rPr>
          <w:rFonts w:hint="eastAsia" w:eastAsia="仿宋_GB2312"/>
          <w:sz w:val="32"/>
          <w:szCs w:val="32"/>
        </w:rPr>
        <w:t>疫情影响，取消部分出国（境）活动。</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（2）公务用车购置和运行维护费支出1,</w:t>
      </w:r>
      <w:r>
        <w:rPr>
          <w:rFonts w:hint="eastAsia" w:ascii="仿宋_GB2312" w:eastAsia="仿宋_GB2312"/>
          <w:color w:val="000000"/>
          <w:sz w:val="32"/>
          <w:szCs w:val="32"/>
          <w:lang w:val="en-US" w:eastAsia="zh-CN"/>
        </w:rPr>
        <w:t>128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18.2</w:t>
      </w:r>
      <w:r>
        <w:rPr>
          <w:rFonts w:hint="eastAsia" w:ascii="仿宋_GB2312" w:eastAsia="仿宋_GB2312"/>
          <w:color w:val="000000"/>
          <w:sz w:val="32"/>
          <w:szCs w:val="32"/>
        </w:rPr>
        <w:t>%。其中，公务用车购置支出</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85.8%，主要原因是上年度集中购置应急抢险车辆抬高基数</w:t>
      </w:r>
      <w:r>
        <w:rPr>
          <w:rFonts w:hint="eastAsia" w:ascii="仿宋_GB2312" w:eastAsia="仿宋_GB2312"/>
          <w:color w:val="000000"/>
          <w:sz w:val="32"/>
          <w:szCs w:val="32"/>
        </w:rPr>
        <w:t>；公务用车运行维护费支出1,077万元，增长5.5%，主要原因</w:t>
      </w:r>
      <w:r>
        <w:rPr>
          <w:rFonts w:hint="eastAsia" w:ascii="仿宋_GB2312" w:eastAsia="仿宋_GB2312"/>
          <w:color w:val="000000"/>
          <w:sz w:val="32"/>
          <w:szCs w:val="32"/>
          <w:lang w:eastAsia="zh-CN"/>
        </w:rPr>
        <w:t>部分以前年度</w:t>
      </w:r>
      <w:r>
        <w:rPr>
          <w:rFonts w:hint="eastAsia" w:ascii="仿宋_GB2312" w:eastAsia="仿宋_GB2312"/>
          <w:color w:val="000000"/>
          <w:sz w:val="32"/>
          <w:szCs w:val="32"/>
        </w:rPr>
        <w:t>新购置车辆2020年完成上牌入编</w:t>
      </w:r>
      <w:r>
        <w:rPr>
          <w:rFonts w:hint="eastAsia" w:ascii="仿宋_GB2312" w:eastAsia="仿宋_GB2312"/>
          <w:color w:val="000000"/>
          <w:sz w:val="32"/>
          <w:szCs w:val="32"/>
          <w:lang w:eastAsia="zh-CN"/>
        </w:rPr>
        <w:t>并</w:t>
      </w:r>
      <w:r>
        <w:rPr>
          <w:rFonts w:hint="eastAsia" w:ascii="仿宋_GB2312" w:eastAsia="仿宋_GB2312"/>
          <w:color w:val="000000"/>
          <w:sz w:val="32"/>
          <w:szCs w:val="32"/>
        </w:rPr>
        <w:t>全面投入使用，实际运行车辆有所增加。</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（3）公务接待费支出10万元，下降69.7%，</w:t>
      </w:r>
      <w:r>
        <w:rPr>
          <w:rFonts w:hint="eastAsia" w:eastAsia="仿宋_GB2312"/>
          <w:sz w:val="32"/>
          <w:szCs w:val="32"/>
        </w:rPr>
        <w:t>主要是受新冠疫情影响，</w:t>
      </w:r>
      <w:r>
        <w:rPr>
          <w:rFonts w:hint="eastAsia" w:ascii="仿宋_GB2312" w:hAnsi="仿宋_GB2312" w:eastAsia="仿宋_GB2312" w:cs="仿宋_GB2312"/>
          <w:sz w:val="32"/>
          <w:szCs w:val="32"/>
        </w:rPr>
        <w:t>公务接待批次及人数减少。</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center"/>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1D1D1D"/>
          <w:kern w:val="0"/>
          <w:sz w:val="32"/>
          <w:szCs w:val="32"/>
        </w:rPr>
        <w:t>2020年</w:t>
      </w:r>
      <w:r>
        <w:rPr>
          <w:rFonts w:hint="eastAsia" w:ascii="仿宋_GB2312" w:hAnsi="微软雅黑" w:eastAsia="仿宋_GB2312" w:cs="宋体"/>
          <w:color w:val="000000"/>
          <w:kern w:val="0"/>
          <w:sz w:val="32"/>
          <w:szCs w:val="32"/>
        </w:rPr>
        <w:t>“三公”经费支出表（单位：万元）</w:t>
      </w:r>
    </w:p>
    <w:tbl>
      <w:tblPr>
        <w:tblStyle w:val="7"/>
        <w:tblW w:w="8379" w:type="dxa"/>
        <w:tblInd w:w="91" w:type="dxa"/>
        <w:tblLayout w:type="fixed"/>
        <w:tblCellMar>
          <w:top w:w="0" w:type="dxa"/>
          <w:left w:w="108" w:type="dxa"/>
          <w:bottom w:w="0" w:type="dxa"/>
          <w:right w:w="108" w:type="dxa"/>
        </w:tblCellMar>
      </w:tblPr>
      <w:tblGrid>
        <w:gridCol w:w="1716"/>
        <w:gridCol w:w="1134"/>
        <w:gridCol w:w="1276"/>
        <w:gridCol w:w="1134"/>
        <w:gridCol w:w="992"/>
        <w:gridCol w:w="1276"/>
        <w:gridCol w:w="851"/>
      </w:tblGrid>
      <w:tr>
        <w:tblPrEx>
          <w:tblCellMar>
            <w:top w:w="0" w:type="dxa"/>
            <w:left w:w="108" w:type="dxa"/>
            <w:bottom w:w="0" w:type="dxa"/>
            <w:right w:w="108" w:type="dxa"/>
          </w:tblCellMar>
        </w:tblPrEx>
        <w:trPr>
          <w:cantSplit/>
          <w:trHeight w:val="499" w:hRule="atLeast"/>
          <w:tblHeader/>
        </w:trPr>
        <w:tc>
          <w:tcPr>
            <w:tcW w:w="17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项目</w:t>
            </w:r>
          </w:p>
        </w:tc>
        <w:tc>
          <w:tcPr>
            <w:tcW w:w="1134" w:type="dxa"/>
            <w:vMerge w:val="restart"/>
            <w:tcBorders>
              <w:top w:val="single" w:color="auto" w:sz="8" w:space="0"/>
              <w:left w:val="single" w:color="auto" w:sz="8" w:space="0"/>
              <w:bottom w:val="single" w:color="000000" w:sz="8" w:space="0"/>
              <w:right w:val="nil"/>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因公出国（境）经费</w:t>
            </w:r>
          </w:p>
        </w:tc>
        <w:tc>
          <w:tcPr>
            <w:tcW w:w="340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公务用车</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公务接待费</w:t>
            </w:r>
          </w:p>
        </w:tc>
      </w:tr>
      <w:tr>
        <w:trPr>
          <w:cantSplit/>
          <w:trHeight w:val="499" w:hRule="atLeast"/>
          <w:tblHeader/>
        </w:trPr>
        <w:tc>
          <w:tcPr>
            <w:tcW w:w="17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p>
        </w:tc>
        <w:tc>
          <w:tcPr>
            <w:tcW w:w="1134" w:type="dxa"/>
            <w:vMerge w:val="continue"/>
            <w:tcBorders>
              <w:top w:val="single" w:color="auto" w:sz="8" w:space="0"/>
              <w:left w:val="single" w:color="auto" w:sz="8" w:space="0"/>
              <w:bottom w:val="single" w:color="000000" w:sz="8" w:space="0"/>
              <w:right w:val="nil"/>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小计</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购置费</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r>
              <w:rPr>
                <w:rFonts w:hint="eastAsia" w:ascii="仿宋_GB2312" w:eastAsia="仿宋_GB2312"/>
                <w:b/>
                <w:bCs/>
                <w:color w:val="000000"/>
                <w:szCs w:val="21"/>
              </w:rPr>
              <w:t>运行维护费</w:t>
            </w: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b/>
                <w:bCs/>
                <w:color w:val="000000"/>
                <w:szCs w:val="21"/>
              </w:rPr>
            </w:pPr>
          </w:p>
        </w:tc>
      </w:tr>
      <w:tr>
        <w:tblPrEx>
          <w:tblCellMar>
            <w:top w:w="0" w:type="dxa"/>
            <w:left w:w="108" w:type="dxa"/>
            <w:bottom w:w="0" w:type="dxa"/>
            <w:right w:w="108" w:type="dxa"/>
          </w:tblCellMar>
        </w:tblPrEx>
        <w:trPr>
          <w:cantSplit/>
          <w:trHeight w:val="499" w:hRule="atLeast"/>
          <w:tblHeader/>
        </w:trPr>
        <w:tc>
          <w:tcPr>
            <w:tcW w:w="1716"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预算控制数</w:t>
            </w:r>
          </w:p>
        </w:tc>
        <w:tc>
          <w:tcPr>
            <w:tcW w:w="1134" w:type="dxa"/>
            <w:tcBorders>
              <w:top w:val="nil"/>
              <w:left w:val="nil"/>
              <w:bottom w:val="single" w:color="auto" w:sz="8" w:space="0"/>
              <w:right w:val="nil"/>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lang w:val="en-US" w:eastAsia="zh-CN"/>
              </w:rPr>
              <w:t>2</w:t>
            </w:r>
            <w:r>
              <w:rPr>
                <w:rFonts w:hint="eastAsia" w:ascii="仿宋_GB2312" w:eastAsia="仿宋_GB2312"/>
                <w:color w:val="000000"/>
                <w:szCs w:val="21"/>
              </w:rPr>
              <w:t>,</w:t>
            </w:r>
            <w:r>
              <w:rPr>
                <w:rFonts w:hint="eastAsia" w:ascii="仿宋_GB2312" w:eastAsia="仿宋_GB2312"/>
                <w:color w:val="000000"/>
                <w:szCs w:val="21"/>
                <w:lang w:val="en-US" w:eastAsia="zh-CN"/>
              </w:rPr>
              <w:t>910</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rPr>
              <w:t>2,</w:t>
            </w:r>
            <w:r>
              <w:rPr>
                <w:rFonts w:hint="eastAsia" w:ascii="仿宋_GB2312" w:eastAsia="仿宋_GB2312"/>
                <w:color w:val="000000"/>
                <w:szCs w:val="21"/>
                <w:lang w:val="en-US" w:eastAsia="zh-CN"/>
              </w:rPr>
              <w:t>330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lang w:val="en-US" w:eastAsia="zh-CN"/>
              </w:rPr>
              <w:t>1</w:t>
            </w:r>
            <w:r>
              <w:rPr>
                <w:rFonts w:hint="eastAsia" w:ascii="仿宋_GB2312" w:eastAsia="仿宋_GB2312"/>
                <w:color w:val="000000"/>
                <w:szCs w:val="21"/>
              </w:rPr>
              <w:t>,</w:t>
            </w:r>
            <w:r>
              <w:rPr>
                <w:rFonts w:hint="eastAsia" w:ascii="仿宋_GB2312" w:eastAsia="仿宋_GB2312"/>
                <w:color w:val="000000"/>
                <w:szCs w:val="21"/>
                <w:lang w:val="en-US" w:eastAsia="zh-CN"/>
              </w:rPr>
              <w:t>930</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lang w:val="en-US" w:eastAsia="zh-CN"/>
              </w:rPr>
              <w:t>180</w:t>
            </w:r>
          </w:p>
        </w:tc>
      </w:tr>
      <w:tr>
        <w:trPr>
          <w:cantSplit/>
          <w:trHeight w:val="499" w:hRule="atLeast"/>
          <w:tblHeader/>
        </w:trPr>
        <w:tc>
          <w:tcPr>
            <w:tcW w:w="1716"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决算数</w:t>
            </w:r>
          </w:p>
        </w:tc>
        <w:tc>
          <w:tcPr>
            <w:tcW w:w="1134" w:type="dxa"/>
            <w:tcBorders>
              <w:top w:val="nil"/>
              <w:left w:val="nil"/>
              <w:bottom w:val="single" w:color="auto" w:sz="8" w:space="0"/>
              <w:right w:val="nil"/>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rPr>
              <w:t>1,1</w:t>
            </w:r>
            <w:r>
              <w:rPr>
                <w:rFonts w:hint="eastAsia" w:ascii="仿宋_GB2312" w:eastAsia="仿宋_GB2312"/>
                <w:color w:val="000000"/>
                <w:szCs w:val="21"/>
                <w:lang w:val="en-US" w:eastAsia="zh-CN"/>
              </w:rPr>
              <w:t>58</w:t>
            </w:r>
          </w:p>
        </w:tc>
        <w:tc>
          <w:tcPr>
            <w:tcW w:w="127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rPr>
              <w:t>1,</w:t>
            </w:r>
            <w:r>
              <w:rPr>
                <w:rFonts w:hint="eastAsia" w:ascii="仿宋_GB2312" w:eastAsia="仿宋_GB2312"/>
                <w:color w:val="000000"/>
                <w:szCs w:val="21"/>
                <w:lang w:val="en-US" w:eastAsia="zh-CN"/>
              </w:rPr>
              <w:t>128</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hint="default" w:ascii="仿宋_GB2312" w:hAnsi="宋体" w:eastAsia="仿宋_GB2312" w:cs="宋体"/>
                <w:color w:val="000000"/>
                <w:szCs w:val="21"/>
                <w:lang w:val="en-US" w:eastAsia="zh-CN"/>
              </w:rPr>
            </w:pPr>
            <w:r>
              <w:rPr>
                <w:rFonts w:hint="eastAsia" w:ascii="仿宋_GB2312" w:eastAsia="仿宋_GB2312"/>
                <w:color w:val="000000"/>
                <w:szCs w:val="21"/>
                <w:lang w:val="en-US" w:eastAsia="zh-CN"/>
              </w:rPr>
              <w:t>51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1,077</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10</w:t>
            </w:r>
          </w:p>
        </w:tc>
      </w:tr>
      <w:tr>
        <w:tblPrEx>
          <w:tblCellMar>
            <w:top w:w="0" w:type="dxa"/>
            <w:left w:w="108" w:type="dxa"/>
            <w:bottom w:w="0" w:type="dxa"/>
            <w:right w:w="108" w:type="dxa"/>
          </w:tblCellMar>
        </w:tblPrEx>
        <w:trPr>
          <w:cantSplit/>
          <w:trHeight w:val="499" w:hRule="atLeast"/>
          <w:tblHeader/>
        </w:trPr>
        <w:tc>
          <w:tcPr>
            <w:tcW w:w="1716"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占预算</w:t>
            </w:r>
          </w:p>
        </w:tc>
        <w:tc>
          <w:tcPr>
            <w:tcW w:w="1134"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3</w:t>
            </w:r>
            <w:r>
              <w:rPr>
                <w:rFonts w:hint="eastAsia" w:ascii="仿宋_GB2312" w:eastAsia="仿宋_GB2312"/>
                <w:color w:val="000000"/>
                <w:szCs w:val="21"/>
                <w:lang w:val="en-US" w:eastAsia="zh-CN"/>
              </w:rPr>
              <w:t>9.8</w:t>
            </w:r>
            <w:r>
              <w:rPr>
                <w:rFonts w:hint="eastAsia" w:ascii="仿宋_GB2312" w:eastAsia="仿宋_GB2312"/>
                <w:color w:val="000000"/>
                <w:szCs w:val="21"/>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5.0%</w:t>
            </w:r>
          </w:p>
        </w:tc>
        <w:tc>
          <w:tcPr>
            <w:tcW w:w="1134"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4</w:t>
            </w:r>
            <w:r>
              <w:rPr>
                <w:rFonts w:hint="eastAsia" w:ascii="仿宋_GB2312" w:eastAsia="仿宋_GB2312"/>
                <w:color w:val="000000"/>
                <w:szCs w:val="21"/>
                <w:lang w:val="en-US" w:eastAsia="zh-CN"/>
              </w:rPr>
              <w:t>8.4</w:t>
            </w:r>
            <w:r>
              <w:rPr>
                <w:rFonts w:hint="eastAsia" w:ascii="仿宋_GB2312" w:eastAsia="仿宋_GB2312"/>
                <w:color w:val="000000"/>
                <w:szCs w:val="21"/>
              </w:rPr>
              <w:t>%</w:t>
            </w:r>
          </w:p>
        </w:tc>
        <w:tc>
          <w:tcPr>
            <w:tcW w:w="992"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lang w:val="en-US" w:eastAsia="zh-CN"/>
              </w:rPr>
              <w:t>12.8</w:t>
            </w:r>
            <w:r>
              <w:rPr>
                <w:rFonts w:hint="eastAsia" w:ascii="仿宋_GB2312" w:eastAsia="仿宋_GB2312"/>
                <w:color w:val="000000"/>
                <w:szCs w:val="21"/>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5</w:t>
            </w:r>
            <w:r>
              <w:rPr>
                <w:rFonts w:hint="eastAsia" w:ascii="仿宋_GB2312" w:eastAsia="仿宋_GB2312"/>
                <w:color w:val="000000"/>
                <w:szCs w:val="21"/>
                <w:lang w:val="en-US" w:eastAsia="zh-CN"/>
              </w:rPr>
              <w:t>5.8</w:t>
            </w:r>
            <w:r>
              <w:rPr>
                <w:rFonts w:hint="eastAsia" w:ascii="仿宋_GB2312" w:eastAsia="仿宋_GB2312"/>
                <w:color w:val="000000"/>
                <w:szCs w:val="21"/>
              </w:rPr>
              <w:t>%</w:t>
            </w:r>
          </w:p>
        </w:tc>
        <w:tc>
          <w:tcPr>
            <w:tcW w:w="851"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5.</w:t>
            </w:r>
            <w:r>
              <w:rPr>
                <w:rFonts w:hint="eastAsia" w:ascii="仿宋_GB2312" w:eastAsia="仿宋_GB2312"/>
                <w:color w:val="000000"/>
                <w:szCs w:val="21"/>
                <w:lang w:val="en-US" w:eastAsia="zh-CN"/>
              </w:rPr>
              <w:t>6</w:t>
            </w:r>
            <w:r>
              <w:rPr>
                <w:rFonts w:hint="eastAsia" w:ascii="仿宋_GB2312" w:eastAsia="仿宋_GB2312"/>
                <w:color w:val="000000"/>
                <w:szCs w:val="21"/>
              </w:rPr>
              <w:t>%</w:t>
            </w:r>
          </w:p>
        </w:tc>
      </w:tr>
      <w:tr>
        <w:trPr>
          <w:cantSplit/>
          <w:trHeight w:val="499" w:hRule="atLeast"/>
          <w:tblHeader/>
        </w:trPr>
        <w:tc>
          <w:tcPr>
            <w:tcW w:w="1716" w:type="dxa"/>
            <w:tcBorders>
              <w:top w:val="nil"/>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比上年增减</w:t>
            </w:r>
          </w:p>
        </w:tc>
        <w:tc>
          <w:tcPr>
            <w:tcW w:w="1134"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-3</w:t>
            </w:r>
            <w:r>
              <w:rPr>
                <w:rFonts w:hint="eastAsia" w:ascii="仿宋_GB2312" w:eastAsia="仿宋_GB2312"/>
                <w:color w:val="000000"/>
                <w:szCs w:val="21"/>
                <w:lang w:val="en-US" w:eastAsia="zh-CN"/>
              </w:rPr>
              <w:t>5.1</w:t>
            </w:r>
            <w:r>
              <w:rPr>
                <w:rFonts w:hint="eastAsia" w:ascii="仿宋_GB2312" w:eastAsia="仿宋_GB2312"/>
                <w:color w:val="000000"/>
                <w:szCs w:val="21"/>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-94.6%</w:t>
            </w:r>
          </w:p>
        </w:tc>
        <w:tc>
          <w:tcPr>
            <w:tcW w:w="1134"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w:t>
            </w:r>
            <w:r>
              <w:rPr>
                <w:rFonts w:hint="eastAsia" w:ascii="仿宋_GB2312" w:eastAsia="仿宋_GB2312"/>
                <w:color w:val="000000"/>
                <w:szCs w:val="21"/>
                <w:lang w:val="en-US" w:eastAsia="zh-CN"/>
              </w:rPr>
              <w:t>18.2</w:t>
            </w:r>
            <w:r>
              <w:rPr>
                <w:rFonts w:hint="eastAsia" w:ascii="仿宋_GB2312" w:eastAsia="仿宋_GB2312"/>
                <w:color w:val="000000"/>
                <w:szCs w:val="21"/>
              </w:rPr>
              <w:t>%</w:t>
            </w:r>
          </w:p>
        </w:tc>
        <w:tc>
          <w:tcPr>
            <w:tcW w:w="992"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w:t>
            </w:r>
            <w:r>
              <w:rPr>
                <w:rFonts w:hint="eastAsia" w:ascii="仿宋_GB2312" w:eastAsia="仿宋_GB2312"/>
                <w:color w:val="000000"/>
                <w:szCs w:val="21"/>
                <w:lang w:val="en-US" w:eastAsia="zh-CN"/>
              </w:rPr>
              <w:t>85.8</w:t>
            </w:r>
            <w:r>
              <w:rPr>
                <w:rFonts w:hint="eastAsia" w:ascii="仿宋_GB2312" w:eastAsia="仿宋_GB2312"/>
                <w:color w:val="000000"/>
                <w:szCs w:val="21"/>
              </w:rPr>
              <w:t>%</w:t>
            </w:r>
          </w:p>
        </w:tc>
        <w:tc>
          <w:tcPr>
            <w:tcW w:w="1276"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5.5%</w:t>
            </w:r>
          </w:p>
        </w:tc>
        <w:tc>
          <w:tcPr>
            <w:tcW w:w="851" w:type="dxa"/>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pacing w:beforeAutospacing="0" w:afterAutospacing="0" w:line="560" w:lineRule="exact"/>
              <w:jc w:val="both"/>
              <w:textAlignment w:val="auto"/>
              <w:rPr>
                <w:rFonts w:ascii="仿宋_GB2312" w:hAnsi="宋体" w:eastAsia="仿宋_GB2312" w:cs="宋体"/>
                <w:color w:val="000000"/>
                <w:szCs w:val="21"/>
              </w:rPr>
            </w:pPr>
            <w:r>
              <w:rPr>
                <w:rFonts w:hint="eastAsia" w:ascii="仿宋_GB2312" w:eastAsia="仿宋_GB2312"/>
                <w:color w:val="000000"/>
                <w:szCs w:val="21"/>
              </w:rPr>
              <w:t>-69.7%</w:t>
            </w:r>
          </w:p>
        </w:tc>
      </w:tr>
    </w:tbl>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二、2020年政府性基金收支决算情况</w:t>
      </w:r>
    </w:p>
    <w:p>
      <w:pPr>
        <w:keepNext w:val="0"/>
        <w:keepLines w:val="0"/>
        <w:pageBreakBefore w:val="0"/>
        <w:kinsoku/>
        <w:wordWrap/>
        <w:overflowPunct/>
        <w:topLinePunct w:val="0"/>
        <w:bidi w:val="0"/>
        <w:adjustRightInd/>
        <w:spacing w:beforeAutospacing="0" w:afterAutospacing="0" w:line="560" w:lineRule="exact"/>
        <w:ind w:left="3" w:firstLine="640" w:firstLineChars="200"/>
        <w:jc w:val="both"/>
        <w:textAlignment w:val="auto"/>
        <w:rPr>
          <w:rFonts w:ascii="楷体_GB2312" w:hAnsi="楷体" w:eastAsia="楷体_GB2312"/>
          <w:bCs/>
          <w:sz w:val="32"/>
          <w:szCs w:val="32"/>
        </w:rPr>
      </w:pPr>
      <w:r>
        <w:rPr>
          <w:rFonts w:hint="eastAsia" w:ascii="仿宋_GB2312" w:hAnsi="微软雅黑" w:eastAsia="仿宋_GB2312" w:cs="宋体"/>
          <w:color w:val="000000"/>
          <w:kern w:val="0"/>
          <w:sz w:val="32"/>
          <w:szCs w:val="32"/>
        </w:rPr>
        <w:t>2020年，实现区级政府性基金收入268万元，加上上级补助收入149,008万元，地方政府专项债务转贷收入40,000万元，上年结余3</w:t>
      </w:r>
      <w:r>
        <w:rPr>
          <w:rFonts w:hint="eastAsia" w:ascii="仿宋_GB2312" w:hAnsi="宋体" w:eastAsia="仿宋_GB2312"/>
          <w:color w:val="000000"/>
          <w:spacing w:val="2"/>
          <w:sz w:val="32"/>
          <w:szCs w:val="32"/>
        </w:rPr>
        <w:t>,</w:t>
      </w:r>
      <w:r>
        <w:rPr>
          <w:rFonts w:hint="eastAsia" w:ascii="仿宋_GB2312" w:hAnsi="微软雅黑" w:eastAsia="仿宋_GB2312" w:cs="宋体"/>
          <w:color w:val="000000"/>
          <w:kern w:val="0"/>
          <w:sz w:val="32"/>
          <w:szCs w:val="32"/>
        </w:rPr>
        <w:t>999万元，总收入193,275万元。实现</w:t>
      </w:r>
      <w:r>
        <w:rPr>
          <w:rFonts w:hint="eastAsia" w:ascii="仿宋_GB2312" w:eastAsia="仿宋_GB2312"/>
          <w:sz w:val="32"/>
          <w:szCs w:val="32"/>
        </w:rPr>
        <w:t>区级政府性基金支出</w:t>
      </w:r>
      <w:r>
        <w:rPr>
          <w:rFonts w:hint="eastAsia" w:ascii="仿宋_GB2312" w:hAnsi="微软雅黑" w:eastAsia="仿宋_GB2312" w:cs="宋体"/>
          <w:color w:val="000000"/>
          <w:kern w:val="0"/>
          <w:sz w:val="32"/>
          <w:szCs w:val="32"/>
        </w:rPr>
        <w:t>184,336万元，调出资金</w:t>
      </w:r>
      <w:r>
        <w:rPr>
          <w:rFonts w:hint="eastAsia" w:ascii="仿宋_GB2312" w:hAnsi="宋体" w:eastAsia="仿宋_GB2312"/>
          <w:color w:val="000000"/>
          <w:spacing w:val="2"/>
          <w:sz w:val="32"/>
          <w:szCs w:val="32"/>
        </w:rPr>
        <w:t>314</w:t>
      </w:r>
      <w:r>
        <w:rPr>
          <w:rFonts w:hint="eastAsia" w:ascii="仿宋_GB2312" w:hAnsi="微软雅黑" w:eastAsia="仿宋_GB2312" w:cs="宋体"/>
          <w:color w:val="000000"/>
          <w:kern w:val="0"/>
          <w:sz w:val="32"/>
          <w:szCs w:val="32"/>
        </w:rPr>
        <w:t>万元，总支出184,650万元。</w:t>
      </w:r>
      <w:r>
        <w:rPr>
          <w:rFonts w:hint="eastAsia" w:ascii="仿宋_GB2312" w:hAnsi="宋体" w:eastAsia="仿宋_GB2312"/>
          <w:sz w:val="32"/>
          <w:szCs w:val="32"/>
        </w:rPr>
        <w:t>总收支相抵后，年终结余</w:t>
      </w:r>
      <w:r>
        <w:rPr>
          <w:rFonts w:hint="eastAsia" w:ascii="仿宋_GB2312" w:hAnsi="微软雅黑" w:eastAsia="仿宋_GB2312" w:cs="宋体"/>
          <w:color w:val="000000"/>
          <w:kern w:val="0"/>
          <w:sz w:val="32"/>
          <w:szCs w:val="32"/>
        </w:rPr>
        <w:t>8,625万</w:t>
      </w:r>
      <w:r>
        <w:rPr>
          <w:rFonts w:hint="eastAsia" w:ascii="仿宋_GB2312" w:hAnsi="宋体" w:eastAsia="仿宋_GB2312"/>
          <w:sz w:val="32"/>
          <w:szCs w:val="32"/>
        </w:rPr>
        <w:t>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黑体" w:hAnsi="微软雅黑" w:eastAsia="黑体" w:cs="宋体"/>
          <w:color w:val="000000"/>
          <w:kern w:val="0"/>
          <w:sz w:val="32"/>
          <w:szCs w:val="32"/>
        </w:rPr>
        <w:t>三、2020年国有资本经营收支决算情况</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3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highlight w:val="none"/>
        </w:rPr>
        <w:t>2020年，</w:t>
      </w:r>
      <w:r>
        <w:rPr>
          <w:rFonts w:hint="eastAsia" w:ascii="仿宋_GB2312" w:hAnsi="黑体" w:eastAsia="仿宋_GB2312"/>
          <w:spacing w:val="-4"/>
          <w:sz w:val="32"/>
          <w:szCs w:val="32"/>
          <w:highlight w:val="none"/>
        </w:rPr>
        <w:t>实现</w:t>
      </w:r>
      <w:r>
        <w:rPr>
          <w:rFonts w:hint="eastAsia" w:ascii="仿宋_GB2312" w:hAnsi="微软雅黑" w:eastAsia="仿宋_GB2312" w:cs="宋体"/>
          <w:color w:val="000000"/>
          <w:kern w:val="0"/>
          <w:sz w:val="32"/>
          <w:szCs w:val="32"/>
          <w:highlight w:val="none"/>
        </w:rPr>
        <w:t>国有资本经营收入2,420万元，为</w:t>
      </w:r>
      <w:r>
        <w:rPr>
          <w:rFonts w:hint="eastAsia" w:ascii="仿宋_GB2312" w:hAnsi="微软雅黑" w:eastAsia="仿宋_GB2312" w:cs="宋体"/>
          <w:kern w:val="0"/>
          <w:sz w:val="32"/>
          <w:szCs w:val="32"/>
          <w:highlight w:val="none"/>
        </w:rPr>
        <w:t>国有企业上缴的20</w:t>
      </w:r>
      <w:r>
        <w:rPr>
          <w:rFonts w:hint="eastAsia" w:ascii="仿宋_GB2312" w:hAnsi="微软雅黑" w:eastAsia="仿宋_GB2312" w:cs="宋体"/>
          <w:kern w:val="0"/>
          <w:sz w:val="32"/>
          <w:szCs w:val="32"/>
          <w:highlight w:val="none"/>
          <w:lang w:val="en-US" w:eastAsia="zh-CN"/>
        </w:rPr>
        <w:t>19</w:t>
      </w:r>
      <w:r>
        <w:rPr>
          <w:rFonts w:hint="eastAsia" w:ascii="仿宋_GB2312" w:hAnsi="微软雅黑" w:eastAsia="仿宋_GB2312" w:cs="宋体"/>
          <w:kern w:val="0"/>
          <w:sz w:val="32"/>
          <w:szCs w:val="32"/>
          <w:highlight w:val="none"/>
        </w:rPr>
        <w:t>年度利润收入，</w:t>
      </w:r>
      <w:r>
        <w:rPr>
          <w:rFonts w:hint="eastAsia" w:ascii="仿宋_GB2312" w:hAnsi="微软雅黑" w:eastAsia="仿宋_GB2312" w:cs="宋体"/>
          <w:color w:val="000000"/>
          <w:kern w:val="0"/>
          <w:sz w:val="32"/>
          <w:szCs w:val="32"/>
          <w:highlight w:val="none"/>
        </w:rPr>
        <w:t>加上上年</w:t>
      </w:r>
      <w:r>
        <w:rPr>
          <w:rFonts w:hint="eastAsia" w:ascii="仿宋_GB2312" w:hAnsi="微软雅黑" w:eastAsia="仿宋_GB2312" w:cs="宋体"/>
          <w:color w:val="000000"/>
          <w:kern w:val="0"/>
          <w:sz w:val="32"/>
          <w:szCs w:val="32"/>
        </w:rPr>
        <w:t>结余13,641万元，上级补助收入3万元，总收入16,064万元。</w:t>
      </w:r>
      <w:r>
        <w:rPr>
          <w:rFonts w:hint="eastAsia" w:ascii="仿宋_GB2312" w:hAnsi="黑体" w:eastAsia="仿宋_GB2312"/>
          <w:sz w:val="32"/>
          <w:szCs w:val="32"/>
        </w:rPr>
        <w:t>实现国有资本经营预算支出</w:t>
      </w:r>
      <w:r>
        <w:rPr>
          <w:rFonts w:hint="eastAsia" w:ascii="仿宋_GB2312" w:eastAsia="仿宋_GB2312"/>
          <w:bCs/>
          <w:sz w:val="32"/>
          <w:szCs w:val="32"/>
        </w:rPr>
        <w:t>411万</w:t>
      </w:r>
      <w:r>
        <w:rPr>
          <w:rFonts w:hint="eastAsia" w:ascii="仿宋_GB2312" w:hAnsi="微软雅黑" w:eastAsia="仿宋_GB2312" w:cs="宋体"/>
          <w:color w:val="000000"/>
          <w:kern w:val="0"/>
          <w:sz w:val="32"/>
          <w:szCs w:val="32"/>
        </w:rPr>
        <w:t>元，调出资金10,766万元，总支出11,177万元。总收支相抵，年终结余</w:t>
      </w:r>
      <w:r>
        <w:rPr>
          <w:rFonts w:hint="eastAsia" w:ascii="仿宋_GB2312" w:eastAsia="仿宋_GB2312"/>
          <w:bCs/>
          <w:sz w:val="32"/>
          <w:szCs w:val="32"/>
        </w:rPr>
        <w:t>4</w:t>
      </w:r>
      <w:r>
        <w:rPr>
          <w:rFonts w:hint="eastAsia" w:ascii="仿宋_GB2312" w:hAnsi="微软雅黑" w:eastAsia="仿宋_GB2312" w:cs="宋体"/>
          <w:color w:val="000000"/>
          <w:kern w:val="0"/>
          <w:sz w:val="32"/>
          <w:szCs w:val="32"/>
        </w:rPr>
        <w:t>,</w:t>
      </w:r>
      <w:r>
        <w:rPr>
          <w:rFonts w:hint="eastAsia" w:ascii="仿宋_GB2312" w:eastAsia="仿宋_GB2312"/>
          <w:bCs/>
          <w:sz w:val="32"/>
          <w:szCs w:val="32"/>
        </w:rPr>
        <w:t>887</w:t>
      </w:r>
      <w:r>
        <w:rPr>
          <w:rFonts w:hint="eastAsia" w:ascii="仿宋_GB2312" w:hAnsi="微软雅黑" w:eastAsia="仿宋_GB2312" w:cs="宋体"/>
          <w:color w:val="000000"/>
          <w:kern w:val="0"/>
          <w:sz w:val="32"/>
          <w:szCs w:val="32"/>
        </w:rPr>
        <w:t>万元。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黑体" w:hAnsi="微软雅黑" w:eastAsia="黑体" w:cs="宋体"/>
          <w:color w:val="000000"/>
          <w:kern w:val="0"/>
          <w:sz w:val="32"/>
          <w:szCs w:val="32"/>
        </w:rPr>
        <w:t>四、2020年社会保险基金收支决算情况</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因社会保险基金由市级统筹，社保基金决算草案由市财政局编制，我区无社会保险基金决算情况。</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五、2020年预算调整情况</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2020年我区进行了两次预算调整,具体如下：</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楷体_GB2312" w:hAnsi="楷体" w:eastAsia="楷体_GB2312"/>
          <w:bCs/>
          <w:sz w:val="32"/>
          <w:szCs w:val="32"/>
        </w:rPr>
      </w:pPr>
      <w:r>
        <w:rPr>
          <w:rFonts w:hint="eastAsia" w:ascii="楷体_GB2312" w:hAnsi="微软雅黑" w:eastAsia="楷体_GB2312" w:cs="宋体"/>
          <w:color w:val="000000"/>
          <w:kern w:val="0"/>
          <w:sz w:val="32"/>
          <w:szCs w:val="32"/>
        </w:rPr>
        <w:t>（一）</w:t>
      </w:r>
      <w:r>
        <w:rPr>
          <w:rFonts w:hint="eastAsia" w:ascii="楷体_GB2312" w:hAnsi="楷体" w:eastAsia="楷体_GB2312"/>
          <w:bCs/>
          <w:sz w:val="32"/>
          <w:szCs w:val="32"/>
        </w:rPr>
        <w:t>第一次预算调整。</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hAnsi="Gungsuh" w:eastAsia="仿宋_GB2312"/>
          <w:sz w:val="32"/>
        </w:rPr>
      </w:pPr>
      <w:r>
        <w:rPr>
          <w:rFonts w:hint="eastAsia" w:ascii="仿宋_GB2312" w:eastAsia="仿宋_GB2312"/>
          <w:bCs/>
          <w:sz w:val="32"/>
          <w:szCs w:val="32"/>
        </w:rPr>
        <w:t>经区第五届人大常委会第四十二次会议审议批准，我区增加举借一般债务4亿元，相应调减调入资金4亿元，</w:t>
      </w:r>
      <w:r>
        <w:rPr>
          <w:rFonts w:hint="eastAsia" w:ascii="仿宋_GB2312" w:eastAsia="仿宋_GB2312"/>
          <w:b/>
          <w:bCs/>
          <w:sz w:val="32"/>
          <w:szCs w:val="32"/>
        </w:rPr>
        <w:t>调整后</w:t>
      </w:r>
      <w:r>
        <w:rPr>
          <w:rFonts w:hint="eastAsia" w:ascii="仿宋_GB2312" w:eastAsia="仿宋_GB2312"/>
          <w:bCs/>
          <w:sz w:val="32"/>
          <w:szCs w:val="32"/>
        </w:rPr>
        <w:t>一般公共预算总收支规模不变。</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楷体_GB2312" w:hAnsi="微软雅黑" w:eastAsia="楷体_GB2312" w:cs="宋体"/>
          <w:color w:val="000000"/>
          <w:kern w:val="0"/>
          <w:sz w:val="32"/>
          <w:szCs w:val="32"/>
        </w:rPr>
        <w:t>（二）</w:t>
      </w:r>
      <w:r>
        <w:rPr>
          <w:rFonts w:hint="eastAsia" w:ascii="楷体_GB2312" w:hAnsi="楷体" w:eastAsia="楷体_GB2312"/>
          <w:bCs/>
          <w:sz w:val="32"/>
          <w:szCs w:val="32"/>
        </w:rPr>
        <w:t>第</w:t>
      </w:r>
      <w:r>
        <w:rPr>
          <w:rFonts w:hint="eastAsia" w:ascii="楷体_GB2312" w:hAnsi="微软雅黑" w:eastAsia="楷体_GB2312" w:cs="宋体"/>
          <w:color w:val="000000"/>
          <w:kern w:val="0"/>
          <w:sz w:val="32"/>
          <w:szCs w:val="32"/>
        </w:rPr>
        <w:t>二</w:t>
      </w:r>
      <w:r>
        <w:rPr>
          <w:rFonts w:hint="eastAsia" w:ascii="楷体_GB2312" w:hAnsi="楷体" w:eastAsia="楷体_GB2312"/>
          <w:bCs/>
          <w:sz w:val="32"/>
          <w:szCs w:val="32"/>
        </w:rPr>
        <w:t>次预算调整。</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经区第五届人大常委会第四十七次会议审议批准，</w:t>
      </w:r>
      <w:r>
        <w:rPr>
          <w:rFonts w:ascii="仿宋_GB2312" w:eastAsia="仿宋_GB2312"/>
          <w:bCs/>
          <w:sz w:val="32"/>
          <w:szCs w:val="32"/>
        </w:rPr>
        <w:t>20</w:t>
      </w:r>
      <w:r>
        <w:rPr>
          <w:rFonts w:hint="eastAsia" w:ascii="仿宋_GB2312" w:eastAsia="仿宋_GB2312"/>
          <w:bCs/>
          <w:sz w:val="32"/>
          <w:szCs w:val="32"/>
          <w:lang w:val="en-US" w:eastAsia="zh-CN"/>
        </w:rPr>
        <w:t>20</w:t>
      </w:r>
      <w:r>
        <w:rPr>
          <w:rFonts w:hint="eastAsia" w:ascii="仿宋_GB2312" w:eastAsia="仿宋_GB2312"/>
          <w:bCs/>
          <w:sz w:val="32"/>
          <w:szCs w:val="32"/>
        </w:rPr>
        <w:t>年盐田区第二次预算调整共两个事项：</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一是一般公共预算</w:t>
      </w:r>
      <w:r>
        <w:rPr>
          <w:rFonts w:hint="eastAsia" w:ascii="仿宋_GB2312" w:hAnsi="Gungsuh" w:eastAsia="仿宋_GB2312"/>
          <w:sz w:val="32"/>
        </w:rPr>
        <w:t>调减上级补助收入27亿元，调增地方政府一般债券收入500万元，调入资金7.96亿元。相应调减政府投资项目资金12.18亿元、经常性支出0.2亿元，收回政府引导基金冲销支出6.6亿元。</w:t>
      </w:r>
      <w:r>
        <w:rPr>
          <w:rFonts w:hint="eastAsia" w:ascii="仿宋_GB2312" w:eastAsia="仿宋_GB2312"/>
          <w:b/>
          <w:bCs/>
          <w:sz w:val="32"/>
          <w:szCs w:val="32"/>
        </w:rPr>
        <w:t>调整后，</w:t>
      </w:r>
      <w:r>
        <w:rPr>
          <w:rFonts w:hint="eastAsia" w:ascii="仿宋_GB2312" w:eastAsia="仿宋_GB2312"/>
          <w:bCs/>
          <w:sz w:val="32"/>
          <w:szCs w:val="32"/>
        </w:rPr>
        <w:t>我区一般公共预算总收支规模从年初预算84.36亿元调整为65.37亿元。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二是政府性基金调增政府专项债券收入、抗疫特别国债收入、专项债券对应项目专项收入共计6.11亿元，用于安排专项债券项目、抗疫特别国债项目、专项债券付息等支出等。</w:t>
      </w:r>
      <w:r>
        <w:rPr>
          <w:rFonts w:hint="eastAsia" w:ascii="仿宋_GB2312" w:eastAsia="仿宋_GB2312"/>
          <w:b/>
          <w:bCs/>
          <w:sz w:val="32"/>
          <w:szCs w:val="32"/>
        </w:rPr>
        <w:t>调整后，</w:t>
      </w:r>
      <w:r>
        <w:rPr>
          <w:rFonts w:hint="eastAsia" w:ascii="仿宋_GB2312" w:eastAsia="仿宋_GB2312"/>
          <w:bCs/>
          <w:sz w:val="32"/>
          <w:szCs w:val="32"/>
        </w:rPr>
        <w:t>我区政府性基金总收支规模从年初预算12.91亿元调整为19.02亿元。</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六、2020年债务情况</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ascii="楷体_GB2312" w:hAnsi="楷体" w:eastAsia="楷体_GB2312"/>
          <w:bCs/>
          <w:sz w:val="32"/>
          <w:szCs w:val="32"/>
        </w:rPr>
      </w:pPr>
      <w:r>
        <w:rPr>
          <w:rFonts w:hint="eastAsia" w:ascii="楷体_GB2312" w:hAnsi="楷体" w:eastAsia="楷体_GB2312"/>
          <w:bCs/>
          <w:sz w:val="32"/>
          <w:szCs w:val="32"/>
        </w:rPr>
        <w:t>（一）债务限额及余额情况。</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1.截至2020年底，我区2020年政府债务限额为10.05亿元（不含抗疫特别国债），其中一般债务限额4.05亿元、专项债务限额6亿元。</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截至2020年底，我区地方政府债务余额10.05亿元。按照债务类型划分，政府一般债务余额4.05亿元，政府专项债务余额6亿元。另有不计入地方政府债务余额的抗疫特别国债2.9亿元。</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ascii="楷体_GB2312" w:hAnsi="楷体" w:eastAsia="楷体_GB2312"/>
          <w:bCs/>
          <w:sz w:val="32"/>
          <w:szCs w:val="32"/>
        </w:rPr>
      </w:pPr>
      <w:r>
        <w:rPr>
          <w:rFonts w:hint="eastAsia" w:ascii="楷体_GB2312" w:hAnsi="楷体" w:eastAsia="楷体_GB2312"/>
          <w:bCs/>
          <w:sz w:val="32"/>
          <w:szCs w:val="32"/>
        </w:rPr>
        <w:t>（二）债务</w:t>
      </w:r>
      <w:r>
        <w:rPr>
          <w:rFonts w:hint="eastAsia" w:ascii="楷体_GB2312" w:hAnsi="楷体" w:eastAsia="楷体_GB2312"/>
          <w:bCs/>
          <w:sz w:val="32"/>
          <w:szCs w:val="32"/>
          <w:lang w:eastAsia="zh-CN"/>
        </w:rPr>
        <w:t>收入及</w:t>
      </w:r>
      <w:r>
        <w:rPr>
          <w:rFonts w:hint="eastAsia" w:ascii="楷体_GB2312" w:hAnsi="楷体" w:eastAsia="楷体_GB2312"/>
          <w:bCs/>
          <w:sz w:val="32"/>
          <w:szCs w:val="32"/>
        </w:rPr>
        <w:t>还本付息情况。</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2020年，我</w:t>
      </w:r>
      <w:r>
        <w:rPr>
          <w:rFonts w:hint="eastAsia" w:ascii="仿宋_GB2312" w:eastAsia="仿宋_GB2312"/>
          <w:color w:val="000000"/>
          <w:sz w:val="32"/>
          <w:szCs w:val="32"/>
          <w:lang w:eastAsia="zh-CN"/>
        </w:rPr>
        <w:t>区专项债券及对应项目收入</w:t>
      </w:r>
      <w:r>
        <w:rPr>
          <w:rFonts w:hint="eastAsia" w:ascii="仿宋_GB2312" w:eastAsia="仿宋_GB2312"/>
          <w:color w:val="000000"/>
          <w:sz w:val="32"/>
          <w:szCs w:val="32"/>
          <w:lang w:val="en-US" w:eastAsia="zh-CN"/>
        </w:rPr>
        <w:t>119万元，具体是区人民医院上缴盐田区公立医院专项债券利息收入119万元。</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2020年，我区</w:t>
      </w:r>
      <w:r>
        <w:rPr>
          <w:rFonts w:hint="eastAsia" w:ascii="仿宋_GB2312" w:eastAsia="仿宋_GB2312"/>
          <w:color w:val="000000"/>
          <w:sz w:val="32"/>
          <w:szCs w:val="32"/>
        </w:rPr>
        <w:t>偿还地方政府债务本金0元；支付地方政府债券利息（含手续费）</w:t>
      </w:r>
      <w:r>
        <w:rPr>
          <w:rFonts w:hint="eastAsia" w:ascii="仿宋_GB2312" w:eastAsia="仿宋_GB2312"/>
          <w:color w:val="000000"/>
          <w:sz w:val="32"/>
          <w:szCs w:val="32"/>
          <w:lang w:val="en-US" w:eastAsia="zh-CN"/>
        </w:rPr>
        <w:t>1,361</w:t>
      </w:r>
      <w:r>
        <w:rPr>
          <w:rFonts w:hint="eastAsia" w:ascii="仿宋_GB2312" w:eastAsia="仿宋_GB2312"/>
          <w:color w:val="000000"/>
          <w:sz w:val="32"/>
          <w:szCs w:val="32"/>
        </w:rPr>
        <w:t>万元，其中一般债券利息</w:t>
      </w:r>
      <w:r>
        <w:rPr>
          <w:rFonts w:hint="eastAsia" w:ascii="仿宋_GB2312" w:eastAsia="仿宋_GB2312"/>
          <w:color w:val="000000"/>
          <w:sz w:val="32"/>
          <w:szCs w:val="32"/>
          <w:lang w:val="en-US" w:eastAsia="zh-CN"/>
        </w:rPr>
        <w:t>568</w:t>
      </w:r>
      <w:r>
        <w:rPr>
          <w:rFonts w:hint="eastAsia" w:ascii="仿宋_GB2312" w:eastAsia="仿宋_GB2312"/>
          <w:color w:val="000000"/>
          <w:sz w:val="32"/>
          <w:szCs w:val="32"/>
        </w:rPr>
        <w:t>万元，专项债券利息</w:t>
      </w:r>
      <w:r>
        <w:rPr>
          <w:rFonts w:hint="eastAsia" w:ascii="仿宋_GB2312" w:eastAsia="仿宋_GB2312"/>
          <w:color w:val="000000"/>
          <w:sz w:val="32"/>
          <w:szCs w:val="32"/>
          <w:lang w:val="en-US" w:eastAsia="zh-CN"/>
        </w:rPr>
        <w:t>793</w:t>
      </w:r>
      <w:r>
        <w:rPr>
          <w:rFonts w:hint="eastAsia" w:ascii="仿宋_GB2312" w:eastAsia="仿宋_GB2312"/>
          <w:color w:val="000000"/>
          <w:sz w:val="32"/>
          <w:szCs w:val="32"/>
        </w:rPr>
        <w:t>万元。</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ascii="楷体_GB2312" w:hAnsi="楷体" w:eastAsia="楷体_GB2312"/>
          <w:bCs/>
          <w:sz w:val="32"/>
          <w:szCs w:val="32"/>
        </w:rPr>
      </w:pPr>
      <w:r>
        <w:rPr>
          <w:rFonts w:hint="eastAsia" w:ascii="楷体_GB2312" w:hAnsi="楷体" w:eastAsia="楷体_GB2312"/>
          <w:bCs/>
          <w:sz w:val="32"/>
          <w:szCs w:val="32"/>
        </w:rPr>
        <w:t>（三）债券资金使用安排情况。</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2020年，我区新增地方政府债券8.05亿元，其中一般债券4.05亿元，主要用于市政建设，医疗卫生，环保设施等项目，当年支出4.048</w:t>
      </w:r>
      <w:r>
        <w:rPr>
          <w:rFonts w:hint="eastAsia" w:ascii="仿宋_GB2312" w:eastAsia="仿宋_GB2312"/>
          <w:color w:val="000000"/>
          <w:sz w:val="32"/>
          <w:szCs w:val="32"/>
          <w:lang w:eastAsia="zh-CN"/>
        </w:rPr>
        <w:t>亿</w:t>
      </w:r>
      <w:r>
        <w:rPr>
          <w:rFonts w:hint="eastAsia" w:ascii="仿宋_GB2312" w:eastAsia="仿宋_GB2312"/>
          <w:color w:val="000000"/>
          <w:sz w:val="32"/>
          <w:szCs w:val="32"/>
        </w:rPr>
        <w:t>元，执行率99.9%。专项债券4亿元，主要用于盐田区人民医院医疗综合楼，盐田幼儿园建设，盐田港拖车综合服务中心等项目，当年支出4亿元，执行率100%。</w:t>
      </w:r>
    </w:p>
    <w:p>
      <w:pPr>
        <w:keepNext w:val="0"/>
        <w:keepLines w:val="0"/>
        <w:pageBreakBefore w:val="0"/>
        <w:kinsoku/>
        <w:wordWrap/>
        <w:overflowPunct/>
        <w:topLinePunct w:val="0"/>
        <w:bidi w:val="0"/>
        <w:adjustRightInd/>
        <w:spacing w:beforeAutospacing="0" w:afterAutospacing="0" w:line="560" w:lineRule="exact"/>
        <w:ind w:firstLine="640" w:firstLineChars="200"/>
        <w:jc w:val="both"/>
        <w:textAlignment w:val="auto"/>
        <w:rPr>
          <w:rFonts w:hint="eastAsia" w:ascii="楷体_GB2312" w:hAnsi="楷体" w:eastAsia="楷体_GB2312"/>
          <w:bCs/>
          <w:sz w:val="32"/>
          <w:szCs w:val="32"/>
          <w:lang w:eastAsia="zh-CN"/>
        </w:rPr>
      </w:pPr>
      <w:r>
        <w:rPr>
          <w:rFonts w:hint="eastAsia" w:ascii="楷体_GB2312" w:hAnsi="楷体" w:eastAsia="楷体_GB2312"/>
          <w:bCs/>
          <w:sz w:val="32"/>
          <w:szCs w:val="32"/>
          <w:lang w:eastAsia="zh-CN"/>
        </w:rPr>
        <w:t>（四）债券项目实施绩效情况。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b w:val="0"/>
          <w:bCs w:val="0"/>
          <w:sz w:val="32"/>
          <w:szCs w:val="32"/>
          <w:lang w:val="en-US" w:eastAsia="zh-CN"/>
        </w:rPr>
        <w:t>2020年，我区在确保债券资金支出使用规范有效的情况下，切实加快新增债券支出进度，实行“每月通报”机制，及时通报债券项目支出情况，压实项目主体责任，避免债券资金沉淀，充分发挥债券资金效益。我区新增一般债4.05亿元，专项债4亿元，</w:t>
      </w:r>
      <w:r>
        <w:rPr>
          <w:rFonts w:hint="eastAsia" w:ascii="仿宋_GB2312" w:eastAsia="仿宋_GB2312"/>
          <w:color w:val="000000"/>
          <w:sz w:val="32"/>
          <w:szCs w:val="32"/>
        </w:rPr>
        <w:t>主要用于市政建设，医疗卫生，环保设施</w:t>
      </w:r>
      <w:r>
        <w:rPr>
          <w:rFonts w:hint="eastAsia" w:ascii="仿宋_GB2312" w:eastAsia="仿宋_GB2312"/>
          <w:color w:val="000000"/>
          <w:sz w:val="32"/>
          <w:szCs w:val="32"/>
          <w:lang w:eastAsia="zh-CN"/>
        </w:rPr>
        <w:t>、幼儿园建设</w:t>
      </w:r>
      <w:r>
        <w:rPr>
          <w:rFonts w:hint="eastAsia" w:ascii="仿宋_GB2312" w:eastAsia="仿宋_GB2312"/>
          <w:color w:val="000000"/>
          <w:sz w:val="32"/>
          <w:szCs w:val="32"/>
        </w:rPr>
        <w:t>等项目</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持续提升教育医疗环境，不断优化生态环境及城区品质，进一步增进民生福祉，不断提升辖区居民安全感、获得感和幸福感。</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黑体" w:hAnsi="微软雅黑" w:eastAsia="黑体" w:cs="宋体"/>
          <w:color w:val="000000"/>
          <w:kern w:val="0"/>
          <w:sz w:val="32"/>
          <w:szCs w:val="32"/>
        </w:rPr>
      </w:pPr>
      <w:r>
        <w:rPr>
          <w:rFonts w:hint="eastAsia" w:ascii="黑体" w:hAnsi="微软雅黑" w:eastAsia="黑体" w:cs="宋体"/>
          <w:color w:val="000000"/>
          <w:kern w:val="0"/>
          <w:sz w:val="32"/>
          <w:szCs w:val="32"/>
        </w:rPr>
        <w:t>七、其他说明</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eastAsia="仿宋_GB2312"/>
          <w:bCs/>
          <w:sz w:val="32"/>
          <w:szCs w:val="32"/>
        </w:rPr>
      </w:pPr>
      <w:r>
        <w:rPr>
          <w:rFonts w:hint="eastAsia" w:ascii="仿宋_GB2312" w:hAnsi="微软雅黑" w:eastAsia="仿宋_GB2312" w:cs="宋体"/>
          <w:color w:val="000000"/>
          <w:kern w:val="0"/>
          <w:sz w:val="32"/>
          <w:szCs w:val="32"/>
        </w:rPr>
        <w:t>我区无</w:t>
      </w:r>
      <w:r>
        <w:rPr>
          <w:rFonts w:hint="eastAsia" w:ascii="仿宋_GB2312" w:eastAsia="仿宋_GB2312"/>
          <w:sz w:val="32"/>
          <w:szCs w:val="32"/>
        </w:rPr>
        <w:t>对下级税收返还事项，无对外转移支付事项</w:t>
      </w:r>
      <w:r>
        <w:rPr>
          <w:rFonts w:hint="eastAsia" w:ascii="仿宋_GB2312" w:hAnsi="微软雅黑" w:eastAsia="仿宋_GB2312" w:cs="宋体"/>
          <w:color w:val="000000"/>
          <w:kern w:val="0"/>
          <w:sz w:val="32"/>
          <w:szCs w:val="32"/>
        </w:rPr>
        <w:t>。</w:t>
      </w:r>
    </w:p>
    <w:p>
      <w:pPr>
        <w:keepNext w:val="0"/>
        <w:keepLines w:val="0"/>
        <w:pageBreakBefore w:val="0"/>
        <w:shd w:val="clear" w:color="auto" w:fill="FFFFFF"/>
        <w:kinsoku/>
        <w:wordWrap/>
        <w:overflowPunct/>
        <w:topLinePunct w:val="0"/>
        <w:bidi w:val="0"/>
        <w:adjustRightInd/>
        <w:spacing w:beforeAutospacing="0" w:afterAutospacing="0" w:line="560" w:lineRule="exact"/>
        <w:ind w:firstLine="640" w:firstLineChars="200"/>
        <w:jc w:val="both"/>
        <w:textAlignment w:val="auto"/>
        <w:rPr>
          <w:rFonts w:ascii="仿宋_GB2312" w:hAnsi="微软雅黑" w:eastAsia="仿宋_GB2312" w:cs="宋体"/>
          <w:color w:val="000000"/>
          <w:kern w:val="0"/>
          <w:sz w:val="32"/>
          <w:szCs w:val="32"/>
        </w:rPr>
      </w:pPr>
      <w:r>
        <w:rPr>
          <w:rFonts w:hint="eastAsia" w:ascii="黑体" w:hAnsi="微软雅黑" w:eastAsia="黑体" w:cs="宋体"/>
          <w:color w:val="000000"/>
          <w:kern w:val="0"/>
          <w:sz w:val="32"/>
          <w:szCs w:val="32"/>
        </w:rPr>
        <w:t>八、本级人民代表大会批准的预算决议落实情况</w:t>
      </w:r>
    </w:p>
    <w:p>
      <w:pPr>
        <w:keepNext w:val="0"/>
        <w:keepLines w:val="0"/>
        <w:pageBreakBefore w:val="0"/>
        <w:tabs>
          <w:tab w:val="left" w:pos="1365"/>
        </w:tabs>
        <w:kinsoku/>
        <w:wordWrap/>
        <w:overflowPunct/>
        <w:topLinePunct w:val="0"/>
        <w:bidi w:val="0"/>
        <w:adjustRightInd/>
        <w:spacing w:beforeAutospacing="0" w:afterAutospacing="0"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color w:val="000000"/>
          <w:sz w:val="32"/>
          <w:szCs w:val="32"/>
        </w:rPr>
        <w:t>2020年，</w:t>
      </w:r>
      <w:r>
        <w:rPr>
          <w:rFonts w:hint="eastAsia" w:ascii="仿宋_GB2312" w:eastAsia="仿宋_GB2312"/>
          <w:color w:val="000000"/>
          <w:sz w:val="32"/>
          <w:szCs w:val="32"/>
          <w:lang w:eastAsia="zh-CN"/>
        </w:rPr>
        <w:t>区财政部门</w:t>
      </w:r>
      <w:r>
        <w:rPr>
          <w:rFonts w:hint="eastAsia" w:ascii="仿宋_GB2312" w:eastAsia="仿宋_GB2312"/>
          <w:color w:val="000000"/>
          <w:sz w:val="32"/>
          <w:szCs w:val="32"/>
        </w:rPr>
        <w:t>认真落实区第五届人民代表大会第六次会议有关决议要求，积极应对疫情冲击，支持做好“六稳”工作、落实“六保”任务，推动经济平稳运行和民生持续改善。</w:t>
      </w:r>
    </w:p>
    <w:p>
      <w:pPr>
        <w:keepNext w:val="0"/>
        <w:keepLines w:val="0"/>
        <w:pageBreakBefore w:val="0"/>
        <w:numPr>
          <w:ilvl w:val="0"/>
          <w:numId w:val="1"/>
        </w:numPr>
        <w:kinsoku/>
        <w:wordWrap/>
        <w:overflowPunct/>
        <w:topLinePunct w:val="0"/>
        <w:autoSpaceDE w:val="0"/>
        <w:autoSpaceDN w:val="0"/>
        <w:bidi w:val="0"/>
        <w:adjustRightInd/>
        <w:spacing w:beforeAutospacing="0" w:afterAutospacing="0" w:line="560" w:lineRule="exact"/>
        <w:ind w:firstLine="640" w:firstLineChars="200"/>
        <w:jc w:val="both"/>
        <w:textAlignment w:val="auto"/>
        <w:rPr>
          <w:rFonts w:hint="eastAsia" w:ascii="楷体_GB2312" w:eastAsia="楷体_GB2312"/>
          <w:sz w:val="32"/>
          <w:szCs w:val="32"/>
        </w:rPr>
      </w:pPr>
      <w:r>
        <w:rPr>
          <w:rFonts w:hint="eastAsia" w:ascii="楷体_GB2312" w:eastAsia="楷体_GB2312"/>
          <w:sz w:val="32"/>
          <w:szCs w:val="32"/>
        </w:rPr>
        <w:t>多措并举挖潜增收</w:t>
      </w:r>
      <w:r>
        <w:rPr>
          <w:rFonts w:hint="eastAsia" w:ascii="楷体_GB2312" w:eastAsia="楷体_GB2312"/>
          <w:sz w:val="32"/>
          <w:szCs w:val="32"/>
          <w:lang w:eastAsia="zh-CN"/>
        </w:rPr>
        <w:t>，全力化解减收增支矛盾</w:t>
      </w:r>
      <w:r>
        <w:rPr>
          <w:rFonts w:hint="eastAsia" w:ascii="楷体_GB2312" w:eastAsia="楷体_GB2312"/>
          <w:sz w:val="32"/>
          <w:szCs w:val="32"/>
        </w:rPr>
        <w:t>。</w:t>
      </w:r>
    </w:p>
    <w:p>
      <w:pPr>
        <w:keepNext w:val="0"/>
        <w:keepLines w:val="0"/>
        <w:pageBreakBefore w:val="0"/>
        <w:kinsoku/>
        <w:wordWrap/>
        <w:overflowPunct/>
        <w:topLinePunct w:val="0"/>
        <w:autoSpaceDE w:val="0"/>
        <w:autoSpaceDN w:val="0"/>
        <w:bidi w:val="0"/>
        <w:adjustRightInd/>
        <w:spacing w:beforeAutospacing="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在全面落实减税降费政策的基础上，</w:t>
      </w:r>
      <w:r>
        <w:rPr>
          <w:rFonts w:hint="eastAsia" w:ascii="仿宋_GB2312" w:eastAsia="仿宋_GB2312"/>
          <w:sz w:val="32"/>
          <w:szCs w:val="32"/>
          <w:lang w:eastAsia="zh-CN"/>
        </w:rPr>
        <w:t>我区</w:t>
      </w:r>
      <w:r>
        <w:rPr>
          <w:rFonts w:hint="eastAsia" w:ascii="仿宋_GB2312" w:eastAsia="仿宋_GB2312"/>
          <w:sz w:val="32"/>
          <w:szCs w:val="32"/>
        </w:rPr>
        <w:t>大力推进产业兴盐，加大招商稳商力度，</w:t>
      </w:r>
      <w:r>
        <w:rPr>
          <w:rFonts w:hint="eastAsia" w:ascii="仿宋_GB2312" w:eastAsia="仿宋_GB2312"/>
          <w:sz w:val="32"/>
          <w:szCs w:val="32"/>
          <w:lang w:eastAsia="zh-CN"/>
        </w:rPr>
        <w:t>持续</w:t>
      </w:r>
      <w:r>
        <w:rPr>
          <w:rFonts w:hint="eastAsia" w:ascii="仿宋_GB2312" w:eastAsia="仿宋_GB2312"/>
          <w:sz w:val="32"/>
          <w:szCs w:val="32"/>
        </w:rPr>
        <w:t>优化营商环境，</w:t>
      </w:r>
      <w:r>
        <w:rPr>
          <w:rFonts w:hint="eastAsia" w:ascii="仿宋_GB2312" w:eastAsia="仿宋_GB2312" w:cs="宋体"/>
          <w:sz w:val="32"/>
          <w:szCs w:val="32"/>
          <w:highlight w:val="none"/>
        </w:rPr>
        <w:t>为财政收入增长提供较好的经济支撑</w:t>
      </w:r>
      <w:r>
        <w:rPr>
          <w:rFonts w:hint="eastAsia" w:ascii="仿宋_GB2312" w:eastAsia="仿宋_GB2312" w:cs="宋体"/>
          <w:sz w:val="32"/>
          <w:szCs w:val="32"/>
          <w:highlight w:val="none"/>
          <w:lang w:eastAsia="zh-CN"/>
        </w:rPr>
        <w:t>。区财税部门积极应对新冠肺炎疫情冲击，全力化解减收增支矛盾，加大统筹、创新思路多渠道筹措资金，</w:t>
      </w:r>
      <w:r>
        <w:rPr>
          <w:rFonts w:hint="eastAsia" w:ascii="仿宋_GB2312" w:eastAsia="仿宋_GB2312"/>
          <w:sz w:val="32"/>
          <w:szCs w:val="32"/>
        </w:rPr>
        <w:t>促进财政收入平稳增长。</w:t>
      </w:r>
      <w:r>
        <w:rPr>
          <w:rFonts w:hint="eastAsia" w:ascii="仿宋_GB2312" w:eastAsia="仿宋_GB2312" w:cs="宋体"/>
          <w:b/>
          <w:bCs/>
          <w:sz w:val="32"/>
          <w:szCs w:val="32"/>
          <w:highlight w:val="none"/>
          <w:lang w:eastAsia="zh-CN"/>
        </w:rPr>
        <w:t>一是</w:t>
      </w:r>
      <w:r>
        <w:rPr>
          <w:rFonts w:hint="eastAsia" w:ascii="仿宋_GB2312" w:eastAsia="仿宋_GB2312"/>
          <w:b/>
          <w:bCs/>
          <w:sz w:val="32"/>
          <w:szCs w:val="32"/>
        </w:rPr>
        <w:t>通过发挥财税协同机制作用</w:t>
      </w:r>
      <w:r>
        <w:rPr>
          <w:rFonts w:hint="eastAsia" w:ascii="仿宋_GB2312" w:eastAsia="仿宋_GB2312"/>
          <w:sz w:val="32"/>
          <w:szCs w:val="32"/>
        </w:rPr>
        <w:t>，实现涉税信息共享共治</w:t>
      </w:r>
      <w:r>
        <w:rPr>
          <w:rFonts w:hint="eastAsia" w:ascii="仿宋_GB2312" w:eastAsia="仿宋_GB2312"/>
          <w:sz w:val="32"/>
          <w:szCs w:val="32"/>
          <w:lang w:eastAsia="zh-CN"/>
        </w:rPr>
        <w:t>，</w:t>
      </w:r>
      <w:r>
        <w:rPr>
          <w:rFonts w:hint="eastAsia" w:ascii="仿宋_GB2312" w:eastAsia="仿宋_GB2312"/>
          <w:sz w:val="32"/>
          <w:szCs w:val="32"/>
        </w:rPr>
        <w:t>持续做好重点企业</w:t>
      </w:r>
      <w:r>
        <w:rPr>
          <w:rFonts w:hint="eastAsia" w:ascii="仿宋_GB2312" w:eastAsia="仿宋_GB2312"/>
          <w:sz w:val="32"/>
          <w:szCs w:val="32"/>
          <w:lang w:eastAsia="zh-CN"/>
        </w:rPr>
        <w:t>的</w:t>
      </w:r>
      <w:r>
        <w:rPr>
          <w:rFonts w:hint="eastAsia" w:ascii="仿宋_GB2312" w:eastAsia="仿宋_GB2312"/>
          <w:sz w:val="32"/>
          <w:szCs w:val="32"/>
        </w:rPr>
        <w:t>纳税服务工作，夯实</w:t>
      </w:r>
      <w:r>
        <w:rPr>
          <w:rFonts w:hint="eastAsia" w:ascii="仿宋_GB2312" w:eastAsia="仿宋_GB2312"/>
          <w:sz w:val="32"/>
          <w:szCs w:val="32"/>
          <w:lang w:eastAsia="zh-CN"/>
        </w:rPr>
        <w:t>辖区</w:t>
      </w:r>
      <w:r>
        <w:rPr>
          <w:rFonts w:hint="eastAsia" w:ascii="仿宋_GB2312" w:eastAsia="仿宋_GB2312"/>
          <w:sz w:val="32"/>
          <w:szCs w:val="32"/>
        </w:rPr>
        <w:t>税基</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eastAsia="仿宋_GB2312"/>
          <w:b/>
          <w:bCs/>
          <w:sz w:val="32"/>
          <w:szCs w:val="32"/>
        </w:rPr>
        <w:t>千方百计抓非税收入</w:t>
      </w:r>
      <w:r>
        <w:rPr>
          <w:rFonts w:hint="eastAsia" w:ascii="仿宋_GB2312" w:eastAsia="仿宋_GB2312"/>
          <w:sz w:val="32"/>
          <w:szCs w:val="32"/>
        </w:rPr>
        <w:t>，积极争取罚没收入入库</w:t>
      </w:r>
      <w:r>
        <w:rPr>
          <w:rFonts w:hint="eastAsia" w:ascii="仿宋_GB2312" w:eastAsia="仿宋_GB2312"/>
          <w:sz w:val="32"/>
          <w:szCs w:val="32"/>
          <w:lang w:eastAsia="zh-CN"/>
        </w:rPr>
        <w:t>，</w:t>
      </w:r>
      <w:r>
        <w:rPr>
          <w:rFonts w:hint="eastAsia" w:ascii="仿宋_GB2312" w:eastAsia="仿宋_GB2312"/>
          <w:sz w:val="32"/>
          <w:szCs w:val="32"/>
        </w:rPr>
        <w:t>多渠道盘活国有资源资产资金</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eastAsia="仿宋_GB2312"/>
          <w:b/>
          <w:bCs/>
          <w:sz w:val="32"/>
          <w:szCs w:val="32"/>
        </w:rPr>
        <w:t>发挥政府依法合规举债的积极作用</w:t>
      </w:r>
      <w:r>
        <w:rPr>
          <w:rFonts w:hint="eastAsia" w:ascii="仿宋_GB2312" w:eastAsia="仿宋_GB2312"/>
          <w:sz w:val="32"/>
          <w:szCs w:val="32"/>
        </w:rPr>
        <w:t>，争取地方政府债券额度8.05亿元</w:t>
      </w:r>
      <w:r>
        <w:rPr>
          <w:rFonts w:hint="eastAsia" w:ascii="仿宋_GB2312" w:eastAsia="仿宋_GB2312"/>
          <w:sz w:val="32"/>
          <w:szCs w:val="32"/>
          <w:lang w:eastAsia="zh-CN"/>
        </w:rPr>
        <w:t>、</w:t>
      </w:r>
      <w:r>
        <w:rPr>
          <w:rFonts w:hint="eastAsia" w:ascii="仿宋_GB2312" w:eastAsia="仿宋_GB2312"/>
          <w:sz w:val="32"/>
          <w:szCs w:val="32"/>
        </w:rPr>
        <w:t>抗疫特别国债额度2.9亿元</w:t>
      </w:r>
      <w:r>
        <w:rPr>
          <w:rFonts w:hint="eastAsia" w:ascii="仿宋_GB2312" w:eastAsia="仿宋_GB2312"/>
          <w:sz w:val="32"/>
          <w:szCs w:val="32"/>
          <w:lang w:eastAsia="zh-CN"/>
        </w:rPr>
        <w:t>，有力拉动投资，对冲经济下行压力。</w:t>
      </w:r>
      <w:r>
        <w:rPr>
          <w:rFonts w:hint="eastAsia" w:ascii="仿宋_GB2312" w:eastAsia="仿宋_GB2312"/>
          <w:b/>
          <w:bCs/>
          <w:sz w:val="32"/>
          <w:szCs w:val="32"/>
          <w:lang w:eastAsia="zh-CN"/>
        </w:rPr>
        <w:t>四是</w:t>
      </w:r>
      <w:r>
        <w:rPr>
          <w:rFonts w:hint="eastAsia" w:ascii="仿宋_GB2312" w:hAnsi="黑体" w:eastAsia="仿宋_GB2312"/>
          <w:b/>
          <w:bCs/>
          <w:sz w:val="32"/>
          <w:szCs w:val="32"/>
        </w:rPr>
        <w:t>加快城市更新步伐</w:t>
      </w:r>
      <w:r>
        <w:rPr>
          <w:rFonts w:hint="eastAsia" w:ascii="仿宋_GB2312" w:hAnsi="黑体" w:eastAsia="仿宋_GB2312"/>
          <w:sz w:val="32"/>
          <w:szCs w:val="32"/>
        </w:rPr>
        <w:t>，顺利推进土地出让，全年实现国土基金收入</w:t>
      </w:r>
      <w:r>
        <w:rPr>
          <w:rFonts w:hint="eastAsia" w:ascii="仿宋_GB2312" w:hAnsi="黑体" w:eastAsia="仿宋_GB2312"/>
          <w:sz w:val="32"/>
          <w:szCs w:val="32"/>
          <w:lang w:val="en-US" w:eastAsia="zh-CN"/>
        </w:rPr>
        <w:t>11.6亿</w:t>
      </w:r>
      <w:r>
        <w:rPr>
          <w:rFonts w:hint="eastAsia" w:ascii="仿宋_GB2312" w:hAnsi="黑体" w:eastAsia="仿宋_GB2312"/>
          <w:sz w:val="32"/>
          <w:szCs w:val="32"/>
        </w:rPr>
        <w:t>元，增长41.3%。</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重点支出保障有力，财政政策更加积极有为</w:t>
      </w:r>
      <w:r>
        <w:rPr>
          <w:rFonts w:hint="eastAsia" w:ascii="楷体_GB2312" w:eastAsia="楷体_GB231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财政部门通过统筹调整预算、压减一般性支出等举措，腾出宝贵的财力支持疫情防控、民生事业等刚性支出，增强重</w:t>
      </w:r>
      <w:r>
        <w:rPr>
          <w:rFonts w:hint="eastAsia" w:ascii="仿宋_GB2312" w:eastAsia="仿宋_GB2312"/>
          <w:sz w:val="32"/>
          <w:szCs w:val="32"/>
          <w:lang w:eastAsia="zh-CN"/>
        </w:rPr>
        <w:t>点支出</w:t>
      </w:r>
      <w:r>
        <w:rPr>
          <w:rFonts w:hint="eastAsia" w:ascii="仿宋_GB2312" w:eastAsia="仿宋_GB2312"/>
          <w:sz w:val="32"/>
          <w:szCs w:val="32"/>
        </w:rPr>
        <w:t>财力保障，财政政策更加积极有为</w:t>
      </w:r>
      <w:r>
        <w:rPr>
          <w:rFonts w:hint="eastAsia" w:ascii="仿宋_GB2312" w:eastAsia="仿宋_GB2312"/>
          <w:sz w:val="32"/>
          <w:szCs w:val="32"/>
          <w:lang w:eastAsia="zh-CN"/>
        </w:rPr>
        <w:t>。</w:t>
      </w:r>
      <w:r>
        <w:rPr>
          <w:rFonts w:hint="eastAsia" w:ascii="仿宋_GB2312" w:eastAsia="仿宋_GB2312"/>
          <w:sz w:val="32"/>
          <w:szCs w:val="32"/>
        </w:rPr>
        <w:t>2020年，全区九大类民生支出累计完成</w:t>
      </w:r>
      <w:r>
        <w:rPr>
          <w:rFonts w:hint="eastAsia" w:ascii="仿宋_GB2312" w:eastAsia="仿宋_GB2312"/>
          <w:sz w:val="32"/>
          <w:szCs w:val="32"/>
          <w:lang w:val="en-US" w:eastAsia="zh-CN"/>
        </w:rPr>
        <w:t>47.21亿</w:t>
      </w:r>
      <w:r>
        <w:rPr>
          <w:rFonts w:hint="eastAsia" w:ascii="仿宋_GB2312" w:eastAsia="仿宋_GB2312"/>
          <w:sz w:val="32"/>
          <w:szCs w:val="32"/>
        </w:rPr>
        <w:t>元，占一般公共预算支出的比重为79.0%</w:t>
      </w:r>
      <w:r>
        <w:rPr>
          <w:rFonts w:hint="eastAsia" w:ascii="仿宋_GB2312" w:eastAsia="仿宋_GB2312"/>
          <w:sz w:val="32"/>
          <w:szCs w:val="32"/>
          <w:lang w:eastAsia="zh-CN"/>
        </w:rPr>
        <w:t>，占比较上年度提高</w:t>
      </w:r>
      <w:r>
        <w:rPr>
          <w:rFonts w:hint="eastAsia" w:ascii="仿宋_GB2312" w:eastAsia="仿宋_GB2312"/>
          <w:sz w:val="32"/>
          <w:szCs w:val="32"/>
          <w:lang w:val="en-US" w:eastAsia="zh-CN"/>
        </w:rPr>
        <w:t>6.3个百分点</w:t>
      </w:r>
      <w:r>
        <w:rPr>
          <w:rFonts w:hint="eastAsia" w:ascii="仿宋_GB2312" w:eastAsia="仿宋_GB2312"/>
          <w:sz w:val="32"/>
          <w:szCs w:val="32"/>
        </w:rPr>
        <w:t>。切实保障疫情防控资金1.85亿元</w:t>
      </w:r>
      <w:r>
        <w:rPr>
          <w:rFonts w:hint="eastAsia" w:ascii="仿宋_GB2312" w:eastAsia="仿宋_GB2312"/>
          <w:sz w:val="32"/>
          <w:szCs w:val="32"/>
          <w:lang w:eastAsia="zh-CN"/>
        </w:rPr>
        <w:t>，主要用于</w:t>
      </w:r>
      <w:r>
        <w:rPr>
          <w:rFonts w:hint="eastAsia" w:ascii="仿宋_GB2312" w:eastAsia="仿宋_GB2312"/>
          <w:sz w:val="32"/>
          <w:szCs w:val="32"/>
        </w:rPr>
        <w:t>防疫物资</w:t>
      </w:r>
      <w:r>
        <w:rPr>
          <w:rFonts w:hint="eastAsia" w:ascii="仿宋_GB2312" w:eastAsia="仿宋_GB2312"/>
          <w:sz w:val="32"/>
          <w:szCs w:val="32"/>
          <w:lang w:eastAsia="zh-CN"/>
        </w:rPr>
        <w:t>购置，疫情防控</w:t>
      </w:r>
      <w:r>
        <w:rPr>
          <w:rFonts w:hint="eastAsia" w:ascii="仿宋_GB2312" w:hAnsi="宋体" w:eastAsia="仿宋_GB2312" w:cs="仿宋_GB2312"/>
          <w:sz w:val="32"/>
          <w:szCs w:val="32"/>
          <w:highlight w:val="none"/>
          <w:lang w:eastAsia="zh-CN"/>
        </w:rPr>
        <w:t>救助、核酸检测及消毒工作等。</w:t>
      </w:r>
      <w:r>
        <w:rPr>
          <w:rFonts w:hint="eastAsia" w:ascii="仿宋_GB2312" w:hAnsi="宋体" w:eastAsia="仿宋_GB2312" w:cs="仿宋_GB2312"/>
          <w:b/>
          <w:bCs/>
          <w:sz w:val="32"/>
          <w:szCs w:val="32"/>
        </w:rPr>
        <w:t>一是</w:t>
      </w:r>
      <w:r>
        <w:rPr>
          <w:rFonts w:hint="eastAsia" w:ascii="仿宋_GB2312" w:hAnsi="宋体" w:eastAsia="仿宋_GB2312" w:cs="仿宋_GB2312"/>
          <w:b/>
          <w:bCs/>
          <w:sz w:val="32"/>
          <w:szCs w:val="32"/>
          <w:lang w:eastAsia="zh-CN"/>
        </w:rPr>
        <w:t>推进教育高质量发展。</w:t>
      </w:r>
      <w:r>
        <w:rPr>
          <w:rFonts w:hint="eastAsia" w:ascii="仿宋_GB2312" w:hAnsi="宋体" w:eastAsia="仿宋_GB2312" w:cs="仿宋_GB2312"/>
          <w:sz w:val="32"/>
          <w:szCs w:val="32"/>
        </w:rPr>
        <w:t>全区</w:t>
      </w:r>
      <w:r>
        <w:rPr>
          <w:rFonts w:hint="eastAsia" w:ascii="仿宋_GB2312" w:hAnsi="宋体" w:eastAsia="仿宋_GB2312" w:cs="仿宋_GB2312"/>
          <w:sz w:val="32"/>
          <w:szCs w:val="32"/>
          <w:highlight w:val="none"/>
        </w:rPr>
        <w:t>教育支出</w:t>
      </w:r>
      <w:r>
        <w:rPr>
          <w:rFonts w:hint="eastAsia" w:ascii="仿宋_GB2312" w:hAnsi="宋体" w:eastAsia="仿宋_GB2312" w:cs="仿宋_GB2312"/>
          <w:sz w:val="32"/>
          <w:szCs w:val="32"/>
          <w:highlight w:val="none"/>
          <w:lang w:val="en-US" w:eastAsia="zh-CN"/>
        </w:rPr>
        <w:t>14.89亿</w:t>
      </w:r>
      <w:r>
        <w:rPr>
          <w:rFonts w:hint="eastAsia" w:ascii="仿宋_GB2312" w:hAnsi="宋体" w:eastAsia="仿宋_GB2312" w:cs="仿宋_GB2312"/>
          <w:sz w:val="32"/>
          <w:szCs w:val="32"/>
          <w:highlight w:val="none"/>
        </w:rPr>
        <w:t>元，增长30.9%。完成中山纪念学校改扩建，</w:t>
      </w:r>
      <w:r>
        <w:rPr>
          <w:rFonts w:hint="eastAsia" w:ascii="仿宋_GB2312" w:eastAsia="仿宋_GB2312"/>
          <w:sz w:val="32"/>
          <w:szCs w:val="32"/>
          <w:highlight w:val="none"/>
          <w:lang w:val="en-US" w:eastAsia="zh-CN"/>
        </w:rPr>
        <w:t>新增公办幼儿园9所，新增公办学位3,000个，</w:t>
      </w:r>
      <w:r>
        <w:rPr>
          <w:rFonts w:hint="eastAsia" w:ascii="FangSong_GB2312" w:hAnsi="FangSong_GB2312" w:eastAsia="FangSong_GB2312"/>
          <w:sz w:val="32"/>
          <w:highlight w:val="none"/>
        </w:rPr>
        <w:t>公办园在园儿童占比由16%提升至约55%，普惠园在园儿童占比高达97%</w:t>
      </w:r>
      <w:r>
        <w:rPr>
          <w:rFonts w:hint="eastAsia" w:ascii="FangSong_GB2312" w:hAnsi="FangSong_GB2312" w:eastAsia="FangSong_GB2312"/>
          <w:sz w:val="32"/>
          <w:highlight w:val="none"/>
          <w:lang w:eastAsia="zh-CN"/>
        </w:rPr>
        <w:t>。</w:t>
      </w:r>
      <w:r>
        <w:rPr>
          <w:rFonts w:hint="eastAsia" w:ascii="仿宋_GB2312" w:hAnsi="宋体" w:eastAsia="仿宋_GB2312" w:cs="仿宋_GB2312"/>
          <w:sz w:val="32"/>
          <w:szCs w:val="32"/>
          <w:highlight w:val="none"/>
        </w:rPr>
        <w:t>各类</w:t>
      </w:r>
      <w:r>
        <w:rPr>
          <w:rFonts w:hint="eastAsia" w:ascii="仿宋_GB2312" w:hAnsi="宋体" w:eastAsia="仿宋_GB2312" w:cs="仿宋_GB2312"/>
          <w:sz w:val="32"/>
          <w:szCs w:val="32"/>
          <w:highlight w:val="none"/>
          <w:lang w:eastAsia="zh-CN"/>
        </w:rPr>
        <w:t>教育</w:t>
      </w:r>
      <w:r>
        <w:rPr>
          <w:rFonts w:hint="eastAsia" w:ascii="仿宋_GB2312" w:hAnsi="宋体" w:eastAsia="仿宋_GB2312" w:cs="仿宋_GB2312"/>
          <w:sz w:val="32"/>
          <w:szCs w:val="32"/>
          <w:highlight w:val="none"/>
        </w:rPr>
        <w:t>政府投资项目支出</w:t>
      </w:r>
      <w:r>
        <w:rPr>
          <w:rFonts w:hint="eastAsia" w:ascii="仿宋_GB2312" w:hAnsi="宋体" w:eastAsia="仿宋_GB2312" w:cs="仿宋_GB2312"/>
          <w:sz w:val="32"/>
          <w:szCs w:val="32"/>
          <w:highlight w:val="none"/>
          <w:lang w:val="en-US" w:eastAsia="zh-CN"/>
        </w:rPr>
        <w:t>4.41亿</w:t>
      </w:r>
      <w:r>
        <w:rPr>
          <w:rFonts w:hint="eastAsia" w:ascii="仿宋_GB2312" w:hAnsi="宋体" w:eastAsia="仿宋_GB2312" w:cs="仿宋_GB2312"/>
          <w:sz w:val="32"/>
          <w:szCs w:val="32"/>
          <w:highlight w:val="none"/>
        </w:rPr>
        <w:t>元，教育教学</w:t>
      </w:r>
      <w:r>
        <w:rPr>
          <w:rFonts w:hint="eastAsia" w:ascii="仿宋_GB2312" w:hAnsi="宋体" w:eastAsia="仿宋_GB2312" w:cs="仿宋_GB2312"/>
          <w:sz w:val="32"/>
          <w:szCs w:val="32"/>
          <w:highlight w:val="none"/>
          <w:lang w:eastAsia="zh-CN"/>
        </w:rPr>
        <w:t>和培训</w:t>
      </w:r>
      <w:r>
        <w:rPr>
          <w:rFonts w:hint="eastAsia" w:ascii="仿宋_GB2312" w:hAnsi="宋体" w:eastAsia="仿宋_GB2312" w:cs="仿宋_GB2312"/>
          <w:sz w:val="32"/>
          <w:szCs w:val="32"/>
          <w:highlight w:val="none"/>
        </w:rPr>
        <w:t>经费支出</w:t>
      </w:r>
      <w:r>
        <w:rPr>
          <w:rFonts w:hint="eastAsia" w:ascii="仿宋_GB2312" w:hAnsi="宋体" w:eastAsia="仿宋_GB2312" w:cs="仿宋_GB2312"/>
          <w:sz w:val="32"/>
          <w:szCs w:val="32"/>
          <w:highlight w:val="none"/>
          <w:lang w:val="en-US" w:eastAsia="zh-CN"/>
        </w:rPr>
        <w:t>1.62亿</w:t>
      </w:r>
      <w:r>
        <w:rPr>
          <w:rFonts w:hint="eastAsia" w:ascii="仿宋_GB2312" w:hAnsi="宋体" w:eastAsia="仿宋_GB2312" w:cs="仿宋_GB2312"/>
          <w:sz w:val="32"/>
          <w:szCs w:val="32"/>
          <w:highlight w:val="none"/>
        </w:rPr>
        <w:t>元，公办园班均经费</w:t>
      </w:r>
      <w:r>
        <w:rPr>
          <w:rFonts w:hint="eastAsia" w:ascii="仿宋_GB2312" w:hAnsi="宋体" w:eastAsia="仿宋_GB2312" w:cs="仿宋_GB2312"/>
          <w:sz w:val="32"/>
          <w:szCs w:val="32"/>
          <w:highlight w:val="none"/>
          <w:lang w:eastAsia="zh-CN"/>
        </w:rPr>
        <w:t>和学前教育发展经费</w:t>
      </w:r>
      <w:r>
        <w:rPr>
          <w:rFonts w:hint="eastAsia" w:ascii="仿宋_GB2312" w:hAnsi="宋体" w:eastAsia="仿宋_GB2312" w:cs="仿宋_GB2312"/>
          <w:sz w:val="32"/>
          <w:szCs w:val="32"/>
          <w:highlight w:val="none"/>
        </w:rPr>
        <w:t>支出</w:t>
      </w:r>
      <w:r>
        <w:rPr>
          <w:rFonts w:hint="eastAsia" w:ascii="仿宋_GB2312" w:hAnsi="宋体" w:eastAsia="仿宋_GB2312" w:cs="仿宋_GB2312"/>
          <w:sz w:val="32"/>
          <w:szCs w:val="32"/>
          <w:highlight w:val="none"/>
          <w:lang w:val="en-US" w:eastAsia="zh-CN"/>
        </w:rPr>
        <w:t>0.67亿</w:t>
      </w:r>
      <w:r>
        <w:rPr>
          <w:rFonts w:hint="eastAsia" w:ascii="仿宋_GB2312" w:hAnsi="宋体" w:eastAsia="仿宋_GB2312" w:cs="仿宋_GB2312"/>
          <w:sz w:val="32"/>
          <w:szCs w:val="32"/>
          <w:highlight w:val="none"/>
        </w:rPr>
        <w:t>元</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b/>
          <w:bCs/>
          <w:sz w:val="32"/>
          <w:szCs w:val="32"/>
          <w:highlight w:val="none"/>
        </w:rPr>
        <w:t>二是</w:t>
      </w:r>
      <w:r>
        <w:rPr>
          <w:rFonts w:hint="eastAsia" w:ascii="仿宋_GB2312" w:hAnsi="宋体" w:eastAsia="仿宋_GB2312" w:cs="仿宋_GB2312"/>
          <w:b/>
          <w:bCs/>
          <w:sz w:val="32"/>
          <w:szCs w:val="32"/>
          <w:highlight w:val="none"/>
          <w:lang w:eastAsia="zh-CN"/>
        </w:rPr>
        <w:t>加快提升医疗卫生水平</w:t>
      </w:r>
      <w:r>
        <w:rPr>
          <w:rFonts w:hint="eastAsia" w:ascii="仿宋_GB2312" w:hAnsi="宋体" w:eastAsia="仿宋_GB2312" w:cs="仿宋_GB2312"/>
          <w:b/>
          <w:bCs/>
          <w:sz w:val="32"/>
          <w:szCs w:val="32"/>
          <w:highlight w:val="none"/>
        </w:rPr>
        <w:t>。</w:t>
      </w:r>
      <w:r>
        <w:rPr>
          <w:rFonts w:hint="eastAsia" w:ascii="仿宋_GB2312" w:hAnsi="宋体" w:eastAsia="仿宋_GB2312" w:cs="仿宋_GB2312"/>
          <w:sz w:val="32"/>
          <w:szCs w:val="32"/>
          <w:highlight w:val="none"/>
        </w:rPr>
        <w:t>卫生健康支出</w:t>
      </w:r>
      <w:r>
        <w:rPr>
          <w:rFonts w:hint="eastAsia" w:ascii="仿宋_GB2312" w:hAnsi="宋体" w:eastAsia="仿宋_GB2312" w:cs="仿宋_GB2312"/>
          <w:sz w:val="32"/>
          <w:szCs w:val="32"/>
          <w:highlight w:val="none"/>
          <w:lang w:val="en-US" w:eastAsia="zh-CN"/>
        </w:rPr>
        <w:t>5.45亿</w:t>
      </w:r>
      <w:r>
        <w:rPr>
          <w:rFonts w:hint="eastAsia" w:ascii="仿宋_GB2312" w:hAnsi="宋体" w:eastAsia="仿宋_GB2312" w:cs="仿宋_GB2312"/>
          <w:sz w:val="32"/>
          <w:szCs w:val="32"/>
          <w:highlight w:val="none"/>
        </w:rPr>
        <w:t>元，增长2.4%。</w:t>
      </w:r>
      <w:r>
        <w:rPr>
          <w:rFonts w:hint="eastAsia" w:ascii="仿宋_GB2312" w:hAnsi="宋体" w:eastAsia="仿宋_GB2312" w:cs="仿宋_GB2312"/>
          <w:sz w:val="32"/>
          <w:szCs w:val="32"/>
          <w:highlight w:val="none"/>
          <w:lang w:eastAsia="zh-CN"/>
        </w:rPr>
        <w:t>加快</w:t>
      </w:r>
      <w:r>
        <w:rPr>
          <w:rFonts w:hint="eastAsia" w:ascii="仿宋_GB2312" w:hAnsi="宋体" w:eastAsia="仿宋_GB2312" w:cs="仿宋_GB2312"/>
          <w:sz w:val="32"/>
          <w:szCs w:val="32"/>
          <w:highlight w:val="none"/>
        </w:rPr>
        <w:t>“三甲”医院创建</w:t>
      </w:r>
      <w:r>
        <w:rPr>
          <w:rFonts w:hint="eastAsia" w:ascii="仿宋_GB2312" w:hAnsi="宋体" w:eastAsia="仿宋_GB2312" w:cs="仿宋_GB2312"/>
          <w:sz w:val="32"/>
          <w:szCs w:val="32"/>
          <w:highlight w:val="none"/>
          <w:lang w:eastAsia="zh-CN"/>
        </w:rPr>
        <w:t>步伐，</w:t>
      </w:r>
      <w:r>
        <w:rPr>
          <w:rFonts w:hint="eastAsia" w:ascii="仿宋_GB2312" w:hAnsi="宋体" w:eastAsia="仿宋_GB2312" w:cs="仿宋_GB2312"/>
          <w:sz w:val="32"/>
          <w:szCs w:val="32"/>
          <w:highlight w:val="none"/>
        </w:rPr>
        <w:t>统筹推进重点卫生工程项目</w:t>
      </w:r>
      <w:r>
        <w:rPr>
          <w:rFonts w:hint="eastAsia" w:ascii="仿宋_GB2312" w:hAnsi="宋体" w:eastAsia="仿宋_GB2312" w:cs="仿宋_GB2312"/>
          <w:sz w:val="32"/>
          <w:szCs w:val="32"/>
          <w:highlight w:val="none"/>
          <w:lang w:val="en-US" w:eastAsia="zh-CN"/>
        </w:rPr>
        <w:t>。</w:t>
      </w:r>
      <w:r>
        <w:rPr>
          <w:rFonts w:hint="eastAsia" w:ascii="仿宋_GB2312" w:hAnsi="宋体" w:eastAsia="仿宋_GB2312" w:cs="仿宋_GB2312"/>
          <w:sz w:val="32"/>
          <w:szCs w:val="32"/>
          <w:highlight w:val="none"/>
        </w:rPr>
        <w:t>大力实施社康机构提质工程</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全面夯实基层卫生服务能力。</w:t>
      </w:r>
      <w:r>
        <w:rPr>
          <w:rFonts w:hint="eastAsia" w:ascii="仿宋_GB2312" w:hAnsi="宋体" w:eastAsia="仿宋_GB2312" w:cs="仿宋_GB2312"/>
          <w:sz w:val="32"/>
          <w:szCs w:val="32"/>
          <w:highlight w:val="none"/>
          <w:lang w:eastAsia="zh-CN"/>
        </w:rPr>
        <w:t>全区社康机构全年累计提供基本公共卫生服务96.1万人次，提供诊疗服务42.37万人次，全区共有7.2万名居民签约家庭医生，重点人群签约率为83%。</w:t>
      </w:r>
      <w:r>
        <w:rPr>
          <w:rFonts w:hint="eastAsia" w:ascii="仿宋_GB2312" w:hAnsi="宋体" w:eastAsia="仿宋_GB2312" w:cs="仿宋_GB2312"/>
          <w:b/>
          <w:bCs/>
          <w:sz w:val="32"/>
          <w:szCs w:val="32"/>
        </w:rPr>
        <w:t>三是强化基层公共文化服务</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val="en-US" w:eastAsia="zh-CN"/>
        </w:rPr>
        <w:t>大力实施文化惠民工程，加快建设文化强区</w:t>
      </w:r>
      <w:r>
        <w:rPr>
          <w:rFonts w:hint="eastAsia" w:ascii="仿宋_GB2312" w:hAnsi="宋体" w:eastAsia="仿宋_GB2312" w:cs="仿宋_GB2312"/>
          <w:sz w:val="32"/>
          <w:szCs w:val="32"/>
          <w:highlight w:val="none"/>
          <w:lang w:val="en-US" w:eastAsia="zh-CN"/>
        </w:rPr>
        <w:t>，文</w:t>
      </w:r>
      <w:r>
        <w:rPr>
          <w:rFonts w:hint="eastAsia" w:ascii="仿宋_GB2312" w:hAnsi="宋体" w:eastAsia="仿宋_GB2312" w:cs="仿宋_GB2312"/>
          <w:sz w:val="32"/>
          <w:szCs w:val="32"/>
          <w:highlight w:val="none"/>
        </w:rPr>
        <w:t>化旅游体育与传媒支出</w:t>
      </w:r>
      <w:r>
        <w:rPr>
          <w:rFonts w:hint="eastAsia" w:ascii="仿宋_GB2312" w:hAnsi="宋体" w:eastAsia="仿宋_GB2312" w:cs="仿宋_GB2312"/>
          <w:sz w:val="32"/>
          <w:szCs w:val="32"/>
          <w:highlight w:val="none"/>
          <w:lang w:val="en-US" w:eastAsia="zh-CN"/>
        </w:rPr>
        <w:t>1.61亿</w:t>
      </w:r>
      <w:r>
        <w:rPr>
          <w:rFonts w:hint="eastAsia" w:ascii="仿宋_GB2312" w:hAnsi="宋体" w:eastAsia="仿宋_GB2312" w:cs="仿宋_GB2312"/>
          <w:sz w:val="32"/>
          <w:szCs w:val="32"/>
          <w:highlight w:val="none"/>
        </w:rPr>
        <w:t>元，</w:t>
      </w:r>
      <w:r>
        <w:rPr>
          <w:rFonts w:hint="eastAsia" w:ascii="仿宋_GB2312" w:hAnsi="宋体" w:eastAsia="仿宋_GB2312" w:cs="仿宋_GB2312"/>
          <w:sz w:val="32"/>
          <w:szCs w:val="32"/>
          <w:highlight w:val="none"/>
          <w:lang w:eastAsia="zh-CN"/>
        </w:rPr>
        <w:t>增长</w:t>
      </w:r>
      <w:r>
        <w:rPr>
          <w:rFonts w:hint="eastAsia" w:ascii="仿宋_GB2312" w:hAnsi="宋体" w:eastAsia="仿宋_GB2312" w:cs="仿宋_GB2312"/>
          <w:sz w:val="32"/>
          <w:szCs w:val="32"/>
          <w:highlight w:val="none"/>
          <w:lang w:val="en-US" w:eastAsia="zh-CN"/>
        </w:rPr>
        <w:t>33</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eastAsia="zh-CN"/>
        </w:rPr>
        <w:t>推动辖区公共</w:t>
      </w:r>
      <w:r>
        <w:rPr>
          <w:rFonts w:hint="eastAsia" w:ascii="仿宋_GB2312" w:hAnsi="宋体" w:eastAsia="仿宋_GB2312" w:cs="仿宋_GB2312"/>
          <w:sz w:val="32"/>
          <w:szCs w:val="32"/>
        </w:rPr>
        <w:t>文化活动</w:t>
      </w:r>
      <w:r>
        <w:rPr>
          <w:rFonts w:hint="eastAsia" w:ascii="仿宋_GB2312" w:hAnsi="宋体" w:eastAsia="仿宋_GB2312" w:cs="仿宋_GB2312"/>
          <w:sz w:val="32"/>
          <w:szCs w:val="32"/>
          <w:lang w:eastAsia="zh-CN"/>
        </w:rPr>
        <w:t>及</w:t>
      </w:r>
      <w:r>
        <w:rPr>
          <w:rFonts w:hint="eastAsia" w:ascii="仿宋_GB2312" w:hAnsi="宋体" w:eastAsia="仿宋_GB2312" w:cs="仿宋_GB2312"/>
          <w:sz w:val="32"/>
          <w:szCs w:val="32"/>
        </w:rPr>
        <w:t>各类体育赛事</w:t>
      </w:r>
      <w:r>
        <w:rPr>
          <w:rFonts w:hint="eastAsia" w:ascii="仿宋_GB2312" w:hAnsi="宋体" w:eastAsia="仿宋_GB2312" w:cs="仿宋_GB2312"/>
          <w:sz w:val="32"/>
          <w:szCs w:val="32"/>
          <w:lang w:eastAsia="zh-CN"/>
        </w:rPr>
        <w:t>开展</w:t>
      </w:r>
      <w:r>
        <w:rPr>
          <w:rFonts w:hint="eastAsia" w:ascii="仿宋_GB2312" w:hAnsi="宋体" w:eastAsia="仿宋_GB2312" w:cs="仿宋_GB2312"/>
          <w:sz w:val="32"/>
          <w:szCs w:val="32"/>
          <w:highlight w:val="none"/>
        </w:rPr>
        <w:t>。</w:t>
      </w:r>
      <w:r>
        <w:rPr>
          <w:rFonts w:hint="eastAsia" w:ascii="仿宋_GB2312" w:eastAsia="仿宋_GB2312"/>
          <w:b/>
          <w:bCs/>
          <w:sz w:val="32"/>
          <w:szCs w:val="32"/>
          <w:highlight w:val="none"/>
        </w:rPr>
        <w:t>四是</w:t>
      </w:r>
      <w:r>
        <w:rPr>
          <w:rFonts w:hint="eastAsia" w:ascii="仿宋_GB2312" w:eastAsia="仿宋_GB2312"/>
          <w:b/>
          <w:bCs/>
          <w:sz w:val="32"/>
          <w:szCs w:val="32"/>
          <w:highlight w:val="none"/>
          <w:lang w:eastAsia="zh-CN"/>
        </w:rPr>
        <w:t>健全社会保障体系</w:t>
      </w:r>
      <w:r>
        <w:rPr>
          <w:rFonts w:hint="eastAsia" w:ascii="仿宋_GB2312" w:eastAsia="仿宋_GB2312"/>
          <w:b/>
          <w:bCs/>
          <w:sz w:val="32"/>
          <w:szCs w:val="32"/>
          <w:highlight w:val="none"/>
        </w:rPr>
        <w:t>。</w:t>
      </w:r>
      <w:r>
        <w:rPr>
          <w:rFonts w:hint="eastAsia" w:ascii="仿宋_GB2312" w:eastAsia="仿宋_GB2312"/>
          <w:sz w:val="32"/>
          <w:szCs w:val="32"/>
          <w:highlight w:val="none"/>
        </w:rPr>
        <w:t>社会保障和就业支出</w:t>
      </w:r>
      <w:r>
        <w:rPr>
          <w:rFonts w:hint="eastAsia" w:ascii="仿宋_GB2312" w:eastAsia="仿宋_GB2312"/>
          <w:sz w:val="32"/>
          <w:szCs w:val="32"/>
          <w:highlight w:val="none"/>
          <w:lang w:val="en-US" w:eastAsia="zh-CN"/>
        </w:rPr>
        <w:t>2.58亿</w:t>
      </w:r>
      <w:r>
        <w:rPr>
          <w:rFonts w:hint="eastAsia" w:ascii="仿宋_GB2312" w:eastAsia="仿宋_GB2312"/>
          <w:sz w:val="32"/>
          <w:szCs w:val="32"/>
          <w:highlight w:val="none"/>
        </w:rPr>
        <w:t>元，住房保障支出</w:t>
      </w:r>
      <w:r>
        <w:rPr>
          <w:rFonts w:hint="eastAsia" w:ascii="仿宋_GB2312" w:eastAsia="仿宋_GB2312"/>
          <w:sz w:val="32"/>
          <w:szCs w:val="32"/>
          <w:highlight w:val="none"/>
          <w:lang w:val="en-US" w:eastAsia="zh-CN"/>
        </w:rPr>
        <w:t>6.19亿</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hAnsi="仿宋_GB2312" w:eastAsia="仿宋_GB2312" w:cs="仿宋_GB2312"/>
          <w:bCs/>
          <w:sz w:val="32"/>
          <w:szCs w:val="32"/>
          <w:lang w:val="zh-TW"/>
        </w:rPr>
        <w:t>全年提供就业岗位7904个，新增就业人数2476人，户籍高校毕业生就业率达98.1%</w:t>
      </w:r>
      <w:r>
        <w:rPr>
          <w:rFonts w:hint="eastAsia" w:ascii="仿宋_GB2312" w:hAnsi="宋体" w:eastAsia="仿宋_GB2312" w:cs="仿宋_GB2312"/>
          <w:sz w:val="32"/>
          <w:szCs w:val="32"/>
          <w:highlight w:val="none"/>
          <w:lang w:val="en-US" w:eastAsia="zh-CN"/>
        </w:rPr>
        <w:t>。</w:t>
      </w:r>
      <w:r>
        <w:rPr>
          <w:rFonts w:hint="eastAsia" w:ascii="仿宋_GB2312" w:hAnsi="仿宋_GB2312" w:eastAsia="仿宋_GB2312" w:cs="仿宋_GB2312"/>
          <w:bCs/>
          <w:sz w:val="32"/>
          <w:szCs w:val="32"/>
          <w:highlight w:val="none"/>
          <w:lang w:val="zh-TW"/>
        </w:rPr>
        <w:t>新开工筹集人才住房和保障性住房3546套，广北、</w:t>
      </w:r>
      <w:r>
        <w:rPr>
          <w:rFonts w:hint="eastAsia" w:ascii="仿宋_GB2312" w:hAnsi="仿宋_GB2312" w:eastAsia="仿宋_GB2312" w:cs="仿宋_GB2312"/>
          <w:bCs/>
          <w:sz w:val="32"/>
          <w:szCs w:val="32"/>
          <w:lang w:val="zh-TW"/>
        </w:rPr>
        <w:t>田心等6个农贸市场升级改造完成，就业、养老、社会保障、社会救助等工作取得新进展，全年累计发放各类救助金近1000万元。</w:t>
      </w:r>
    </w:p>
    <w:p>
      <w:pPr>
        <w:keepNext w:val="0"/>
        <w:keepLines w:val="0"/>
        <w:pageBreakBefore w:val="0"/>
        <w:widowControl/>
        <w:numPr>
          <w:ilvl w:val="0"/>
          <w:numId w:val="1"/>
        </w:numPr>
        <w:kinsoku/>
        <w:wordWrap/>
        <w:overflowPunct/>
        <w:topLinePunct w:val="0"/>
        <w:bidi w:val="0"/>
        <w:adjustRightInd/>
        <w:spacing w:beforeAutospacing="0" w:afterAutospacing="0" w:line="56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全力抓改革创新、规范管理，提升财政管理水平。</w:t>
      </w:r>
    </w:p>
    <w:p>
      <w:pPr>
        <w:keepNext w:val="0"/>
        <w:keepLines w:val="0"/>
        <w:pageBreakBefore w:val="0"/>
        <w:kinsoku/>
        <w:wordWrap/>
        <w:overflowPunct/>
        <w:topLinePunct w:val="0"/>
        <w:bidi w:val="0"/>
        <w:adjustRightInd/>
        <w:spacing w:beforeAutospacing="0" w:afterAutospacing="0"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eastAsia="仿宋_GB2312"/>
          <w:b/>
          <w:bCs/>
          <w:sz w:val="32"/>
          <w:szCs w:val="32"/>
        </w:rPr>
        <w:t>一是</w:t>
      </w:r>
      <w:r>
        <w:rPr>
          <w:rFonts w:hint="eastAsia" w:ascii="仿宋_GB2312" w:hAnsi="宋体" w:eastAsia="仿宋_GB2312"/>
          <w:b/>
          <w:sz w:val="32"/>
          <w:szCs w:val="32"/>
        </w:rPr>
        <w:t>深化财政全链条管理改革。</w:t>
      </w:r>
      <w:r>
        <w:rPr>
          <w:rFonts w:hint="eastAsia" w:ascii="仿宋_GB2312" w:eastAsia="仿宋_GB2312"/>
          <w:sz w:val="32"/>
          <w:szCs w:val="32"/>
        </w:rPr>
        <w:t>以提质增效、开源节流为主旨，逐步建成“预算编制科学精准、预算执行规范高效、资金使用绩效导向”的现代财政管理体系。</w:t>
      </w:r>
      <w:r>
        <w:rPr>
          <w:rFonts w:hint="eastAsia" w:ascii="仿宋_GB2312" w:eastAsia="仿宋_GB2312"/>
          <w:b/>
          <w:bCs/>
          <w:sz w:val="32"/>
          <w:szCs w:val="32"/>
        </w:rPr>
        <w:t>二</w:t>
      </w:r>
      <w:r>
        <w:rPr>
          <w:rFonts w:hint="eastAsia" w:ascii="宋体" w:hAnsi="宋体" w:eastAsia="仿宋_GB2312"/>
          <w:b/>
          <w:bCs/>
          <w:sz w:val="32"/>
          <w:szCs w:val="32"/>
        </w:rPr>
        <w:t>是</w:t>
      </w:r>
      <w:r>
        <w:rPr>
          <w:rFonts w:hint="eastAsia" w:ascii="仿宋_GB2312" w:hAnsi="宋体" w:eastAsia="仿宋_GB2312"/>
          <w:b/>
          <w:sz w:val="32"/>
          <w:szCs w:val="32"/>
        </w:rPr>
        <w:t>深入推进国库集中支付改革。</w:t>
      </w:r>
      <w:r>
        <w:rPr>
          <w:rFonts w:hint="eastAsia" w:ascii="仿宋_GB2312" w:eastAsia="仿宋_GB2312"/>
          <w:sz w:val="32"/>
          <w:szCs w:val="32"/>
        </w:rPr>
        <w:t>加强预算单位银行账户管理</w:t>
      </w:r>
      <w:r>
        <w:rPr>
          <w:rFonts w:hint="eastAsia" w:ascii="仿宋_GB2312" w:eastAsia="仿宋_GB2312"/>
          <w:sz w:val="32"/>
          <w:szCs w:val="32"/>
          <w:lang w:eastAsia="zh-CN"/>
        </w:rPr>
        <w:t>，</w:t>
      </w:r>
      <w:r>
        <w:rPr>
          <w:rFonts w:hint="eastAsia" w:ascii="仿宋_GB2312" w:eastAsia="仿宋_GB2312"/>
          <w:sz w:val="32"/>
          <w:szCs w:val="32"/>
        </w:rPr>
        <w:t>开展特定资金存放银行遴选工作</w:t>
      </w:r>
      <w:r>
        <w:rPr>
          <w:rFonts w:hint="eastAsia" w:ascii="仿宋_GB2312" w:eastAsia="仿宋_GB2312"/>
          <w:sz w:val="32"/>
          <w:szCs w:val="32"/>
          <w:lang w:eastAsia="zh-CN"/>
        </w:rPr>
        <w:t>。</w:t>
      </w:r>
      <w:r>
        <w:rPr>
          <w:rFonts w:hint="eastAsia" w:ascii="仿宋_GB2312" w:eastAsia="仿宋_GB2312"/>
          <w:sz w:val="32"/>
          <w:szCs w:val="32"/>
        </w:rPr>
        <w:t>建立财政业务代理银行评价机制，规范代理银行的财政代理业务管理</w:t>
      </w:r>
      <w:r>
        <w:rPr>
          <w:rFonts w:hint="eastAsia" w:ascii="仿宋_GB2312" w:eastAsia="仿宋_GB2312"/>
          <w:sz w:val="32"/>
          <w:szCs w:val="32"/>
          <w:lang w:eastAsia="zh-CN"/>
        </w:rPr>
        <w:t>。</w:t>
      </w:r>
      <w:r>
        <w:rPr>
          <w:rFonts w:hint="eastAsia" w:ascii="仿宋_GB2312" w:eastAsia="仿宋_GB2312"/>
          <w:sz w:val="32"/>
          <w:szCs w:val="32"/>
        </w:rPr>
        <w:t>全面清理财政暂存暂付挂账款项，积极稳妥有序消化挂账款项。</w:t>
      </w:r>
      <w:r>
        <w:rPr>
          <w:rFonts w:hint="eastAsia" w:ascii="仿宋_GB2312" w:eastAsia="仿宋_GB2312"/>
          <w:b/>
          <w:bCs/>
          <w:sz w:val="32"/>
          <w:szCs w:val="32"/>
        </w:rPr>
        <w:t>三是不断提高国有资产监管水平。</w:t>
      </w:r>
      <w:r>
        <w:rPr>
          <w:rFonts w:hint="eastAsia" w:ascii="仿宋_GB2312" w:hAnsi="仿宋_GB2312" w:eastAsia="仿宋_GB2312" w:cs="仿宋_GB2312"/>
          <w:sz w:val="32"/>
          <w:szCs w:val="32"/>
        </w:rPr>
        <w:t>推动国有资产管理信息化建设，升级打造盐田区行政事业单位国有资产业务管理平台。优化资产管理和处置流程，提升工作效能。推动各行政事业单位加快完成在建工程转固入账。组织各单位开展资产盘点，进一步规范资产监管。</w:t>
      </w:r>
      <w:r>
        <w:rPr>
          <w:rFonts w:hint="eastAsia" w:ascii="仿宋_GB2312" w:eastAsia="仿宋_GB2312"/>
          <w:b/>
          <w:bCs/>
          <w:sz w:val="32"/>
          <w:szCs w:val="32"/>
        </w:rPr>
        <w:t>四是加强政府采购监督管理。</w:t>
      </w:r>
      <w:r>
        <w:rPr>
          <w:rFonts w:hint="eastAsia" w:ascii="仿宋_GB2312" w:hAnsi="仿宋_GB2312" w:eastAsia="仿宋_GB2312" w:cs="仿宋_GB2312"/>
          <w:sz w:val="32"/>
          <w:szCs w:val="32"/>
        </w:rPr>
        <w:t>编制《2020年盐田区政府集中采购目录》，推进政府采购意向公开工作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进一步提高政府采购透明度，优化政府采购营商环境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协助我区将区级政府采购纳入市级统一的公共资源交易平台，开展区级政府采购交易改革。</w:t>
      </w:r>
      <w:r>
        <w:rPr>
          <w:rFonts w:hint="eastAsia" w:ascii="仿宋_GB2312" w:hAnsi="仿宋_GB2312" w:eastAsia="仿宋_GB2312" w:cs="仿宋_GB2312"/>
          <w:b/>
          <w:sz w:val="32"/>
          <w:szCs w:val="32"/>
        </w:rPr>
        <w:t>五是成立区财政投资评审中心，实现以评促管，保障财政资金支付安全。</w:t>
      </w:r>
      <w:r>
        <w:rPr>
          <w:rFonts w:hint="eastAsia" w:ascii="仿宋_GB2312" w:hAnsi="仿宋_GB2312" w:eastAsia="仿宋_GB2312" w:cs="仿宋_GB2312"/>
          <w:sz w:val="32"/>
          <w:szCs w:val="32"/>
        </w:rPr>
        <w:t>出台《深圳市盐田区财政投资评审管理办法（试行）》，率先在全市各区做到政府投资项目全审。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auto"/>
        <w:rPr>
          <w:rFonts w:ascii="仿宋_GB2312" w:eastAsia="楷体_GB2312"/>
          <w:sz w:val="32"/>
          <w:szCs w:val="32"/>
        </w:rPr>
      </w:pPr>
      <w:r>
        <w:rPr>
          <w:rFonts w:hint="eastAsia" w:ascii="楷体_GB2312" w:eastAsia="楷体_GB2312"/>
          <w:sz w:val="32"/>
          <w:szCs w:val="32"/>
        </w:rPr>
        <w:t>（四）全面实施预算绩效管理，推进花钱问效。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宋体"/>
          <w:b w:val="0"/>
          <w:bCs w:val="0"/>
          <w:sz w:val="32"/>
          <w:szCs w:val="32"/>
          <w:lang w:val="en-US" w:eastAsia="zh-CN"/>
        </w:rPr>
      </w:pPr>
      <w:r>
        <w:rPr>
          <w:rFonts w:hint="eastAsia" w:ascii="仿宋_GB2312" w:hAnsi="仿宋_GB2312" w:eastAsia="仿宋_GB2312" w:cs="仿宋_GB2312"/>
          <w:sz w:val="32"/>
          <w:szCs w:val="32"/>
          <w:lang w:val="en-US" w:eastAsia="zh-CN"/>
        </w:rPr>
        <w:t>2020年度盐田区持续推进全面实施</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一是狠抓</w:t>
      </w:r>
      <w:r>
        <w:rPr>
          <w:rFonts w:hint="eastAsia" w:ascii="仿宋_GB2312" w:hAnsi="仿宋_GB2312" w:eastAsia="仿宋_GB2312" w:cs="仿宋_GB2312"/>
          <w:b/>
          <w:bCs/>
          <w:sz w:val="32"/>
          <w:szCs w:val="32"/>
        </w:rPr>
        <w:t>绩效目标管理</w:t>
      </w:r>
      <w:r>
        <w:rPr>
          <w:rFonts w:hint="eastAsia" w:ascii="仿宋_GB2312" w:hAnsi="仿宋_GB2312" w:eastAsia="仿宋_GB2312" w:cs="仿宋_GB2312"/>
          <w:b/>
          <w:bCs/>
          <w:sz w:val="32"/>
          <w:szCs w:val="32"/>
          <w:lang w:eastAsia="zh-CN"/>
        </w:rPr>
        <w:t>和事前绩效评估。</w:t>
      </w:r>
      <w:r>
        <w:rPr>
          <w:rFonts w:hint="eastAsia" w:ascii="仿宋_GB2312" w:hAnsi="仿宋_GB2312" w:eastAsia="仿宋_GB2312" w:cs="仿宋_GB2312"/>
          <w:b w:val="0"/>
          <w:bCs w:val="0"/>
          <w:sz w:val="32"/>
          <w:szCs w:val="32"/>
          <w:lang w:eastAsia="zh-CN"/>
        </w:rPr>
        <w:t>所有预算项目与预算同步编报绩效目标，所有新增项目全部开展事前绩效评估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绩效目标随部门预算公开，接受广泛监督。</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i w:val="0"/>
          <w:color w:val="000000"/>
          <w:kern w:val="0"/>
          <w:sz w:val="32"/>
          <w:szCs w:val="32"/>
          <w:u w:val="none"/>
          <w:lang w:val="en-US" w:eastAsia="zh-CN" w:bidi="ar"/>
        </w:rPr>
        <w:t>是组织</w:t>
      </w:r>
      <w:r>
        <w:rPr>
          <w:rFonts w:hint="eastAsia" w:ascii="仿宋_GB2312" w:hAnsi="仿宋_GB2312" w:eastAsia="仿宋_GB2312" w:cs="仿宋_GB2312"/>
          <w:b/>
          <w:bCs/>
          <w:sz w:val="32"/>
          <w:szCs w:val="32"/>
          <w:lang w:val="en-US" w:eastAsia="zh-CN"/>
        </w:rPr>
        <w:t>做好</w:t>
      </w:r>
      <w:r>
        <w:rPr>
          <w:rFonts w:hint="eastAsia" w:ascii="仿宋_GB2312" w:hAnsi="仿宋_GB2312" w:eastAsia="仿宋_GB2312" w:cs="仿宋_GB2312"/>
          <w:b/>
          <w:bCs/>
          <w:sz w:val="32"/>
          <w:szCs w:val="32"/>
        </w:rPr>
        <w:t>绩效</w:t>
      </w:r>
      <w:r>
        <w:rPr>
          <w:rFonts w:hint="eastAsia" w:ascii="仿宋_GB2312" w:hAnsi="仿宋_GB2312" w:eastAsia="仿宋_GB2312" w:cs="仿宋_GB2312"/>
          <w:b/>
          <w:bCs/>
          <w:sz w:val="32"/>
          <w:szCs w:val="32"/>
          <w:lang w:eastAsia="zh-CN"/>
        </w:rPr>
        <w:t>运行</w:t>
      </w:r>
      <w:r>
        <w:rPr>
          <w:rFonts w:hint="eastAsia" w:ascii="仿宋_GB2312" w:hAnsi="仿宋_GB2312" w:eastAsia="仿宋_GB2312" w:cs="仿宋_GB2312"/>
          <w:b/>
          <w:bCs/>
          <w:sz w:val="32"/>
          <w:szCs w:val="32"/>
        </w:rPr>
        <w:t>监控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组织</w:t>
      </w:r>
      <w:r>
        <w:rPr>
          <w:rFonts w:hint="eastAsia" w:ascii="仿宋_GB2312" w:hAnsi="仿宋_GB2312" w:eastAsia="仿宋_GB2312" w:cs="仿宋_GB2312"/>
          <w:b w:val="0"/>
          <w:bCs w:val="0"/>
          <w:sz w:val="32"/>
          <w:szCs w:val="32"/>
          <w:lang w:eastAsia="zh-CN"/>
        </w:rPr>
        <w:t>各预算单位</w:t>
      </w:r>
      <w:r>
        <w:rPr>
          <w:rFonts w:hint="eastAsia" w:ascii="仿宋_GB2312" w:eastAsia="仿宋_GB2312"/>
          <w:sz w:val="32"/>
          <w:szCs w:val="32"/>
        </w:rPr>
        <w:t>加强对项目实施过程中绩效目标实现情况的监督和控制，</w:t>
      </w:r>
      <w:r>
        <w:rPr>
          <w:rFonts w:hint="eastAsia" w:ascii="仿宋_GB2312" w:hAnsi="仿宋_GB2312" w:eastAsia="仿宋_GB2312" w:cs="仿宋_GB2312"/>
          <w:b w:val="0"/>
          <w:bCs w:val="0"/>
          <w:sz w:val="32"/>
          <w:szCs w:val="32"/>
          <w:lang w:eastAsia="zh-CN"/>
        </w:rPr>
        <w:t>并根据监控情况做好后续预算调整或绩效目标调整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eastAsia="zh-CN"/>
        </w:rPr>
        <w:t>三是组织预算单位做好</w:t>
      </w:r>
      <w:r>
        <w:rPr>
          <w:rFonts w:hint="eastAsia" w:ascii="仿宋_GB2312" w:hAnsi="仿宋_GB2312" w:eastAsia="仿宋_GB2312" w:cs="仿宋_GB2312"/>
          <w:b/>
          <w:bCs/>
          <w:sz w:val="32"/>
          <w:szCs w:val="32"/>
          <w:lang w:val="en-US" w:eastAsia="zh-CN"/>
        </w:rPr>
        <w:t>绩效自评。</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年度财政支出绩效自评</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rPr>
        <w:t>预算单位、预算项目、财政资金绩效自评全覆盖。</w:t>
      </w:r>
      <w:r>
        <w:rPr>
          <w:rFonts w:hint="eastAsia" w:ascii="仿宋_GB2312" w:hAnsi="仿宋_GB2312" w:eastAsia="仿宋_GB2312" w:cs="仿宋_GB2312"/>
          <w:b w:val="0"/>
          <w:bCs w:val="0"/>
          <w:sz w:val="32"/>
          <w:szCs w:val="32"/>
          <w:lang w:val="en-US" w:eastAsia="zh-CN"/>
        </w:rPr>
        <w:t>所有项目自评结果随部门决算向社会公开。</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组织开展重点绩效评价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选择</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家单位、</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重点</w:t>
      </w:r>
      <w:r>
        <w:rPr>
          <w:rFonts w:hint="eastAsia" w:ascii="仿宋_GB2312" w:hAnsi="仿宋_GB2312" w:eastAsia="仿宋_GB2312" w:cs="仿宋_GB2312"/>
          <w:b w:val="0"/>
          <w:bCs w:val="0"/>
          <w:sz w:val="32"/>
          <w:szCs w:val="32"/>
        </w:rPr>
        <w:t>项目开展</w:t>
      </w:r>
      <w:r>
        <w:rPr>
          <w:rFonts w:hint="eastAsia" w:ascii="仿宋_GB2312" w:hAnsi="仿宋_GB2312" w:eastAsia="仿宋_GB2312" w:cs="仿宋_GB2312"/>
          <w:b w:val="0"/>
          <w:bCs w:val="0"/>
          <w:sz w:val="32"/>
          <w:szCs w:val="32"/>
          <w:lang w:val="en-US" w:eastAsia="zh-CN"/>
        </w:rPr>
        <w:t>2020年度</w:t>
      </w:r>
      <w:r>
        <w:rPr>
          <w:rFonts w:hint="eastAsia" w:ascii="仿宋_GB2312" w:hAnsi="仿宋_GB2312" w:eastAsia="仿宋_GB2312" w:cs="仿宋_GB2312"/>
          <w:b w:val="0"/>
          <w:bCs w:val="0"/>
          <w:sz w:val="32"/>
          <w:szCs w:val="32"/>
        </w:rPr>
        <w:t>重点绩效评价</w:t>
      </w:r>
      <w:r>
        <w:rPr>
          <w:rFonts w:hint="eastAsia" w:ascii="仿宋_GB2312" w:hAnsi="仿宋_GB2312" w:eastAsia="仿宋_GB2312" w:cs="仿宋_GB2312"/>
          <w:b w:val="0"/>
          <w:bCs w:val="0"/>
          <w:sz w:val="32"/>
          <w:szCs w:val="32"/>
          <w:lang w:eastAsia="zh-CN"/>
        </w:rPr>
        <w:t>，并做好评价结果运用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bCs/>
          <w:sz w:val="32"/>
          <w:szCs w:val="32"/>
          <w:lang w:val="en-US" w:eastAsia="zh-CN"/>
        </w:rPr>
        <w:t>完善指标体系建设。</w:t>
      </w:r>
      <w:r>
        <w:rPr>
          <w:rFonts w:hint="eastAsia" w:ascii="仿宋_GB2312" w:hAnsi="仿宋_GB2312" w:eastAsia="仿宋_GB2312" w:cs="仿宋_GB2312"/>
          <w:b w:val="0"/>
          <w:bCs w:val="0"/>
          <w:sz w:val="32"/>
          <w:szCs w:val="32"/>
          <w:lang w:val="en-US" w:eastAsia="zh-CN"/>
        </w:rPr>
        <w:t>组织预算单位完善指标体系建设，制定并发布《深圳市盐田区财政支出绩效个性指标体系框架》（2020年版），进</w:t>
      </w:r>
      <w:bookmarkStart w:id="0" w:name="_GoBack"/>
      <w:bookmarkEnd w:id="0"/>
      <w:r>
        <w:rPr>
          <w:rFonts w:hint="eastAsia" w:ascii="仿宋_GB2312" w:hAnsi="仿宋_GB2312" w:eastAsia="仿宋_GB2312" w:cs="仿宋_GB2312"/>
          <w:b w:val="0"/>
          <w:bCs w:val="0"/>
          <w:sz w:val="32"/>
          <w:szCs w:val="32"/>
          <w:lang w:val="en-US" w:eastAsia="zh-CN"/>
        </w:rPr>
        <w:t>一步深化了预算绩效管理改革。</w:t>
      </w:r>
      <w:r>
        <w:rPr>
          <w:rFonts w:hint="eastAsia" w:ascii="仿宋_GB2312" w:hAnsi="仿宋_GB2312" w:eastAsia="仿宋_GB2312" w:cs="仿宋_GB2312"/>
          <w:b/>
          <w:bCs/>
          <w:sz w:val="32"/>
          <w:szCs w:val="32"/>
          <w:lang w:val="en-US" w:eastAsia="zh-CN"/>
        </w:rPr>
        <w:t>六是加强制度建设。</w:t>
      </w:r>
      <w:r>
        <w:rPr>
          <w:rFonts w:hint="eastAsia" w:ascii="仿宋_GB2312" w:hAnsi="仿宋_GB2312" w:eastAsia="仿宋_GB2312" w:cs="仿宋_GB2312"/>
          <w:b w:val="0"/>
          <w:bCs w:val="0"/>
          <w:sz w:val="32"/>
          <w:szCs w:val="32"/>
          <w:lang w:val="en-US" w:eastAsia="zh-CN"/>
        </w:rPr>
        <w:t>制定出台了</w:t>
      </w:r>
      <w:r>
        <w:rPr>
          <w:rFonts w:hint="eastAsia" w:ascii="Times New Roman" w:hAnsi="Times New Roman" w:eastAsia="仿宋_GB2312" w:cs="宋体"/>
          <w:b w:val="0"/>
          <w:bCs w:val="0"/>
          <w:sz w:val="32"/>
          <w:szCs w:val="32"/>
          <w:lang w:val="en-US" w:eastAsia="zh-CN"/>
        </w:rPr>
        <w:t>《深圳市盐田区预算绩效运行监控管理工作规程》《盐田区财政绩效评价第三方机构工作质量评估办法》，完善预算绩效管理制度体系。</w:t>
      </w:r>
    </w:p>
    <w:p>
      <w:pPr>
        <w:pStyle w:val="22"/>
        <w:keepNext w:val="0"/>
        <w:keepLines w:val="0"/>
        <w:pageBreakBefore w:val="0"/>
        <w:widowControl w:val="0"/>
        <w:kinsoku/>
        <w:wordWrap/>
        <w:overflowPunct/>
        <w:topLinePunct w:val="0"/>
        <w:bidi w:val="0"/>
        <w:adjustRightInd/>
        <w:snapToGrid/>
        <w:spacing w:beforeAutospacing="0" w:afterAutospacing="0" w:line="560" w:lineRule="exact"/>
        <w:ind w:firstLine="643"/>
        <w:jc w:val="both"/>
        <w:textAlignment w:val="auto"/>
        <w:rPr>
          <w:rFonts w:hint="eastAsia" w:ascii="CESI仿宋-GB2312" w:hAnsi="CESI仿宋-GB2312" w:eastAsia="CESI仿宋-GB2312" w:cs="CESI仿宋-GB2312"/>
          <w:b w:val="0"/>
          <w:bCs/>
          <w:sz w:val="32"/>
          <w:szCs w:val="32"/>
          <w:lang w:eastAsia="zh-CN"/>
        </w:rPr>
      </w:pPr>
      <w:r>
        <w:rPr>
          <w:rFonts w:hint="eastAsia" w:ascii="仿宋_GB2312" w:eastAsia="仿宋_GB2312"/>
          <w:sz w:val="32"/>
          <w:szCs w:val="32"/>
        </w:rPr>
        <w:t>主任、各位副主任</w:t>
      </w:r>
      <w:r>
        <w:rPr>
          <w:rFonts w:hint="eastAsia" w:ascii="仿宋_GB2312" w:eastAsia="仿宋_GB2312"/>
          <w:sz w:val="32"/>
          <w:szCs w:val="32"/>
          <w:lang w:eastAsia="zh-CN"/>
        </w:rPr>
        <w:t>、</w:t>
      </w:r>
      <w:r>
        <w:rPr>
          <w:rFonts w:hint="eastAsia" w:ascii="仿宋_GB2312" w:eastAsia="仿宋_GB2312"/>
          <w:sz w:val="32"/>
          <w:szCs w:val="32"/>
        </w:rPr>
        <w:t>各位委员</w:t>
      </w:r>
      <w:r>
        <w:rPr>
          <w:rFonts w:hint="eastAsia" w:ascii="仿宋_GB2312" w:eastAsia="仿宋_GB2312"/>
          <w:sz w:val="32"/>
          <w:szCs w:val="32"/>
          <w:lang w:eastAsia="zh-CN"/>
        </w:rPr>
        <w:t>，</w:t>
      </w:r>
      <w:r>
        <w:rPr>
          <w:rFonts w:hint="eastAsia" w:ascii="仿宋_GB2312" w:hAnsi="仿宋_GB2312" w:eastAsia="仿宋_GB2312" w:cs="仿宋_GB2312"/>
          <w:sz w:val="32"/>
          <w:szCs w:val="32"/>
        </w:rPr>
        <w:t>我们将</w:t>
      </w:r>
      <w:r>
        <w:rPr>
          <w:rFonts w:hint="eastAsia" w:ascii="仿宋_GB2312" w:hAnsi="仿宋_GB2312" w:eastAsia="仿宋_GB2312" w:cs="仿宋_GB2312"/>
          <w:sz w:val="32"/>
          <w:szCs w:val="32"/>
          <w:lang w:eastAsia="zh-CN"/>
        </w:rPr>
        <w:t>在市委市政府和盐田区委的坚强领导下</w:t>
      </w:r>
      <w:r>
        <w:rPr>
          <w:rFonts w:hint="eastAsia" w:ascii="仿宋_GB2312" w:hAnsi="仿宋_GB2312" w:eastAsia="仿宋_GB2312" w:cs="仿宋_GB2312"/>
          <w:sz w:val="32"/>
          <w:szCs w:val="32"/>
        </w:rPr>
        <w:t>，自觉接受区人大的监督指导，认真落实本次会议审议意见，</w:t>
      </w:r>
      <w:r>
        <w:rPr>
          <w:rFonts w:hint="eastAsia" w:ascii="仿宋_GB2312" w:hAnsi="仿宋_GB2312" w:eastAsia="仿宋_GB2312" w:cs="仿宋_GB2312"/>
          <w:sz w:val="32"/>
          <w:szCs w:val="32"/>
          <w:lang w:eastAsia="zh-CN"/>
        </w:rPr>
        <w:t>坚持积极的财政政策要提质增效、更可持续的要求，</w:t>
      </w:r>
      <w:r>
        <w:rPr>
          <w:rFonts w:hint="eastAsia" w:ascii="仿宋_GB2312" w:hAnsi="仿宋_GB2312" w:eastAsia="仿宋_GB2312" w:cs="仿宋_GB2312"/>
          <w:sz w:val="32"/>
          <w:szCs w:val="32"/>
        </w:rPr>
        <w:t>努力做好各项财政工作，积极主动作为，</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高质量全面建成宜居宜业宜游的现代化国际化创新型滨海城区</w:t>
      </w:r>
      <w:r>
        <w:rPr>
          <w:rFonts w:hint="eastAsia" w:ascii="仿宋_GB2312" w:hAnsi="仿宋_GB2312" w:eastAsia="仿宋_GB2312" w:cs="仿宋_GB2312"/>
          <w:sz w:val="32"/>
          <w:szCs w:val="32"/>
          <w:lang w:val="en-US" w:eastAsia="zh-CN"/>
        </w:rPr>
        <w:t>提供有力保障</w:t>
      </w:r>
      <w:r>
        <w:rPr>
          <w:rFonts w:hint="eastAsia" w:ascii="仿宋_GB2312" w:hAnsi="仿宋_GB2312" w:eastAsia="仿宋_GB2312" w:cs="仿宋_GB2312"/>
          <w:color w:val="000000"/>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9" w:usb3="00000000" w:csb0="6000019F" w:csb1="DFD7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Liberation Sans"/>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Gungsuh">
    <w:altName w:val="方正书宋_GBK"/>
    <w:panose1 w:val="02030600000101010101"/>
    <w:charset w:val="81"/>
    <w:family w:val="roman"/>
    <w:pitch w:val="default"/>
    <w:sig w:usb0="00000000" w:usb1="00000000" w:usb2="00000030" w:usb3="00000000" w:csb0="4008009F" w:csb1="DFD70000"/>
  </w:font>
  <w:font w:name="FangSong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Liberation Sans Narrow">
    <w:panose1 w:val="020B0606020202030204"/>
    <w:charset w:val="00"/>
    <w:family w:val="auto"/>
    <w:pitch w:val="default"/>
    <w:sig w:usb0="A00002AF" w:usb1="500078FB" w:usb2="00000000" w:usb3="00000000" w:csb0="6000009F" w:csb1="DFD7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F3A42"/>
    <w:multiLevelType w:val="singleLevel"/>
    <w:tmpl w:val="D51F3A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58C0"/>
    <w:rsid w:val="00056766"/>
    <w:rsid w:val="000B3E9D"/>
    <w:rsid w:val="000C17E8"/>
    <w:rsid w:val="001163FB"/>
    <w:rsid w:val="00122D3F"/>
    <w:rsid w:val="00143023"/>
    <w:rsid w:val="001C018D"/>
    <w:rsid w:val="001E7E86"/>
    <w:rsid w:val="00200ED2"/>
    <w:rsid w:val="00222D4D"/>
    <w:rsid w:val="00257B13"/>
    <w:rsid w:val="00273E37"/>
    <w:rsid w:val="0029468A"/>
    <w:rsid w:val="002A4533"/>
    <w:rsid w:val="002B6FDF"/>
    <w:rsid w:val="002D1D9C"/>
    <w:rsid w:val="002F2D52"/>
    <w:rsid w:val="003631B6"/>
    <w:rsid w:val="004469D3"/>
    <w:rsid w:val="00450C9A"/>
    <w:rsid w:val="00465F47"/>
    <w:rsid w:val="00482BFE"/>
    <w:rsid w:val="004A78F7"/>
    <w:rsid w:val="004D3A58"/>
    <w:rsid w:val="004E1EB2"/>
    <w:rsid w:val="004E69A0"/>
    <w:rsid w:val="00511746"/>
    <w:rsid w:val="00511D06"/>
    <w:rsid w:val="0057470D"/>
    <w:rsid w:val="005A0930"/>
    <w:rsid w:val="005D2DC7"/>
    <w:rsid w:val="005E0074"/>
    <w:rsid w:val="005F05BE"/>
    <w:rsid w:val="005F559F"/>
    <w:rsid w:val="006162D1"/>
    <w:rsid w:val="00617961"/>
    <w:rsid w:val="00630BE1"/>
    <w:rsid w:val="00653F19"/>
    <w:rsid w:val="00692A86"/>
    <w:rsid w:val="006E12B5"/>
    <w:rsid w:val="00715416"/>
    <w:rsid w:val="007219F4"/>
    <w:rsid w:val="00723AB2"/>
    <w:rsid w:val="00724908"/>
    <w:rsid w:val="00740A2D"/>
    <w:rsid w:val="00741F8C"/>
    <w:rsid w:val="007452BC"/>
    <w:rsid w:val="00751C76"/>
    <w:rsid w:val="0075223B"/>
    <w:rsid w:val="00752639"/>
    <w:rsid w:val="00765C54"/>
    <w:rsid w:val="00796857"/>
    <w:rsid w:val="007A59A0"/>
    <w:rsid w:val="007C0F08"/>
    <w:rsid w:val="00803908"/>
    <w:rsid w:val="0082434A"/>
    <w:rsid w:val="00834C69"/>
    <w:rsid w:val="008402A8"/>
    <w:rsid w:val="0085528C"/>
    <w:rsid w:val="00876A2A"/>
    <w:rsid w:val="00883A58"/>
    <w:rsid w:val="00887CB7"/>
    <w:rsid w:val="008C6422"/>
    <w:rsid w:val="008D3549"/>
    <w:rsid w:val="008F0F15"/>
    <w:rsid w:val="009075B7"/>
    <w:rsid w:val="00945E4D"/>
    <w:rsid w:val="00953225"/>
    <w:rsid w:val="00977545"/>
    <w:rsid w:val="00985814"/>
    <w:rsid w:val="0099105E"/>
    <w:rsid w:val="00A059DA"/>
    <w:rsid w:val="00A22299"/>
    <w:rsid w:val="00A27695"/>
    <w:rsid w:val="00A27BC9"/>
    <w:rsid w:val="00A44446"/>
    <w:rsid w:val="00A63FE7"/>
    <w:rsid w:val="00A6441F"/>
    <w:rsid w:val="00A72864"/>
    <w:rsid w:val="00AA44D7"/>
    <w:rsid w:val="00AE1E75"/>
    <w:rsid w:val="00B00188"/>
    <w:rsid w:val="00B343ED"/>
    <w:rsid w:val="00B35E4F"/>
    <w:rsid w:val="00B379E9"/>
    <w:rsid w:val="00B62B4D"/>
    <w:rsid w:val="00B71A2E"/>
    <w:rsid w:val="00B976E6"/>
    <w:rsid w:val="00C45DB9"/>
    <w:rsid w:val="00C512E1"/>
    <w:rsid w:val="00C82222"/>
    <w:rsid w:val="00CC5201"/>
    <w:rsid w:val="00D155A1"/>
    <w:rsid w:val="00D53F96"/>
    <w:rsid w:val="00D71592"/>
    <w:rsid w:val="00D87715"/>
    <w:rsid w:val="00D946B9"/>
    <w:rsid w:val="00DA467F"/>
    <w:rsid w:val="00DC2D95"/>
    <w:rsid w:val="00DD6CFA"/>
    <w:rsid w:val="00E00454"/>
    <w:rsid w:val="00E07E7F"/>
    <w:rsid w:val="00E40956"/>
    <w:rsid w:val="00EA0D20"/>
    <w:rsid w:val="00EC59FD"/>
    <w:rsid w:val="00F32BFB"/>
    <w:rsid w:val="00F95A5B"/>
    <w:rsid w:val="00FC3D87"/>
    <w:rsid w:val="0108066C"/>
    <w:rsid w:val="01287AAF"/>
    <w:rsid w:val="01A46DB4"/>
    <w:rsid w:val="029C2F84"/>
    <w:rsid w:val="039A519E"/>
    <w:rsid w:val="055740CC"/>
    <w:rsid w:val="06670A64"/>
    <w:rsid w:val="07100409"/>
    <w:rsid w:val="07215869"/>
    <w:rsid w:val="0762427F"/>
    <w:rsid w:val="07FE0DC4"/>
    <w:rsid w:val="09454DAB"/>
    <w:rsid w:val="0B5C391B"/>
    <w:rsid w:val="0BAB2C67"/>
    <w:rsid w:val="0C2F14EC"/>
    <w:rsid w:val="0C6C40A4"/>
    <w:rsid w:val="0EF06896"/>
    <w:rsid w:val="0F492391"/>
    <w:rsid w:val="0F532EA4"/>
    <w:rsid w:val="0F993CA1"/>
    <w:rsid w:val="0FB90C75"/>
    <w:rsid w:val="0FDE275F"/>
    <w:rsid w:val="103B7888"/>
    <w:rsid w:val="107167F7"/>
    <w:rsid w:val="10F8257F"/>
    <w:rsid w:val="11051910"/>
    <w:rsid w:val="132F2B94"/>
    <w:rsid w:val="133478DC"/>
    <w:rsid w:val="13B663EC"/>
    <w:rsid w:val="13F5781F"/>
    <w:rsid w:val="14CA5FAD"/>
    <w:rsid w:val="15286EA1"/>
    <w:rsid w:val="15A041AC"/>
    <w:rsid w:val="17E131F9"/>
    <w:rsid w:val="19BFECD0"/>
    <w:rsid w:val="19E63AE4"/>
    <w:rsid w:val="1AA80913"/>
    <w:rsid w:val="1B430C6E"/>
    <w:rsid w:val="1BB0F081"/>
    <w:rsid w:val="1C65712B"/>
    <w:rsid w:val="1D3F1571"/>
    <w:rsid w:val="1E5620DB"/>
    <w:rsid w:val="20C81E90"/>
    <w:rsid w:val="21C473DB"/>
    <w:rsid w:val="23CD0A7C"/>
    <w:rsid w:val="24B92DF1"/>
    <w:rsid w:val="24FC1349"/>
    <w:rsid w:val="25894C54"/>
    <w:rsid w:val="265876D9"/>
    <w:rsid w:val="2691463F"/>
    <w:rsid w:val="27055783"/>
    <w:rsid w:val="27436961"/>
    <w:rsid w:val="27B25AEA"/>
    <w:rsid w:val="28441877"/>
    <w:rsid w:val="295F004E"/>
    <w:rsid w:val="297155F1"/>
    <w:rsid w:val="2A1E6C17"/>
    <w:rsid w:val="2A986760"/>
    <w:rsid w:val="2B811971"/>
    <w:rsid w:val="2B82020D"/>
    <w:rsid w:val="2BAA6FE9"/>
    <w:rsid w:val="2D650C6E"/>
    <w:rsid w:val="2D6D4733"/>
    <w:rsid w:val="2D9540DB"/>
    <w:rsid w:val="2DA8610C"/>
    <w:rsid w:val="2DF300D1"/>
    <w:rsid w:val="2E862C26"/>
    <w:rsid w:val="2EDD3CB3"/>
    <w:rsid w:val="2FBE44AE"/>
    <w:rsid w:val="2FC23B8B"/>
    <w:rsid w:val="2FFB7226"/>
    <w:rsid w:val="319C5CA3"/>
    <w:rsid w:val="322B72BA"/>
    <w:rsid w:val="324E29B7"/>
    <w:rsid w:val="329E3D07"/>
    <w:rsid w:val="33A73100"/>
    <w:rsid w:val="33B552B4"/>
    <w:rsid w:val="34D51724"/>
    <w:rsid w:val="34DD6BDC"/>
    <w:rsid w:val="35DC4DBB"/>
    <w:rsid w:val="35EA766B"/>
    <w:rsid w:val="37853999"/>
    <w:rsid w:val="37EE39B0"/>
    <w:rsid w:val="37FA11EF"/>
    <w:rsid w:val="39D81397"/>
    <w:rsid w:val="3B0FDC54"/>
    <w:rsid w:val="3B5E9512"/>
    <w:rsid w:val="3B695072"/>
    <w:rsid w:val="3BEB32A0"/>
    <w:rsid w:val="3BFD962E"/>
    <w:rsid w:val="3CA24F91"/>
    <w:rsid w:val="3CE5F4F3"/>
    <w:rsid w:val="3CF338D0"/>
    <w:rsid w:val="3D176C0C"/>
    <w:rsid w:val="3E266500"/>
    <w:rsid w:val="3ECA4F8E"/>
    <w:rsid w:val="3ED4563E"/>
    <w:rsid w:val="3ED9EFC2"/>
    <w:rsid w:val="3FE44F83"/>
    <w:rsid w:val="3FFAAC83"/>
    <w:rsid w:val="3FFEF2C0"/>
    <w:rsid w:val="40D4298F"/>
    <w:rsid w:val="42B439E7"/>
    <w:rsid w:val="435A6779"/>
    <w:rsid w:val="43831440"/>
    <w:rsid w:val="46714C3B"/>
    <w:rsid w:val="46EE10CA"/>
    <w:rsid w:val="48AA3D0F"/>
    <w:rsid w:val="49616DB4"/>
    <w:rsid w:val="496926B0"/>
    <w:rsid w:val="49A9593B"/>
    <w:rsid w:val="49AA23D9"/>
    <w:rsid w:val="4AF7A4B4"/>
    <w:rsid w:val="4B2505C5"/>
    <w:rsid w:val="4CF456AF"/>
    <w:rsid w:val="4DA70CED"/>
    <w:rsid w:val="4DD222CC"/>
    <w:rsid w:val="4E4B4FD6"/>
    <w:rsid w:val="4ED4294A"/>
    <w:rsid w:val="4F7EC3D3"/>
    <w:rsid w:val="514D689C"/>
    <w:rsid w:val="52195939"/>
    <w:rsid w:val="52D72335"/>
    <w:rsid w:val="537765EF"/>
    <w:rsid w:val="53BFD8ED"/>
    <w:rsid w:val="55CBBB85"/>
    <w:rsid w:val="569A42DC"/>
    <w:rsid w:val="56BB0C5F"/>
    <w:rsid w:val="571F26EF"/>
    <w:rsid w:val="57EF1179"/>
    <w:rsid w:val="5A0B3237"/>
    <w:rsid w:val="5B3F3C90"/>
    <w:rsid w:val="5BDFB760"/>
    <w:rsid w:val="5DA780B3"/>
    <w:rsid w:val="5DBF3343"/>
    <w:rsid w:val="5DEE68F3"/>
    <w:rsid w:val="5E3FD83E"/>
    <w:rsid w:val="5EF13C05"/>
    <w:rsid w:val="5EF62FFC"/>
    <w:rsid w:val="5F3F2CB1"/>
    <w:rsid w:val="5F6107B3"/>
    <w:rsid w:val="5FAFE656"/>
    <w:rsid w:val="5FBBF855"/>
    <w:rsid w:val="5FEBF836"/>
    <w:rsid w:val="60877C97"/>
    <w:rsid w:val="60DA736C"/>
    <w:rsid w:val="62861F7A"/>
    <w:rsid w:val="636F976A"/>
    <w:rsid w:val="657D88C0"/>
    <w:rsid w:val="65A377D0"/>
    <w:rsid w:val="65CECDB4"/>
    <w:rsid w:val="67DF9F20"/>
    <w:rsid w:val="688F1F68"/>
    <w:rsid w:val="69FA7F75"/>
    <w:rsid w:val="6A7E4896"/>
    <w:rsid w:val="6BAB98B5"/>
    <w:rsid w:val="6BDF2E7F"/>
    <w:rsid w:val="6D16555A"/>
    <w:rsid w:val="6D873F19"/>
    <w:rsid w:val="6D885FB1"/>
    <w:rsid w:val="6E7F9AFD"/>
    <w:rsid w:val="6E8668F5"/>
    <w:rsid w:val="6EA66AC6"/>
    <w:rsid w:val="6EBFCEAF"/>
    <w:rsid w:val="6F3F865F"/>
    <w:rsid w:val="6F7F5B4D"/>
    <w:rsid w:val="70CD4E00"/>
    <w:rsid w:val="71CA18A6"/>
    <w:rsid w:val="71D07989"/>
    <w:rsid w:val="71D729A7"/>
    <w:rsid w:val="722309D7"/>
    <w:rsid w:val="72A0532C"/>
    <w:rsid w:val="738A64AA"/>
    <w:rsid w:val="73C408B1"/>
    <w:rsid w:val="73FBC55E"/>
    <w:rsid w:val="748F5EAA"/>
    <w:rsid w:val="74D04876"/>
    <w:rsid w:val="74FE3445"/>
    <w:rsid w:val="75346033"/>
    <w:rsid w:val="7555FB5B"/>
    <w:rsid w:val="75BB0DBA"/>
    <w:rsid w:val="76B02643"/>
    <w:rsid w:val="775FCB9B"/>
    <w:rsid w:val="77CBC7CD"/>
    <w:rsid w:val="77FF2415"/>
    <w:rsid w:val="78F7F7E3"/>
    <w:rsid w:val="79B73803"/>
    <w:rsid w:val="79E78B7B"/>
    <w:rsid w:val="7A2FF2B4"/>
    <w:rsid w:val="7B787C6F"/>
    <w:rsid w:val="7B7DF44C"/>
    <w:rsid w:val="7B8F79B1"/>
    <w:rsid w:val="7BB3A899"/>
    <w:rsid w:val="7BBE5CE9"/>
    <w:rsid w:val="7BF52E8C"/>
    <w:rsid w:val="7BF72CA8"/>
    <w:rsid w:val="7BFD862A"/>
    <w:rsid w:val="7BFFEA60"/>
    <w:rsid w:val="7C15493B"/>
    <w:rsid w:val="7CDF5587"/>
    <w:rsid w:val="7CEF2988"/>
    <w:rsid w:val="7CFBA22F"/>
    <w:rsid w:val="7DBF2219"/>
    <w:rsid w:val="7E282E7C"/>
    <w:rsid w:val="7E286395"/>
    <w:rsid w:val="7E6F05C2"/>
    <w:rsid w:val="7E7703EC"/>
    <w:rsid w:val="7E846DC9"/>
    <w:rsid w:val="7EB1BC2B"/>
    <w:rsid w:val="7ED29FB1"/>
    <w:rsid w:val="7EF2CB56"/>
    <w:rsid w:val="7EFFBD09"/>
    <w:rsid w:val="7F005A8C"/>
    <w:rsid w:val="7F1F44B6"/>
    <w:rsid w:val="7F2C5F47"/>
    <w:rsid w:val="7F5DC573"/>
    <w:rsid w:val="7F6F4D93"/>
    <w:rsid w:val="7F76FFE8"/>
    <w:rsid w:val="7F7CB397"/>
    <w:rsid w:val="7F7FC544"/>
    <w:rsid w:val="7FBC1E48"/>
    <w:rsid w:val="7FBC6D50"/>
    <w:rsid w:val="7FBEC791"/>
    <w:rsid w:val="7FC608AF"/>
    <w:rsid w:val="7FED3ECC"/>
    <w:rsid w:val="7FEF8BE4"/>
    <w:rsid w:val="7FF09078"/>
    <w:rsid w:val="7FF72A5A"/>
    <w:rsid w:val="7FF78430"/>
    <w:rsid w:val="7FF7E9DB"/>
    <w:rsid w:val="7FFD4C6C"/>
    <w:rsid w:val="7FFE5E33"/>
    <w:rsid w:val="7FFE6555"/>
    <w:rsid w:val="8EBBE990"/>
    <w:rsid w:val="8FF77324"/>
    <w:rsid w:val="8FFAA60B"/>
    <w:rsid w:val="9B8EF0DB"/>
    <w:rsid w:val="9BFDE358"/>
    <w:rsid w:val="9FF95D67"/>
    <w:rsid w:val="A4DFBF79"/>
    <w:rsid w:val="A7D3043C"/>
    <w:rsid w:val="AF9D656F"/>
    <w:rsid w:val="B3A4DE40"/>
    <w:rsid w:val="B49BD97F"/>
    <w:rsid w:val="B68FE91B"/>
    <w:rsid w:val="B6FDF48B"/>
    <w:rsid w:val="B7FC90EE"/>
    <w:rsid w:val="B9FD56DF"/>
    <w:rsid w:val="BAFBEF20"/>
    <w:rsid w:val="BB3FC43A"/>
    <w:rsid w:val="BDF6F6BC"/>
    <w:rsid w:val="BEE151B3"/>
    <w:rsid w:val="BF572281"/>
    <w:rsid w:val="BFEBF340"/>
    <w:rsid w:val="BFFB2DA9"/>
    <w:rsid w:val="C31378D8"/>
    <w:rsid w:val="C7CCA096"/>
    <w:rsid w:val="CA2ED7F1"/>
    <w:rsid w:val="CBAA65C6"/>
    <w:rsid w:val="CDB82614"/>
    <w:rsid w:val="CF9FA9C8"/>
    <w:rsid w:val="CFEF6ACC"/>
    <w:rsid w:val="D655CAB3"/>
    <w:rsid w:val="D739276D"/>
    <w:rsid w:val="D7EF85FB"/>
    <w:rsid w:val="D7FD2E5E"/>
    <w:rsid w:val="DA4FD10E"/>
    <w:rsid w:val="DB1592E3"/>
    <w:rsid w:val="DB9E2318"/>
    <w:rsid w:val="DD79F435"/>
    <w:rsid w:val="DD7F89B0"/>
    <w:rsid w:val="DDF71798"/>
    <w:rsid w:val="DE73AD14"/>
    <w:rsid w:val="DEAEB698"/>
    <w:rsid w:val="DEFE68C0"/>
    <w:rsid w:val="DF4EF7D2"/>
    <w:rsid w:val="DFF3239A"/>
    <w:rsid w:val="DFFE24B8"/>
    <w:rsid w:val="DFFF1DD9"/>
    <w:rsid w:val="E7F5CBB1"/>
    <w:rsid w:val="EAEBDE68"/>
    <w:rsid w:val="ED79ED15"/>
    <w:rsid w:val="EDADFB37"/>
    <w:rsid w:val="EDFFCC0B"/>
    <w:rsid w:val="EEEFBEBD"/>
    <w:rsid w:val="EF3CB470"/>
    <w:rsid w:val="EFD7453A"/>
    <w:rsid w:val="EFEB04A5"/>
    <w:rsid w:val="F27B6D40"/>
    <w:rsid w:val="F5B77C8A"/>
    <w:rsid w:val="F5FD207A"/>
    <w:rsid w:val="F77D6408"/>
    <w:rsid w:val="F7ED8EF9"/>
    <w:rsid w:val="F7FD8886"/>
    <w:rsid w:val="F8ABC8C3"/>
    <w:rsid w:val="F9FB4805"/>
    <w:rsid w:val="FADC5438"/>
    <w:rsid w:val="FAFB4CCE"/>
    <w:rsid w:val="FB9FAED7"/>
    <w:rsid w:val="FBBCC4E6"/>
    <w:rsid w:val="FBC7A1B3"/>
    <w:rsid w:val="FBED8D9F"/>
    <w:rsid w:val="FBFE556C"/>
    <w:rsid w:val="FC770436"/>
    <w:rsid w:val="FC7F1022"/>
    <w:rsid w:val="FCF739F4"/>
    <w:rsid w:val="FDBB3965"/>
    <w:rsid w:val="FDF596E6"/>
    <w:rsid w:val="FE5FFD0B"/>
    <w:rsid w:val="FE7E66F3"/>
    <w:rsid w:val="FE7FB4C0"/>
    <w:rsid w:val="FEDAE817"/>
    <w:rsid w:val="FEE6B0A7"/>
    <w:rsid w:val="FEF723AB"/>
    <w:rsid w:val="FEFCF286"/>
    <w:rsid w:val="FF69402B"/>
    <w:rsid w:val="FF6AB22F"/>
    <w:rsid w:val="FF6C5242"/>
    <w:rsid w:val="FF7EF117"/>
    <w:rsid w:val="FF9A6C88"/>
    <w:rsid w:val="FF9F4340"/>
    <w:rsid w:val="FFCF25EB"/>
    <w:rsid w:val="FFD28400"/>
    <w:rsid w:val="FFD73942"/>
    <w:rsid w:val="FFEE38EB"/>
    <w:rsid w:val="FFEE5794"/>
    <w:rsid w:val="FFF58954"/>
    <w:rsid w:val="FFF7D1D6"/>
    <w:rsid w:val="FFFBFBFC"/>
    <w:rsid w:val="FFFF4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rPr>
      <w:szCs w:val="20"/>
    </w:rPr>
  </w:style>
  <w:style w:type="paragraph" w:styleId="3">
    <w:name w:val="Body Text"/>
    <w:basedOn w:val="1"/>
    <w:next w:val="1"/>
    <w:qFormat/>
    <w:uiPriority w:val="0"/>
  </w:style>
  <w:style w:type="paragraph" w:styleId="4">
    <w:name w:val="footer"/>
    <w:basedOn w:val="1"/>
    <w:link w:val="24"/>
    <w:qFormat/>
    <w:uiPriority w:val="0"/>
    <w:pPr>
      <w:tabs>
        <w:tab w:val="center" w:pos="4153"/>
        <w:tab w:val="right" w:pos="8306"/>
      </w:tabs>
      <w:snapToGrid w:val="0"/>
      <w:jc w:val="left"/>
    </w:pPr>
    <w:rPr>
      <w:sz w:val="18"/>
      <w:szCs w:val="18"/>
    </w:rPr>
  </w:style>
  <w:style w:type="paragraph" w:styleId="5">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after="150"/>
      <w:jc w:val="left"/>
    </w:pPr>
    <w:rPr>
      <w:kern w:val="0"/>
      <w:sz w:val="24"/>
    </w:rPr>
  </w:style>
  <w:style w:type="table" w:styleId="8">
    <w:name w:val="Table Grid"/>
    <w:basedOn w:val="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rPr>
      <w:shd w:val="clear" w:fill="5BC0DE"/>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333333"/>
      <w:u w:val="none"/>
    </w:rPr>
  </w:style>
  <w:style w:type="character" w:styleId="17">
    <w:name w:val="HTML Code"/>
    <w:basedOn w:val="9"/>
    <w:qFormat/>
    <w:uiPriority w:val="0"/>
    <w:rPr>
      <w:rFonts w:ascii="Consolas" w:hAnsi="Consolas" w:eastAsia="Consolas" w:cs="Consolas"/>
      <w:color w:val="C7254E"/>
      <w:sz w:val="21"/>
      <w:szCs w:val="21"/>
      <w:shd w:val="clear" w:fill="F9F2F4"/>
    </w:rPr>
  </w:style>
  <w:style w:type="character" w:styleId="18">
    <w:name w:val="HTML Cite"/>
    <w:basedOn w:val="9"/>
    <w:qFormat/>
    <w:uiPriority w:val="0"/>
    <w:rPr>
      <w:sz w:val="20"/>
      <w:szCs w:val="20"/>
    </w:rPr>
  </w:style>
  <w:style w:type="character" w:styleId="19">
    <w:name w:val="HTML Keyboard"/>
    <w:basedOn w:val="9"/>
    <w:qFormat/>
    <w:uiPriority w:val="0"/>
    <w:rPr>
      <w:rFonts w:hint="default"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p0"/>
    <w:basedOn w:val="1"/>
    <w:qFormat/>
    <w:uiPriority w:val="0"/>
    <w:pPr>
      <w:widowControl/>
    </w:pPr>
    <w:rPr>
      <w:rFonts w:cs="宋体"/>
      <w:kern w:val="0"/>
      <w:szCs w:val="21"/>
    </w:rPr>
  </w:style>
  <w:style w:type="paragraph" w:styleId="22">
    <w:name w:val="List Paragraph"/>
    <w:basedOn w:val="1"/>
    <w:qFormat/>
    <w:uiPriority w:val="34"/>
    <w:pPr>
      <w:ind w:firstLine="420" w:firstLineChars="200"/>
    </w:pPr>
  </w:style>
  <w:style w:type="character" w:customStyle="1" w:styleId="23">
    <w:name w:val="页眉 Char"/>
    <w:basedOn w:val="9"/>
    <w:link w:val="5"/>
    <w:qFormat/>
    <w:uiPriority w:val="0"/>
    <w:rPr>
      <w:rFonts w:ascii="Times New Roman" w:hAnsi="Times New Roman" w:eastAsia="宋体" w:cs="Times New Roman"/>
      <w:kern w:val="2"/>
      <w:sz w:val="18"/>
      <w:szCs w:val="18"/>
    </w:rPr>
  </w:style>
  <w:style w:type="character" w:customStyle="1" w:styleId="24">
    <w:name w:val="页脚 Char"/>
    <w:basedOn w:val="9"/>
    <w:link w:val="4"/>
    <w:qFormat/>
    <w:uiPriority w:val="0"/>
    <w:rPr>
      <w:rFonts w:ascii="Times New Roman" w:hAnsi="Times New Roman" w:eastAsia="宋体" w:cs="Times New Roman"/>
      <w:kern w:val="2"/>
      <w:sz w:val="18"/>
      <w:szCs w:val="18"/>
    </w:rPr>
  </w:style>
  <w:style w:type="paragraph" w:customStyle="1" w:styleId="2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6">
    <w:name w:val="current"/>
    <w:basedOn w:val="9"/>
    <w:qFormat/>
    <w:uiPriority w:val="0"/>
    <w:rPr>
      <w:color w:val="333333"/>
    </w:rPr>
  </w:style>
  <w:style w:type="character" w:customStyle="1" w:styleId="27">
    <w:name w:val="on"/>
    <w:basedOn w:val="9"/>
    <w:qFormat/>
    <w:uiPriority w:val="0"/>
    <w:rPr>
      <w:color w:val="195482"/>
    </w:rPr>
  </w:style>
  <w:style w:type="character" w:customStyle="1" w:styleId="28">
    <w:name w:val="on1"/>
    <w:basedOn w:val="9"/>
    <w:qFormat/>
    <w:uiPriority w:val="0"/>
    <w:rPr>
      <w:b/>
      <w:color w:val="195482"/>
    </w:rPr>
  </w:style>
  <w:style w:type="character" w:customStyle="1" w:styleId="29">
    <w:name w:val="on2"/>
    <w:basedOn w:val="9"/>
    <w:qFormat/>
    <w:uiPriority w:val="0"/>
    <w:rPr>
      <w:b/>
      <w:color w:val="004B85"/>
    </w:rPr>
  </w:style>
  <w:style w:type="character" w:customStyle="1" w:styleId="30">
    <w:name w:val="on3"/>
    <w:basedOn w:val="9"/>
    <w:qFormat/>
    <w:uiPriority w:val="0"/>
    <w:rPr>
      <w:b/>
      <w:color w:val="195383"/>
    </w:rPr>
  </w:style>
  <w:style w:type="character" w:customStyle="1" w:styleId="31">
    <w:name w:val="on4"/>
    <w:basedOn w:val="9"/>
    <w:qFormat/>
    <w:uiPriority w:val="0"/>
    <w:rPr>
      <w:color w:val="195482"/>
    </w:rPr>
  </w:style>
  <w:style w:type="character" w:customStyle="1" w:styleId="32">
    <w:name w:val="on5"/>
    <w:basedOn w:val="9"/>
    <w:qFormat/>
    <w:uiPriority w:val="0"/>
    <w:rPr>
      <w:b/>
      <w:color w:val="195482"/>
    </w:rPr>
  </w:style>
  <w:style w:type="character" w:customStyle="1" w:styleId="33">
    <w:name w:val="on6"/>
    <w:basedOn w:val="9"/>
    <w:qFormat/>
    <w:uiPriority w:val="0"/>
    <w:rPr>
      <w:b/>
      <w:color w:val="195383"/>
    </w:rPr>
  </w:style>
  <w:style w:type="character" w:customStyle="1" w:styleId="34">
    <w:name w:val="yearnum"/>
    <w:basedOn w:val="9"/>
    <w:qFormat/>
    <w:uiPriority w:val="0"/>
    <w:rPr>
      <w:color w:val="FFFFFF"/>
      <w:sz w:val="27"/>
      <w:szCs w:val="27"/>
    </w:rPr>
  </w:style>
  <w:style w:type="character" w:customStyle="1" w:styleId="35">
    <w:name w:val="time3"/>
    <w:basedOn w:val="9"/>
    <w:qFormat/>
    <w:uiPriority w:val="0"/>
  </w:style>
  <w:style w:type="character" w:customStyle="1" w:styleId="36">
    <w:name w:val="current1"/>
    <w:basedOn w:val="9"/>
    <w:qFormat/>
    <w:uiPriority w:val="0"/>
    <w:rPr>
      <w:color w:val="00C1DE"/>
    </w:rPr>
  </w:style>
  <w:style w:type="character" w:customStyle="1" w:styleId="37">
    <w:name w:val="org"/>
    <w:basedOn w:val="9"/>
    <w:qFormat/>
    <w:uiPriority w:val="0"/>
    <w:rPr>
      <w:bdr w:val="single" w:color="EE9B14" w:sz="6" w:space="0"/>
      <w:shd w:val="clear" w:fill="EE9B14"/>
    </w:rPr>
  </w:style>
  <w:style w:type="character" w:customStyle="1" w:styleId="38">
    <w:name w:val="a-ico"/>
    <w:basedOn w:val="9"/>
    <w:qFormat/>
    <w:uiPriority w:val="0"/>
  </w:style>
  <w:style w:type="character" w:customStyle="1" w:styleId="39">
    <w:name w:val="t-name"/>
    <w:basedOn w:val="9"/>
    <w:qFormat/>
    <w:uiPriority w:val="0"/>
    <w:rPr>
      <w:b/>
      <w:color w:val="FFFFFF"/>
      <w:sz w:val="27"/>
      <w:szCs w:val="27"/>
      <w:shd w:val="clear" w:fill="FDAD3C"/>
    </w:rPr>
  </w:style>
  <w:style w:type="character" w:customStyle="1" w:styleId="40">
    <w:name w:val="ico0"/>
    <w:basedOn w:val="9"/>
    <w:qFormat/>
    <w:uiPriority w:val="0"/>
  </w:style>
  <w:style w:type="character" w:customStyle="1" w:styleId="41">
    <w:name w:val="ico4"/>
    <w:basedOn w:val="9"/>
    <w:qFormat/>
    <w:uiPriority w:val="0"/>
  </w:style>
  <w:style w:type="character" w:customStyle="1" w:styleId="42">
    <w:name w:val="ico1"/>
    <w:basedOn w:val="9"/>
    <w:qFormat/>
    <w:uiPriority w:val="0"/>
  </w:style>
  <w:style w:type="character" w:customStyle="1" w:styleId="43">
    <w:name w:val="ico2"/>
    <w:basedOn w:val="9"/>
    <w:qFormat/>
    <w:uiPriority w:val="0"/>
  </w:style>
  <w:style w:type="character" w:customStyle="1" w:styleId="44">
    <w:name w:val="ico33"/>
    <w:basedOn w:val="9"/>
    <w:qFormat/>
    <w:uiPriority w:val="0"/>
  </w:style>
  <w:style w:type="character" w:customStyle="1" w:styleId="45">
    <w:name w:val="tag"/>
    <w:basedOn w:val="9"/>
    <w:qFormat/>
    <w:uiPriority w:val="0"/>
    <w:rPr>
      <w:color w:val="FFFFFF"/>
      <w:sz w:val="21"/>
      <w:szCs w:val="21"/>
      <w:shd w:val="clear" w:fill="FFCD1A"/>
    </w:rPr>
  </w:style>
  <w:style w:type="character" w:customStyle="1" w:styleId="46">
    <w:name w:val="progressline"/>
    <w:basedOn w:val="9"/>
    <w:qFormat/>
    <w:uiPriority w:val="0"/>
  </w:style>
  <w:style w:type="character" w:customStyle="1" w:styleId="47">
    <w:name w:val="tq-qw"/>
    <w:basedOn w:val="9"/>
    <w:qFormat/>
    <w:uiPriority w:val="0"/>
  </w:style>
  <w:style w:type="character" w:customStyle="1" w:styleId="48">
    <w:name w:val="share"/>
    <w:basedOn w:val="9"/>
    <w:qFormat/>
    <w:uiPriority w:val="0"/>
    <w:rPr>
      <w:color w:val="000000"/>
      <w:sz w:val="21"/>
      <w:szCs w:val="21"/>
    </w:rPr>
  </w:style>
  <w:style w:type="character" w:customStyle="1" w:styleId="49">
    <w:name w:val="img7"/>
    <w:basedOn w:val="9"/>
    <w:qFormat/>
    <w:uiPriority w:val="0"/>
  </w:style>
  <w:style w:type="character" w:customStyle="1" w:styleId="50">
    <w:name w:val="img8"/>
    <w:basedOn w:val="9"/>
    <w:qFormat/>
    <w:uiPriority w:val="0"/>
  </w:style>
  <w:style w:type="character" w:customStyle="1" w:styleId="51">
    <w:name w:val="txt18"/>
    <w:basedOn w:val="9"/>
    <w:qFormat/>
    <w:uiPriority w:val="0"/>
  </w:style>
  <w:style w:type="character" w:customStyle="1" w:styleId="52">
    <w:name w:val="q-ico"/>
    <w:basedOn w:val="9"/>
    <w:qFormat/>
    <w:uiPriority w:val="0"/>
  </w:style>
  <w:style w:type="character" w:customStyle="1" w:styleId="53">
    <w:name w:val="info-label"/>
    <w:basedOn w:val="9"/>
    <w:qFormat/>
    <w:uiPriority w:val="0"/>
    <w:rPr>
      <w:b/>
    </w:rPr>
  </w:style>
  <w:style w:type="character" w:customStyle="1" w:styleId="54">
    <w:name w:val="info-content"/>
    <w:basedOn w:val="9"/>
    <w:qFormat/>
    <w:uiPriority w:val="0"/>
    <w:rPr>
      <w:color w:val="808080"/>
    </w:rPr>
  </w:style>
  <w:style w:type="character" w:customStyle="1" w:styleId="55">
    <w:name w:val="img3"/>
    <w:basedOn w:val="9"/>
    <w:qFormat/>
    <w:uiPriority w:val="0"/>
  </w:style>
  <w:style w:type="character" w:customStyle="1" w:styleId="56">
    <w:name w:val="img4"/>
    <w:basedOn w:val="9"/>
    <w:qFormat/>
    <w:uiPriority w:val="0"/>
  </w:style>
  <w:style w:type="character" w:customStyle="1" w:styleId="57">
    <w:name w:val="txt15"/>
    <w:basedOn w:val="9"/>
    <w:qFormat/>
    <w:uiPriority w:val="0"/>
  </w:style>
  <w:style w:type="character" w:customStyle="1" w:styleId="58">
    <w:name w:val="time4"/>
    <w:basedOn w:val="9"/>
    <w:qFormat/>
    <w:uiPriority w:val="0"/>
  </w:style>
  <w:style w:type="character" w:customStyle="1" w:styleId="59">
    <w:name w:val="ico3"/>
    <w:basedOn w:val="9"/>
    <w:qFormat/>
    <w:uiPriority w:val="0"/>
  </w:style>
  <w:style w:type="character" w:customStyle="1" w:styleId="60">
    <w:name w:val="ico11"/>
    <w:basedOn w:val="9"/>
    <w:qFormat/>
    <w:uiPriority w:val="0"/>
  </w:style>
  <w:style w:type="character" w:customStyle="1" w:styleId="61">
    <w:name w:val="ico23"/>
    <w:basedOn w:val="9"/>
    <w:qFormat/>
    <w:uiPriority w:val="0"/>
  </w:style>
  <w:style w:type="character" w:customStyle="1" w:styleId="62">
    <w:name w:val="ico43"/>
    <w:basedOn w:val="9"/>
    <w:qFormat/>
    <w:uiPriority w:val="0"/>
  </w:style>
  <w:style w:type="character" w:customStyle="1" w:styleId="63">
    <w:name w:val="img6"/>
    <w:basedOn w:val="9"/>
    <w:qFormat/>
    <w:uiPriority w:val="0"/>
  </w:style>
  <w:style w:type="character" w:customStyle="1" w:styleId="64">
    <w:name w:val="img"/>
    <w:basedOn w:val="9"/>
    <w:qFormat/>
    <w:uiPriority w:val="0"/>
  </w:style>
  <w:style w:type="character" w:customStyle="1" w:styleId="65">
    <w:name w:val="img1"/>
    <w:basedOn w:val="9"/>
    <w:qFormat/>
    <w:uiPriority w:val="0"/>
  </w:style>
  <w:style w:type="character" w:customStyle="1" w:styleId="66">
    <w:name w:val="txt19"/>
    <w:basedOn w:val="9"/>
    <w:qFormat/>
    <w:uiPriority w:val="0"/>
  </w:style>
  <w:style w:type="character" w:customStyle="1" w:styleId="67">
    <w:name w:val="txt"/>
    <w:basedOn w:val="9"/>
    <w:qFormat/>
    <w:uiPriority w:val="0"/>
  </w:style>
  <w:style w:type="character" w:customStyle="1" w:styleId="68">
    <w:name w:val="ico01"/>
    <w:basedOn w:val="9"/>
    <w:qFormat/>
    <w:uiPriority w:val="0"/>
  </w:style>
  <w:style w:type="character" w:customStyle="1" w:styleId="69">
    <w:name w:val="ico13"/>
    <w:basedOn w:val="9"/>
    <w:qFormat/>
    <w:uiPriority w:val="0"/>
  </w:style>
  <w:style w:type="character" w:customStyle="1" w:styleId="70">
    <w:name w:val="txt17"/>
    <w:basedOn w:val="9"/>
    <w:qFormat/>
    <w:uiPriority w:val="0"/>
  </w:style>
  <w:style w:type="character" w:customStyle="1" w:styleId="71">
    <w:name w:val="ico41"/>
    <w:basedOn w:val="9"/>
    <w:qFormat/>
    <w:uiPriority w:val="0"/>
  </w:style>
  <w:style w:type="character" w:customStyle="1" w:styleId="72">
    <w:name w:val="time"/>
    <w:basedOn w:val="9"/>
    <w:qFormat/>
    <w:uiPriority w:val="0"/>
  </w:style>
  <w:style w:type="character" w:customStyle="1" w:styleId="73">
    <w:name w:val="time7"/>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16</Pages>
  <Words>1387</Words>
  <Characters>7908</Characters>
  <Lines>65</Lines>
  <Paragraphs>18</Paragraphs>
  <TotalTime>3</TotalTime>
  <ScaleCrop>false</ScaleCrop>
  <LinksUpToDate>false</LinksUpToDate>
  <CharactersWithSpaces>9277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2021-03-26T19:06:00Z</dcterms:created>
  <dc:creator>Administrator</dc:creator>
  <cp:lastModifiedBy>李雯怡</cp:lastModifiedBy>
  <cp:lastPrinted>2021-08-27T08:04:00Z</cp:lastPrinted>
  <dcterms:modified xsi:type="dcterms:W3CDTF">2021-12-13T11:37:33Z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B83C4A1147014528B25662C41E7E2445</vt:lpwstr>
  </property>
</Properties>
</file>