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9F" w:rsidRPr="00334D9F" w:rsidRDefault="00CB5229" w:rsidP="00334D9F">
      <w:pPr>
        <w:pStyle w:val="a6"/>
        <w:jc w:val="center"/>
        <w:rPr>
          <w:rFonts w:asciiTheme="majorEastAsia" w:eastAsiaTheme="majorEastAsia" w:hAnsiTheme="majorEastAsia" w:hint="eastAsia"/>
          <w:b/>
          <w:bCs/>
          <w:sz w:val="44"/>
          <w:szCs w:val="44"/>
        </w:rPr>
      </w:pPr>
      <w:r w:rsidRPr="00334D9F">
        <w:rPr>
          <w:rStyle w:val="a7"/>
          <w:rFonts w:asciiTheme="majorEastAsia" w:eastAsiaTheme="majorEastAsia" w:hAnsiTheme="majorEastAsia" w:hint="eastAsia"/>
          <w:sz w:val="44"/>
          <w:szCs w:val="44"/>
        </w:rPr>
        <w:t>深圳市行政调解实施办法（试行）</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第一条</w:t>
      </w:r>
      <w:r w:rsidRPr="00334D9F">
        <w:rPr>
          <w:rFonts w:eastAsia="仿宋_GB2312" w:hint="eastAsia"/>
          <w:sz w:val="32"/>
          <w:szCs w:val="32"/>
        </w:rPr>
        <w:t> </w:t>
      </w:r>
      <w:r w:rsidRPr="00334D9F">
        <w:rPr>
          <w:rFonts w:ascii="仿宋_GB2312" w:eastAsia="仿宋_GB2312" w:hint="eastAsia"/>
          <w:sz w:val="32"/>
          <w:szCs w:val="32"/>
        </w:rPr>
        <w:t xml:space="preserve"> 为了及时有效化解争议，维护社会稳定，规范行政调解工作，根据《国务院关于加强法治政府建设的意见》（国发〔2010〕33号）以及相关法律法规规定，结合我市实际，制定本办法。</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第二条</w:t>
      </w:r>
      <w:r w:rsidRPr="00334D9F">
        <w:rPr>
          <w:rFonts w:eastAsia="仿宋_GB2312" w:hint="eastAsia"/>
          <w:sz w:val="32"/>
          <w:szCs w:val="32"/>
        </w:rPr>
        <w:t> </w:t>
      </w:r>
      <w:r w:rsidRPr="00334D9F">
        <w:rPr>
          <w:rFonts w:ascii="仿宋_GB2312" w:eastAsia="仿宋_GB2312" w:hint="eastAsia"/>
          <w:sz w:val="32"/>
          <w:szCs w:val="32"/>
        </w:rPr>
        <w:t xml:space="preserve"> 市、区（含新区，下同）政府及其工作部门（统称行政机关）开展行政调解工作适用本办法。法律、法规对专项行政调解有规定的，从其规定。</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本办法所称行政调解，是指行政机关作为调解机关，以法律、法规为依据，以自愿为原则，通过对争议各方的说服与劝导，促使各方当事人互让互谅、平等协商，达成协议，以解决有关争议的活动。</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第三条</w:t>
      </w:r>
      <w:r w:rsidRPr="00334D9F">
        <w:rPr>
          <w:rFonts w:eastAsia="仿宋_GB2312" w:hint="eastAsia"/>
          <w:sz w:val="32"/>
          <w:szCs w:val="32"/>
        </w:rPr>
        <w:t> </w:t>
      </w:r>
      <w:r w:rsidRPr="00334D9F">
        <w:rPr>
          <w:rFonts w:ascii="仿宋_GB2312" w:eastAsia="仿宋_GB2312" w:hint="eastAsia"/>
          <w:sz w:val="32"/>
          <w:szCs w:val="32"/>
        </w:rPr>
        <w:t xml:space="preserve"> 行政机关可以对下列争议进行调解：</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（一）法律、法规规定由行政机关调解的公民、法人或者其他组织之间因治安管理、环境保护、医疗卫生、消费者权益保护、劳动保障等事宜产生的争议；</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（二）行政机关与公民、法人或者其他组织之间因行政补偿和具有行政管理特征的政府合同引发的争议；</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（三）其他依法可以进行调解的或市政府确定进行调解的争议。</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lastRenderedPageBreak/>
        <w:t xml:space="preserve">　　第四条</w:t>
      </w:r>
      <w:r w:rsidRPr="00334D9F">
        <w:rPr>
          <w:rFonts w:eastAsia="仿宋_GB2312" w:hint="eastAsia"/>
          <w:sz w:val="32"/>
          <w:szCs w:val="32"/>
        </w:rPr>
        <w:t> </w:t>
      </w:r>
      <w:r w:rsidRPr="00334D9F">
        <w:rPr>
          <w:rFonts w:ascii="仿宋_GB2312" w:eastAsia="仿宋_GB2312" w:hint="eastAsia"/>
          <w:sz w:val="32"/>
          <w:szCs w:val="32"/>
        </w:rPr>
        <w:t xml:space="preserve"> 行政调解实行属地管理和分级负责工作机制，行政机关应对发生在本辖区、本部门的争议进行主动排查，充分运用各种有效手段予以解决。</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第五条</w:t>
      </w:r>
      <w:r w:rsidRPr="00334D9F">
        <w:rPr>
          <w:rFonts w:eastAsia="仿宋_GB2312" w:hint="eastAsia"/>
          <w:sz w:val="32"/>
          <w:szCs w:val="32"/>
        </w:rPr>
        <w:t> </w:t>
      </w:r>
      <w:r w:rsidRPr="00334D9F">
        <w:rPr>
          <w:rFonts w:ascii="仿宋_GB2312" w:eastAsia="仿宋_GB2312" w:hint="eastAsia"/>
          <w:sz w:val="32"/>
          <w:szCs w:val="32"/>
        </w:rPr>
        <w:t xml:space="preserve"> 行政调解坚持自愿平等、程序规范、依法合理、公平公正、高效便民的基本原则。</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第六条</w:t>
      </w:r>
      <w:r w:rsidRPr="00334D9F">
        <w:rPr>
          <w:rFonts w:eastAsia="仿宋_GB2312" w:hint="eastAsia"/>
          <w:sz w:val="32"/>
          <w:szCs w:val="32"/>
        </w:rPr>
        <w:t> </w:t>
      </w:r>
      <w:r w:rsidRPr="00334D9F">
        <w:rPr>
          <w:rFonts w:ascii="仿宋_GB2312" w:eastAsia="仿宋_GB2312" w:hint="eastAsia"/>
          <w:sz w:val="32"/>
          <w:szCs w:val="32"/>
        </w:rPr>
        <w:t xml:space="preserve"> 行政机关应当加强行政调解工作，建立行政调解机制，对能够通过行政调解解决的争议，应依法进行调解。</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市、区政府应将行政调解工作纳入本级政府年度法治政府建设考评方案。</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行政机关每年向本级政府法制机构报送上一年度的行政调解情况。</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第七条</w:t>
      </w:r>
      <w:r w:rsidRPr="00334D9F">
        <w:rPr>
          <w:rFonts w:eastAsia="仿宋_GB2312" w:hint="eastAsia"/>
          <w:sz w:val="32"/>
          <w:szCs w:val="32"/>
        </w:rPr>
        <w:t> </w:t>
      </w:r>
      <w:r w:rsidRPr="00334D9F">
        <w:rPr>
          <w:rFonts w:ascii="仿宋_GB2312" w:eastAsia="仿宋_GB2312" w:hint="eastAsia"/>
          <w:sz w:val="32"/>
          <w:szCs w:val="32"/>
        </w:rPr>
        <w:t xml:space="preserve"> 行政机关应当加强与人民法院、人民调解组织的沟通联系，完善行政调解与司法调解、人民调解相衔接的协调联动、信息沟通和效力衔接机制。</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第八条</w:t>
      </w:r>
      <w:r w:rsidRPr="00334D9F">
        <w:rPr>
          <w:rFonts w:eastAsia="仿宋_GB2312" w:hint="eastAsia"/>
          <w:sz w:val="32"/>
          <w:szCs w:val="32"/>
        </w:rPr>
        <w:t> </w:t>
      </w:r>
      <w:r w:rsidRPr="00334D9F">
        <w:rPr>
          <w:rFonts w:ascii="仿宋_GB2312" w:eastAsia="仿宋_GB2312" w:hint="eastAsia"/>
          <w:sz w:val="32"/>
          <w:szCs w:val="32"/>
        </w:rPr>
        <w:t xml:space="preserve"> 市政府法制机构负责统筹、指导全市行政调解工作，具体内容如下：</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（一）建立健全行政调解具体工作程序和规范，完善相关配套制度；</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（二）调查研究行政调解工作存在的带有普遍性的问题，提出解决意见和建议；</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（三）加强行政调解信息工作，促进全市行政调解信息交流和资源共享；</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lastRenderedPageBreak/>
        <w:t xml:space="preserve">　　（四）组织开展经验交流，推广行政调解工作中的好作法；</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（五）依照本办法履行调解职责。</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 xml:space="preserve">　第九条</w:t>
      </w:r>
      <w:r w:rsidRPr="00334D9F">
        <w:rPr>
          <w:rFonts w:eastAsia="仿宋_GB2312" w:hint="eastAsia"/>
          <w:sz w:val="32"/>
          <w:szCs w:val="32"/>
        </w:rPr>
        <w:t> </w:t>
      </w:r>
      <w:r w:rsidRPr="00334D9F">
        <w:rPr>
          <w:rFonts w:ascii="仿宋_GB2312" w:eastAsia="仿宋_GB2312" w:hint="eastAsia"/>
          <w:sz w:val="32"/>
          <w:szCs w:val="32"/>
        </w:rPr>
        <w:t xml:space="preserve"> 依法承担行政调解职能的政府部门应根据自身工作需要指定专门机构负责行政调解工作，并为行政调解工作的开展提供必要保障。</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第十条</w:t>
      </w:r>
      <w:r w:rsidRPr="00334D9F">
        <w:rPr>
          <w:rFonts w:eastAsia="仿宋_GB2312" w:hint="eastAsia"/>
          <w:sz w:val="32"/>
          <w:szCs w:val="32"/>
        </w:rPr>
        <w:t> </w:t>
      </w:r>
      <w:r w:rsidRPr="00334D9F">
        <w:rPr>
          <w:rFonts w:ascii="仿宋_GB2312" w:eastAsia="仿宋_GB2312" w:hint="eastAsia"/>
          <w:sz w:val="32"/>
          <w:szCs w:val="32"/>
        </w:rPr>
        <w:t xml:space="preserve"> 本办法第三条第一项规定的争议由主管职能部门作为调解机关负责调解。</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本办法第三条第二项规定的争议由本级政府法制机构作为调解机关负责调解。</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第十一条</w:t>
      </w:r>
      <w:r w:rsidRPr="00334D9F">
        <w:rPr>
          <w:rFonts w:eastAsia="仿宋_GB2312" w:hint="eastAsia"/>
          <w:sz w:val="32"/>
          <w:szCs w:val="32"/>
        </w:rPr>
        <w:t> </w:t>
      </w:r>
      <w:r w:rsidRPr="00334D9F">
        <w:rPr>
          <w:rFonts w:ascii="仿宋_GB2312" w:eastAsia="仿宋_GB2312" w:hint="eastAsia"/>
          <w:sz w:val="32"/>
          <w:szCs w:val="32"/>
        </w:rPr>
        <w:t xml:space="preserve"> 争议调解机关不明确的或有争议的，由本级政府法制机构指定调解机关。</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第十二条</w:t>
      </w:r>
      <w:r w:rsidRPr="00334D9F">
        <w:rPr>
          <w:rFonts w:eastAsia="仿宋_GB2312" w:hint="eastAsia"/>
          <w:sz w:val="32"/>
          <w:szCs w:val="32"/>
        </w:rPr>
        <w:t> </w:t>
      </w:r>
      <w:r w:rsidRPr="00334D9F">
        <w:rPr>
          <w:rFonts w:ascii="仿宋_GB2312" w:eastAsia="仿宋_GB2312" w:hint="eastAsia"/>
          <w:sz w:val="32"/>
          <w:szCs w:val="32"/>
        </w:rPr>
        <w:t xml:space="preserve"> 争议当事人经协商一致后，可以书面或口头向调解机关申请行政调解。</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行政机关发现需要进行调解的争议，征得当事人的同意后，可依职权启动行政调解程序。</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第十三条</w:t>
      </w:r>
      <w:r w:rsidRPr="00334D9F">
        <w:rPr>
          <w:rFonts w:eastAsia="仿宋_GB2312" w:hint="eastAsia"/>
          <w:sz w:val="32"/>
          <w:szCs w:val="32"/>
        </w:rPr>
        <w:t> </w:t>
      </w:r>
      <w:r w:rsidRPr="00334D9F">
        <w:rPr>
          <w:rFonts w:ascii="仿宋_GB2312" w:eastAsia="仿宋_GB2312" w:hint="eastAsia"/>
          <w:sz w:val="32"/>
          <w:szCs w:val="32"/>
        </w:rPr>
        <w:t xml:space="preserve"> 调解机关收到行政调解申请后，应当审查是否符合本部门行政调解受理范围，并在5个工作日内书面决定是否受理。</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第十四条</w:t>
      </w:r>
      <w:r w:rsidRPr="00334D9F">
        <w:rPr>
          <w:rFonts w:eastAsia="仿宋_GB2312" w:hint="eastAsia"/>
          <w:sz w:val="32"/>
          <w:szCs w:val="32"/>
        </w:rPr>
        <w:t> </w:t>
      </w:r>
      <w:r w:rsidRPr="00334D9F">
        <w:rPr>
          <w:rFonts w:ascii="仿宋_GB2312" w:eastAsia="仿宋_GB2312" w:hint="eastAsia"/>
          <w:sz w:val="32"/>
          <w:szCs w:val="32"/>
        </w:rPr>
        <w:t xml:space="preserve"> 调解机关对收到的调解申请进行初步审查后，认为不属于本部门受理范围的或发现争议当事人已启动行政复议、诉讼、仲裁等救济程序的，应书面告知当事人不</w:t>
      </w:r>
      <w:r w:rsidRPr="00334D9F">
        <w:rPr>
          <w:rFonts w:ascii="仿宋_GB2312" w:eastAsia="仿宋_GB2312" w:hint="eastAsia"/>
          <w:sz w:val="32"/>
          <w:szCs w:val="32"/>
        </w:rPr>
        <w:lastRenderedPageBreak/>
        <w:t>予受理并说明理由；对不属于本部门受理范围的申请，应及时提醒争议当事人采取其他法律途径解决争议。调解机关正式受理后，发现当事人启动前述救济程序的，应终止调解。</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第十五条</w:t>
      </w:r>
      <w:r w:rsidRPr="00334D9F">
        <w:rPr>
          <w:rFonts w:eastAsia="仿宋_GB2312" w:hint="eastAsia"/>
          <w:sz w:val="32"/>
          <w:szCs w:val="32"/>
        </w:rPr>
        <w:t> </w:t>
      </w:r>
      <w:r w:rsidRPr="00334D9F">
        <w:rPr>
          <w:rFonts w:ascii="仿宋_GB2312" w:eastAsia="仿宋_GB2312" w:hint="eastAsia"/>
          <w:sz w:val="32"/>
          <w:szCs w:val="32"/>
        </w:rPr>
        <w:t xml:space="preserve"> 调解机关在行政调解活动中应当保障个人隐私、商业秘密不受侵犯，确保当事人能够自由表达真实意愿。</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 xml:space="preserve">　第十六条</w:t>
      </w:r>
      <w:r w:rsidRPr="00334D9F">
        <w:rPr>
          <w:rFonts w:eastAsia="仿宋_GB2312" w:hint="eastAsia"/>
          <w:sz w:val="32"/>
          <w:szCs w:val="32"/>
        </w:rPr>
        <w:t> </w:t>
      </w:r>
      <w:r w:rsidRPr="00334D9F">
        <w:rPr>
          <w:rFonts w:ascii="仿宋_GB2312" w:eastAsia="仿宋_GB2312" w:hint="eastAsia"/>
          <w:sz w:val="32"/>
          <w:szCs w:val="32"/>
        </w:rPr>
        <w:t xml:space="preserve"> 行政调解达成协议的，调解机关应当制作行政调解协议书，各方当事人签字之日起生效，对调解当事人具有约束力，当事人应当自觉履行。</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 xml:space="preserve">　第十七条</w:t>
      </w:r>
      <w:r w:rsidRPr="00334D9F">
        <w:rPr>
          <w:rFonts w:eastAsia="仿宋_GB2312" w:hint="eastAsia"/>
          <w:sz w:val="32"/>
          <w:szCs w:val="32"/>
        </w:rPr>
        <w:t> </w:t>
      </w:r>
      <w:r w:rsidRPr="00334D9F">
        <w:rPr>
          <w:rFonts w:ascii="仿宋_GB2312" w:eastAsia="仿宋_GB2312" w:hint="eastAsia"/>
          <w:sz w:val="32"/>
          <w:szCs w:val="32"/>
        </w:rPr>
        <w:t xml:space="preserve"> 经行政调解达成的具有给付内容的民事协议，调解机关应当引导当事人依法申请司法确认或者申请公证机构依法进行公证。行政调解协议书经司法确认或者经依法公证后，一方当事人不履行或者履行不适当的，另一方当事人可以依法向有管辖权的人民法院申请执行。</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第十八条</w:t>
      </w:r>
      <w:r w:rsidRPr="00334D9F">
        <w:rPr>
          <w:rFonts w:eastAsia="仿宋_GB2312" w:hint="eastAsia"/>
          <w:sz w:val="32"/>
          <w:szCs w:val="32"/>
        </w:rPr>
        <w:t> </w:t>
      </w:r>
      <w:r w:rsidRPr="00334D9F">
        <w:rPr>
          <w:rFonts w:ascii="仿宋_GB2312" w:eastAsia="仿宋_GB2312" w:hint="eastAsia"/>
          <w:sz w:val="32"/>
          <w:szCs w:val="32"/>
        </w:rPr>
        <w:t xml:space="preserve"> 经调解无法达成一致，或调解协议生效之前一方反悔的，调解机关应当终止行政调解，制作行政调解终止通知书，并引导当事人通过复议、诉讼、仲裁等法律途径解决争议。</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第十九条</w:t>
      </w:r>
      <w:r w:rsidRPr="00334D9F">
        <w:rPr>
          <w:rFonts w:eastAsia="仿宋_GB2312" w:hint="eastAsia"/>
          <w:sz w:val="32"/>
          <w:szCs w:val="32"/>
        </w:rPr>
        <w:t> </w:t>
      </w:r>
      <w:r w:rsidRPr="00334D9F">
        <w:rPr>
          <w:rFonts w:ascii="仿宋_GB2312" w:eastAsia="仿宋_GB2312" w:hint="eastAsia"/>
          <w:sz w:val="32"/>
          <w:szCs w:val="32"/>
        </w:rPr>
        <w:t xml:space="preserve"> 调解机关及其工作人员在行政调解工作中有下列情形之一，依照有关规定进行行政问责或者给予行政处分，涉嫌犯罪的，移交司法机关处理：</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（一）无正当理由不受理行政调解申请的；</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lastRenderedPageBreak/>
        <w:t xml:space="preserve">　　（二）无正当理由不履行行政调解职责的；</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（三）徇私舞弊、滥用职权导致争议激化的；</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（四）压制、侮辱、打击报复当事人的；</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（五）侵害个人隐私或者商业秘密的；</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（六）索取、收受当事人的财物或者谋取其他不正当利益的；</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（七）其他影响行政调解公平、公正等不当行为的。</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w:t>
      </w:r>
      <w:r w:rsidRPr="00334D9F">
        <w:rPr>
          <w:rStyle w:val="a7"/>
          <w:rFonts w:ascii="仿宋_GB2312" w:eastAsia="仿宋_GB2312" w:hint="eastAsia"/>
          <w:sz w:val="32"/>
          <w:szCs w:val="32"/>
        </w:rPr>
        <w:t>第二十条</w:t>
      </w:r>
      <w:r w:rsidRPr="00334D9F">
        <w:rPr>
          <w:rFonts w:eastAsia="仿宋_GB2312" w:hint="eastAsia"/>
          <w:sz w:val="32"/>
          <w:szCs w:val="32"/>
        </w:rPr>
        <w:t> </w:t>
      </w:r>
      <w:r w:rsidRPr="00334D9F">
        <w:rPr>
          <w:rFonts w:ascii="仿宋_GB2312" w:eastAsia="仿宋_GB2312" w:hint="eastAsia"/>
          <w:sz w:val="32"/>
          <w:szCs w:val="32"/>
        </w:rPr>
        <w:t xml:space="preserve"> 本办法自2013年12月1日起施行。</w:t>
      </w:r>
    </w:p>
    <w:p w:rsidR="00CB5229" w:rsidRPr="00334D9F" w:rsidRDefault="00CB5229" w:rsidP="00CB5229">
      <w:pPr>
        <w:pStyle w:val="a6"/>
        <w:rPr>
          <w:rFonts w:ascii="仿宋_GB2312" w:eastAsia="仿宋_GB2312" w:hint="eastAsia"/>
          <w:sz w:val="32"/>
          <w:szCs w:val="32"/>
        </w:rPr>
      </w:pPr>
      <w:r w:rsidRPr="00334D9F">
        <w:rPr>
          <w:rFonts w:ascii="仿宋_GB2312" w:eastAsia="仿宋_GB2312" w:hint="eastAsia"/>
          <w:sz w:val="32"/>
          <w:szCs w:val="32"/>
        </w:rPr>
        <w:t xml:space="preserve">　　市政府法制机构根据本办法制定行政调解人员选定和调解程序等具体实施细则，各区、市相关部门根据本办法和有关规定制定工作规则。</w:t>
      </w:r>
    </w:p>
    <w:p w:rsidR="0016122B" w:rsidRPr="00334D9F" w:rsidRDefault="00B707CC" w:rsidP="00CB5229">
      <w:pPr>
        <w:rPr>
          <w:rFonts w:ascii="仿宋_GB2312" w:eastAsia="仿宋_GB2312" w:hint="eastAsia"/>
          <w:sz w:val="32"/>
          <w:szCs w:val="32"/>
        </w:rPr>
      </w:pPr>
    </w:p>
    <w:sectPr w:rsidR="0016122B" w:rsidRPr="00334D9F" w:rsidSect="00310CF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CC" w:rsidRDefault="00B707CC" w:rsidP="00763C78">
      <w:pPr>
        <w:ind w:firstLine="420"/>
      </w:pPr>
      <w:r>
        <w:separator/>
      </w:r>
    </w:p>
  </w:endnote>
  <w:endnote w:type="continuationSeparator" w:id="0">
    <w:p w:rsidR="00B707CC" w:rsidRDefault="00B707CC" w:rsidP="00763C7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78" w:rsidRDefault="00763C78" w:rsidP="00763C7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78" w:rsidRDefault="00763C78" w:rsidP="00763C7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78" w:rsidRDefault="00763C78" w:rsidP="00763C7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CC" w:rsidRDefault="00B707CC" w:rsidP="00763C78">
      <w:pPr>
        <w:ind w:firstLine="420"/>
      </w:pPr>
      <w:r>
        <w:separator/>
      </w:r>
    </w:p>
  </w:footnote>
  <w:footnote w:type="continuationSeparator" w:id="0">
    <w:p w:rsidR="00B707CC" w:rsidRDefault="00B707CC" w:rsidP="00763C7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78" w:rsidRDefault="00763C78" w:rsidP="00763C7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78" w:rsidRDefault="00763C78" w:rsidP="00763C78">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78" w:rsidRDefault="00763C78" w:rsidP="00763C7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C78"/>
    <w:rsid w:val="00053E27"/>
    <w:rsid w:val="001E7176"/>
    <w:rsid w:val="002E5B24"/>
    <w:rsid w:val="00310CF2"/>
    <w:rsid w:val="00334D9F"/>
    <w:rsid w:val="00335E8E"/>
    <w:rsid w:val="00464ADD"/>
    <w:rsid w:val="00737C1B"/>
    <w:rsid w:val="00763C78"/>
    <w:rsid w:val="00830D27"/>
    <w:rsid w:val="0091195F"/>
    <w:rsid w:val="00A2360A"/>
    <w:rsid w:val="00AF089E"/>
    <w:rsid w:val="00B707CC"/>
    <w:rsid w:val="00BA771F"/>
    <w:rsid w:val="00CB5229"/>
    <w:rsid w:val="00DB78D0"/>
    <w:rsid w:val="00DE7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78"/>
    <w:pPr>
      <w:widowControl w:val="0"/>
      <w:spacing w:line="240" w:lineRule="auto"/>
      <w:ind w:firstLineChars="0" w:firstLine="0"/>
    </w:pPr>
    <w:rPr>
      <w:rFonts w:ascii="Times New Roman" w:eastAsia="宋体" w:hAnsi="Times New Roman" w:cs="Times New Roman"/>
      <w:szCs w:val="20"/>
    </w:rPr>
  </w:style>
  <w:style w:type="paragraph" w:styleId="1">
    <w:name w:val="heading 1"/>
    <w:basedOn w:val="a"/>
    <w:next w:val="a"/>
    <w:link w:val="1Char"/>
    <w:qFormat/>
    <w:rsid w:val="00763C78"/>
    <w:pPr>
      <w:keepNext/>
      <w:keepLines/>
      <w:spacing w:before="340" w:after="330" w:line="578" w:lineRule="auto"/>
      <w:outlineLvl w:val="0"/>
    </w:pPr>
    <w:rPr>
      <w:b/>
      <w:bCs/>
      <w:kern w:val="44"/>
      <w:sz w:val="44"/>
      <w:szCs w:val="44"/>
    </w:rPr>
  </w:style>
  <w:style w:type="paragraph" w:styleId="6">
    <w:name w:val="heading 6"/>
    <w:basedOn w:val="a"/>
    <w:next w:val="a"/>
    <w:link w:val="6Char"/>
    <w:uiPriority w:val="9"/>
    <w:semiHidden/>
    <w:unhideWhenUsed/>
    <w:qFormat/>
    <w:rsid w:val="00CB522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C78"/>
    <w:pPr>
      <w:pBdr>
        <w:bottom w:val="single" w:sz="6" w:space="1" w:color="auto"/>
      </w:pBdr>
      <w:tabs>
        <w:tab w:val="center" w:pos="4153"/>
        <w:tab w:val="right" w:pos="8306"/>
      </w:tabs>
      <w:snapToGrid w:val="0"/>
      <w:spacing w:line="240" w:lineRule="atLeast"/>
      <w:ind w:firstLineChars="200" w:firstLine="20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63C78"/>
    <w:rPr>
      <w:sz w:val="18"/>
      <w:szCs w:val="18"/>
    </w:rPr>
  </w:style>
  <w:style w:type="paragraph" w:styleId="a4">
    <w:name w:val="footer"/>
    <w:basedOn w:val="a"/>
    <w:link w:val="Char0"/>
    <w:uiPriority w:val="99"/>
    <w:semiHidden/>
    <w:unhideWhenUsed/>
    <w:rsid w:val="00763C78"/>
    <w:pPr>
      <w:tabs>
        <w:tab w:val="center" w:pos="4153"/>
        <w:tab w:val="right" w:pos="8306"/>
      </w:tabs>
      <w:snapToGrid w:val="0"/>
      <w:spacing w:line="240" w:lineRule="atLeast"/>
      <w:ind w:firstLineChars="200" w:firstLine="20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63C78"/>
    <w:rPr>
      <w:sz w:val="18"/>
      <w:szCs w:val="18"/>
    </w:rPr>
  </w:style>
  <w:style w:type="character" w:customStyle="1" w:styleId="1Char">
    <w:name w:val="标题 1 Char"/>
    <w:basedOn w:val="a0"/>
    <w:link w:val="1"/>
    <w:rsid w:val="00763C78"/>
    <w:rPr>
      <w:rFonts w:ascii="Times New Roman" w:eastAsia="宋体" w:hAnsi="Times New Roman" w:cs="Times New Roman"/>
      <w:b/>
      <w:bCs/>
      <w:kern w:val="44"/>
      <w:sz w:val="44"/>
      <w:szCs w:val="44"/>
    </w:rPr>
  </w:style>
  <w:style w:type="character" w:customStyle="1" w:styleId="6Char">
    <w:name w:val="标题 6 Char"/>
    <w:basedOn w:val="a0"/>
    <w:link w:val="6"/>
    <w:uiPriority w:val="9"/>
    <w:semiHidden/>
    <w:rsid w:val="00CB5229"/>
    <w:rPr>
      <w:rFonts w:asciiTheme="majorHAnsi" w:eastAsiaTheme="majorEastAsia" w:hAnsiTheme="majorHAnsi" w:cstheme="majorBidi"/>
      <w:b/>
      <w:bCs/>
      <w:sz w:val="24"/>
      <w:szCs w:val="24"/>
    </w:rPr>
  </w:style>
  <w:style w:type="character" w:styleId="a5">
    <w:name w:val="Hyperlink"/>
    <w:basedOn w:val="a0"/>
    <w:uiPriority w:val="99"/>
    <w:semiHidden/>
    <w:unhideWhenUsed/>
    <w:rsid w:val="00CB5229"/>
    <w:rPr>
      <w:strike w:val="0"/>
      <w:dstrike w:val="0"/>
      <w:color w:val="0000FF"/>
      <w:u w:val="none"/>
      <w:effect w:val="none"/>
    </w:rPr>
  </w:style>
  <w:style w:type="paragraph" w:styleId="a6">
    <w:name w:val="Normal (Web)"/>
    <w:basedOn w:val="a"/>
    <w:uiPriority w:val="99"/>
    <w:semiHidden/>
    <w:unhideWhenUsed/>
    <w:rsid w:val="00CB5229"/>
    <w:pPr>
      <w:widowControl/>
      <w:jc w:val="left"/>
    </w:pPr>
    <w:rPr>
      <w:rFonts w:ascii="宋体" w:hAnsi="宋体" w:cs="宋体"/>
      <w:kern w:val="0"/>
      <w:sz w:val="24"/>
      <w:szCs w:val="24"/>
    </w:rPr>
  </w:style>
  <w:style w:type="character" w:customStyle="1" w:styleId="font">
    <w:name w:val="font"/>
    <w:basedOn w:val="a0"/>
    <w:rsid w:val="00CB5229"/>
  </w:style>
  <w:style w:type="character" w:styleId="a7">
    <w:name w:val="Strong"/>
    <w:basedOn w:val="a0"/>
    <w:uiPriority w:val="22"/>
    <w:qFormat/>
    <w:rsid w:val="00CB5229"/>
    <w:rPr>
      <w:b/>
      <w:bCs/>
    </w:rPr>
  </w:style>
</w:styles>
</file>

<file path=word/webSettings.xml><?xml version="1.0" encoding="utf-8"?>
<w:webSettings xmlns:r="http://schemas.openxmlformats.org/officeDocument/2006/relationships" xmlns:w="http://schemas.openxmlformats.org/wordprocessingml/2006/main">
  <w:divs>
    <w:div w:id="160899674">
      <w:bodyDiv w:val="1"/>
      <w:marLeft w:val="0"/>
      <w:marRight w:val="0"/>
      <w:marTop w:val="0"/>
      <w:marBottom w:val="0"/>
      <w:divBdr>
        <w:top w:val="none" w:sz="0" w:space="0" w:color="auto"/>
        <w:left w:val="none" w:sz="0" w:space="0" w:color="auto"/>
        <w:bottom w:val="none" w:sz="0" w:space="0" w:color="auto"/>
        <w:right w:val="none" w:sz="0" w:space="0" w:color="auto"/>
      </w:divBdr>
      <w:divsChild>
        <w:div w:id="2100910223">
          <w:marLeft w:val="0"/>
          <w:marRight w:val="0"/>
          <w:marTop w:val="0"/>
          <w:marBottom w:val="0"/>
          <w:divBdr>
            <w:top w:val="none" w:sz="0" w:space="0" w:color="auto"/>
            <w:left w:val="none" w:sz="0" w:space="0" w:color="auto"/>
            <w:bottom w:val="none" w:sz="0" w:space="0" w:color="auto"/>
            <w:right w:val="none" w:sz="0" w:space="0" w:color="auto"/>
          </w:divBdr>
          <w:divsChild>
            <w:div w:id="548608432">
              <w:marLeft w:val="0"/>
              <w:marRight w:val="0"/>
              <w:marTop w:val="0"/>
              <w:marBottom w:val="0"/>
              <w:divBdr>
                <w:top w:val="none" w:sz="0" w:space="0" w:color="auto"/>
                <w:left w:val="none" w:sz="0" w:space="0" w:color="auto"/>
                <w:bottom w:val="none" w:sz="0" w:space="0" w:color="auto"/>
                <w:right w:val="none" w:sz="0" w:space="0" w:color="auto"/>
              </w:divBdr>
              <w:divsChild>
                <w:div w:id="405491245">
                  <w:marLeft w:val="0"/>
                  <w:marRight w:val="0"/>
                  <w:marTop w:val="0"/>
                  <w:marBottom w:val="0"/>
                  <w:divBdr>
                    <w:top w:val="none" w:sz="0" w:space="0" w:color="auto"/>
                    <w:left w:val="none" w:sz="0" w:space="0" w:color="auto"/>
                    <w:bottom w:val="none" w:sz="0" w:space="0" w:color="auto"/>
                    <w:right w:val="none" w:sz="0" w:space="0" w:color="auto"/>
                  </w:divBdr>
                  <w:divsChild>
                    <w:div w:id="611862457">
                      <w:marLeft w:val="0"/>
                      <w:marRight w:val="0"/>
                      <w:marTop w:val="0"/>
                      <w:marBottom w:val="0"/>
                      <w:divBdr>
                        <w:top w:val="none" w:sz="0" w:space="0" w:color="auto"/>
                        <w:left w:val="none" w:sz="0" w:space="0" w:color="auto"/>
                        <w:bottom w:val="none" w:sz="0" w:space="0" w:color="auto"/>
                        <w:right w:val="none" w:sz="0" w:space="0" w:color="auto"/>
                      </w:divBdr>
                      <w:divsChild>
                        <w:div w:id="495460733">
                          <w:marLeft w:val="0"/>
                          <w:marRight w:val="0"/>
                          <w:marTop w:val="0"/>
                          <w:marBottom w:val="0"/>
                          <w:divBdr>
                            <w:top w:val="none" w:sz="0" w:space="0" w:color="auto"/>
                            <w:left w:val="none" w:sz="0" w:space="0" w:color="auto"/>
                            <w:bottom w:val="none" w:sz="0" w:space="0" w:color="auto"/>
                            <w:right w:val="none" w:sz="0" w:space="0" w:color="auto"/>
                          </w:divBdr>
                        </w:div>
                        <w:div w:id="1455828312">
                          <w:marLeft w:val="0"/>
                          <w:marRight w:val="0"/>
                          <w:marTop w:val="0"/>
                          <w:marBottom w:val="0"/>
                          <w:divBdr>
                            <w:top w:val="none" w:sz="0" w:space="0" w:color="auto"/>
                            <w:left w:val="none" w:sz="0" w:space="0" w:color="auto"/>
                            <w:bottom w:val="none" w:sz="0" w:space="0" w:color="auto"/>
                            <w:right w:val="none" w:sz="0" w:space="0" w:color="auto"/>
                          </w:divBdr>
                          <w:divsChild>
                            <w:div w:id="1053306702">
                              <w:marLeft w:val="0"/>
                              <w:marRight w:val="0"/>
                              <w:marTop w:val="0"/>
                              <w:marBottom w:val="0"/>
                              <w:divBdr>
                                <w:top w:val="none" w:sz="0" w:space="0" w:color="auto"/>
                                <w:left w:val="none" w:sz="0" w:space="0" w:color="auto"/>
                                <w:bottom w:val="none" w:sz="0" w:space="0" w:color="auto"/>
                                <w:right w:val="none" w:sz="0" w:space="0" w:color="auto"/>
                              </w:divBdr>
                              <w:divsChild>
                                <w:div w:id="10447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311</Words>
  <Characters>1774</Characters>
  <Application>Microsoft Office Word</Application>
  <DocSecurity>0</DocSecurity>
  <Lines>14</Lines>
  <Paragraphs>4</Paragraphs>
  <ScaleCrop>false</ScaleCrop>
  <Company>微软中国</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2016-11-17T09:34:00Z</cp:lastPrinted>
  <dcterms:created xsi:type="dcterms:W3CDTF">2016-11-17T09:35:00Z</dcterms:created>
  <dcterms:modified xsi:type="dcterms:W3CDTF">2016-11-30T07:24:00Z</dcterms:modified>
</cp:coreProperties>
</file>