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32"/>
        </w:rPr>
      </w:pPr>
    </w:p>
    <w:tbl>
      <w:tblPr>
        <w:tblStyle w:val="12"/>
        <w:tblW w:w="9902" w:type="dxa"/>
        <w:jc w:val="center"/>
        <w:tblCellSpacing w:w="0" w:type="dxa"/>
        <w:tblLayout w:type="fixed"/>
        <w:tblCellMar>
          <w:top w:w="45" w:type="dxa"/>
          <w:left w:w="45" w:type="dxa"/>
          <w:bottom w:w="45" w:type="dxa"/>
          <w:right w:w="45" w:type="dxa"/>
        </w:tblCellMar>
      </w:tblPr>
      <w:tblGrid>
        <w:gridCol w:w="621"/>
        <w:gridCol w:w="209"/>
        <w:gridCol w:w="690"/>
        <w:gridCol w:w="10"/>
        <w:gridCol w:w="2955"/>
        <w:gridCol w:w="62"/>
        <w:gridCol w:w="813"/>
        <w:gridCol w:w="1105"/>
        <w:gridCol w:w="3174"/>
        <w:gridCol w:w="263"/>
      </w:tblGrid>
      <w:tr>
        <w:tblPrEx>
          <w:tblCellMar>
            <w:top w:w="45" w:type="dxa"/>
            <w:left w:w="45" w:type="dxa"/>
            <w:bottom w:w="45" w:type="dxa"/>
            <w:right w:w="45" w:type="dxa"/>
          </w:tblCellMar>
        </w:tblPrEx>
        <w:trPr>
          <w:gridBefore w:val="1"/>
          <w:wBefore w:w="621" w:type="dxa"/>
          <w:tblCellSpacing w:w="0" w:type="dxa"/>
          <w:jc w:val="center"/>
        </w:trPr>
        <w:tc>
          <w:tcPr>
            <w:tcW w:w="9281" w:type="dxa"/>
            <w:gridSpan w:val="9"/>
            <w:tcBorders>
              <w:top w:val="nil"/>
              <w:left w:val="nil"/>
              <w:bottom w:val="nil"/>
              <w:right w:val="nil"/>
            </w:tcBorders>
            <w:vAlign w:val="center"/>
          </w:tcPr>
          <w:p>
            <w:pPr>
              <w:keepNext w:val="0"/>
              <w:keepLines w:val="0"/>
              <w:pageBreakBefore w:val="0"/>
              <w:widowControl/>
              <w:kinsoku/>
              <w:overflowPunct/>
              <w:topLinePunct w:val="0"/>
              <w:bidi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广东省国民体质监测工作项目信息评分表</w:t>
            </w:r>
          </w:p>
          <w:p>
            <w:pPr>
              <w:pStyle w:val="2"/>
              <w:keepNext w:val="0"/>
              <w:keepLines w:val="0"/>
              <w:pageBreakBefore w:val="0"/>
              <w:kinsoku/>
              <w:overflowPunct/>
              <w:topLinePunct w:val="0"/>
              <w:bidi w:val="0"/>
              <w:spacing w:after="0" w:line="560" w:lineRule="exac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56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评分项</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权重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56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技术部分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评分因素</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权重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项目报价</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采用低价优先法计算，即满足谈判文件要求且报价最低的为评标基准价，其报价为满分。其他谈判供应商的报价得分统一按照下列公式计算：</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报价得分=(评标基准价／投标报价)×</w:t>
            </w:r>
            <w:r>
              <w:rPr>
                <w:rFonts w:hint="eastAsia" w:ascii="仿宋_GB2312" w:hAnsi="仿宋_GB2312" w:eastAsia="仿宋_GB2312" w:cs="仿宋_GB2312"/>
                <w:color w:val="auto"/>
                <w:sz w:val="28"/>
                <w:szCs w:val="28"/>
                <w:highlight w:val="none"/>
                <w:lang w:val="en-US" w:eastAsia="zh-CN"/>
              </w:rPr>
              <w:t>100</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备注：项目报价上限为</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万，报价超过</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万的为无效报价，此项不得分。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安全生产承诺</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供应商提供承诺函（格式自定），承诺内容至少包括：在项目履约期间，要强化安全生产管理，制定安全生产指定，落实主体责任，确保项目安全运营等内容。</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按要求提供承诺函的得100</w:t>
            </w:r>
            <w:r>
              <w:rPr>
                <w:rFonts w:hint="eastAsia" w:ascii="仿宋_GB2312" w:hAnsi="仿宋_GB2312" w:eastAsia="仿宋_GB2312" w:cs="仿宋_GB2312"/>
                <w:sz w:val="28"/>
                <w:szCs w:val="28"/>
                <w:highlight w:val="none"/>
                <w:lang w:eastAsia="zh-CN"/>
              </w:rPr>
              <w:t>分</w:t>
            </w:r>
            <w:r>
              <w:rPr>
                <w:rFonts w:hint="eastAsia" w:ascii="仿宋_GB2312" w:hAnsi="仿宋_GB2312" w:eastAsia="仿宋_GB2312" w:cs="仿宋_GB2312"/>
                <w:sz w:val="28"/>
                <w:szCs w:val="28"/>
                <w:highlight w:val="none"/>
              </w:rPr>
              <w:t>，未提供或承诺内容不满足要求的均不得分。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63"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违约承诺</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评审内容：</w:t>
            </w:r>
          </w:p>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1.体测人员严格按照谈判文件及投标承诺配置；</w:t>
            </w:r>
          </w:p>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2.服务质量达到文件要求；</w:t>
            </w:r>
          </w:p>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3.对未能达到管理要求承担相应管理责任。</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标准：要求提供承诺（格式自拟）作为得分依据，未提供承诺的不得分。若隐瞒情况虚假承诺将被认定为投标无效并报主管部门处理。</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评标委员会根据响应情况进行打分，承诺满足以上3点</w:t>
            </w:r>
            <w:r>
              <w:rPr>
                <w:rFonts w:hint="eastAsia" w:ascii="仿宋_GB2312" w:hAnsi="仿宋_GB2312" w:eastAsia="仿宋_GB2312" w:cs="仿宋_GB2312"/>
                <w:color w:val="auto"/>
                <w:sz w:val="28"/>
                <w:szCs w:val="28"/>
                <w:highlight w:val="none"/>
              </w:rPr>
              <w:t>得100分</w:t>
            </w:r>
            <w:r>
              <w:rPr>
                <w:rFonts w:hint="eastAsia" w:ascii="仿宋_GB2312" w:hAnsi="仿宋_GB2312" w:eastAsia="仿宋_GB2312" w:cs="仿宋_GB2312"/>
                <w:sz w:val="28"/>
                <w:szCs w:val="28"/>
                <w:highlight w:val="none"/>
              </w:rPr>
              <w:t>，未满足不得分。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2346"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体测团队资质</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（一）评分内容：</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根据体测团队成员情况进行评分：</w:t>
            </w:r>
          </w:p>
          <w:p>
            <w:pPr>
              <w:keepNext w:val="0"/>
              <w:keepLines w:val="0"/>
              <w:pageBreakBefore w:val="0"/>
              <w:kinsoku/>
              <w:overflowPunct/>
              <w:topLinePunct w:val="0"/>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1.不少于15名体质测试专职人员</w:t>
            </w:r>
            <w:r>
              <w:rPr>
                <w:rFonts w:hint="eastAsia" w:ascii="仿宋_GB2312" w:hAnsi="仿宋_GB2312" w:eastAsia="仿宋_GB2312" w:cs="仿宋_GB2312"/>
                <w:color w:val="auto"/>
                <w:sz w:val="28"/>
                <w:szCs w:val="28"/>
                <w:highlight w:val="none"/>
              </w:rPr>
              <w:t>得30分，否则不得分；</w:t>
            </w:r>
          </w:p>
          <w:p>
            <w:pPr>
              <w:keepNext w:val="0"/>
              <w:keepLines w:val="0"/>
              <w:pageBreakBefore w:val="0"/>
              <w:kinsoku/>
              <w:overflowPunct/>
              <w:topLinePunct w:val="0"/>
              <w:bidi w:val="0"/>
              <w:spacing w:line="560" w:lineRule="exact"/>
              <w:rPr>
                <w:rStyle w:val="15"/>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2.体质测试专职人员持有有效期内《深圳市国民体质测定工作上岗证》得30</w:t>
            </w:r>
            <w:r>
              <w:rPr>
                <w:rFonts w:hint="eastAsia" w:ascii="仿宋_GB2312" w:hAnsi="仿宋_GB2312" w:eastAsia="仿宋_GB2312" w:cs="仿宋_GB2312"/>
                <w:sz w:val="28"/>
                <w:szCs w:val="28"/>
                <w:highlight w:val="none"/>
              </w:rPr>
              <w:t>分，否则不得分</w:t>
            </w:r>
            <w:r>
              <w:rPr>
                <w:rStyle w:val="15"/>
                <w:rFonts w:hint="eastAsia" w:ascii="仿宋_GB2312" w:hAnsi="仿宋_GB2312" w:eastAsia="仿宋_GB2312" w:cs="仿宋_GB2312"/>
                <w:sz w:val="28"/>
                <w:szCs w:val="28"/>
                <w:highlight w:val="none"/>
              </w:rPr>
              <w:t>；</w:t>
            </w:r>
          </w:p>
          <w:p>
            <w:pPr>
              <w:keepNext w:val="0"/>
              <w:keepLines w:val="0"/>
              <w:pageBreakBefore w:val="0"/>
              <w:kinsoku/>
              <w:overflowPunct/>
              <w:topLinePunct w:val="0"/>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3.体质测试专职人员中至少3名女性得30分；每增加一名得10分，满分40分。</w:t>
            </w:r>
          </w:p>
          <w:p>
            <w:pPr>
              <w:keepNext w:val="0"/>
              <w:keepLines w:val="0"/>
              <w:pageBreakBefore w:val="0"/>
              <w:kinsoku/>
              <w:overflowPunct/>
              <w:topLinePunct w:val="0"/>
              <w:bidi w:val="0"/>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以上三项累计加分，满分100分。</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（二）评分依据：</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深圳市国民体质测定工作上岗证》要求是深圳市文化广电旅游体育局颁发，并在有效期内的证件。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p>
        </w:tc>
        <w:tc>
          <w:tcPr>
            <w:tcW w:w="56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服务部分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评分因素</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权</w:t>
            </w:r>
            <w:r>
              <w:rPr>
                <w:rFonts w:hint="eastAsia" w:ascii="仿宋_GB2312" w:hAnsi="仿宋_GB2312" w:eastAsia="仿宋_GB2312" w:cs="仿宋_GB2312"/>
                <w:sz w:val="28"/>
                <w:szCs w:val="28"/>
                <w:highlight w:val="none"/>
              </w:rPr>
              <w:t>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510"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服务网点（场地）</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深圳供应商，投标人具有所投服务经营范围；售后机构必须同时提供售后服务合作合同及售后机构营业执照扫描件作为得分依据，原件备查）的，得100分。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120"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项目完成后的服务承诺</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b/>
                <w:i/>
                <w:sz w:val="28"/>
                <w:szCs w:val="28"/>
                <w:highlight w:val="none"/>
                <w:u w:val="single"/>
              </w:rPr>
            </w:pPr>
            <w:r>
              <w:rPr>
                <w:rFonts w:hint="eastAsia" w:ascii="仿宋_GB2312" w:hAnsi="仿宋_GB2312" w:eastAsia="仿宋_GB2312" w:cs="仿宋_GB2312"/>
                <w:sz w:val="28"/>
                <w:szCs w:val="28"/>
                <w:highlight w:val="none"/>
              </w:rPr>
              <w:t>（一）评分内容：</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针对本项目的需求提供项目完成（服务期满）后的服务承诺，内容包括但不限于：</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1.供应商服务期满后与后续服务公司的交接承诺；</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2.供应商服务期满，后续服务公司未到位前，仍按原合同服务承诺提供服务的承诺。</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（二）评分依据：</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供应商需提供违约承诺函（格式自拟），承诺函包括上述二项内容得100分。未按谈判文件要求或未承诺的不得分。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120"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服务方案</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numPr>
                <w:ilvl w:val="0"/>
                <w:numId w:val="0"/>
              </w:numPr>
              <w:kinsoku/>
              <w:overflowPunct/>
              <w:topLinePunct w:val="0"/>
              <w:bidi w:val="0"/>
              <w:spacing w:line="560" w:lineRule="exact"/>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评分内容：</w:t>
            </w:r>
          </w:p>
          <w:p>
            <w:pPr>
              <w:pStyle w:val="2"/>
              <w:keepNext w:val="0"/>
              <w:keepLines w:val="0"/>
              <w:pageBreakBefore w:val="0"/>
              <w:kinsoku/>
              <w:overflowPunct/>
              <w:topLinePunct w:val="0"/>
              <w:bidi w:val="0"/>
              <w:spacing w:after="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体测站方案，包含疫情防控方案，测试计划，测试内容及工作任务，最高得100分。</w:t>
            </w:r>
          </w:p>
          <w:p>
            <w:pPr>
              <w:pStyle w:val="2"/>
              <w:keepNext w:val="0"/>
              <w:keepLines w:val="0"/>
              <w:pageBreakBefore w:val="0"/>
              <w:numPr>
                <w:ilvl w:val="0"/>
                <w:numId w:val="0"/>
              </w:numPr>
              <w:kinsoku/>
              <w:overflowPunct/>
              <w:topLinePunct w:val="0"/>
              <w:bidi w:val="0"/>
              <w:spacing w:after="0" w:line="560" w:lineRule="exact"/>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评分依据：</w:t>
            </w:r>
          </w:p>
          <w:p>
            <w:pPr>
              <w:pStyle w:val="2"/>
              <w:keepNext w:val="0"/>
              <w:keepLines w:val="0"/>
              <w:pageBreakBefore w:val="0"/>
              <w:kinsoku/>
              <w:overflowPunct/>
              <w:topLinePunct w:val="0"/>
              <w:bidi w:val="0"/>
              <w:spacing w:after="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1.方案详细、周密、有条理；</w:t>
            </w:r>
          </w:p>
          <w:p>
            <w:pPr>
              <w:keepNext w:val="0"/>
              <w:keepLines w:val="0"/>
              <w:pageBreakBefore w:val="0"/>
              <w:kinsoku/>
              <w:overflowPunct/>
              <w:topLinePunct w:val="0"/>
              <w:bidi w:val="0"/>
              <w:adjustRightInd w:val="0"/>
              <w:snapToGrid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2.方案内容符合要求。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blCellSpacing w:w="0" w:type="dxa"/>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w:t>
            </w:r>
          </w:p>
        </w:tc>
        <w:tc>
          <w:tcPr>
            <w:tcW w:w="56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val="0"/>
                <w:bCs/>
                <w:sz w:val="28"/>
                <w:szCs w:val="28"/>
                <w:highlight w:val="none"/>
              </w:rPr>
              <w:t>综合实力部分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81" w:hRule="atLeast"/>
          <w:tblCellSpacing w:w="0" w:type="dxa"/>
          <w:jc w:val="center"/>
        </w:trPr>
        <w:tc>
          <w:tcPr>
            <w:tcW w:w="83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评分因素</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权重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1740"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同类项目业绩情况</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10</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专家打分</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（一）评分内容：</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2018年至今与市级以上各级体育行政部门签订过国民体质测定相关业务；每有一项业绩得20分，最高得100分；。</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（二）评分依据：</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1.要求同时提供合同关键信息，需加盖合同甲方公章（或甲方业务章）。</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2.通过合同关键信息无法判断是否得分的，也可以提供能证明得分的其它证明资料，如项目报告或合同甲方出具的证明文件等。</w:t>
            </w:r>
          </w:p>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860"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履约评价</w:t>
            </w:r>
          </w:p>
        </w:tc>
        <w:tc>
          <w:tcPr>
            <w:tcW w:w="875"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1105"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专家评分</w:t>
            </w:r>
          </w:p>
        </w:tc>
        <w:tc>
          <w:tcPr>
            <w:tcW w:w="3174"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（一）评分内容：</w:t>
            </w:r>
          </w:p>
          <w:p>
            <w:pPr>
              <w:keepNext w:val="0"/>
              <w:keepLines w:val="0"/>
              <w:pageBreakBefore w:val="0"/>
              <w:kinsoku/>
              <w:wordWrap w:val="0"/>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1.上述经评审得分的“同类项目业绩情况”中，合同甲方出具评价为优/优秀/满意或最高评价的履约（验收）合格评价证明文件，每提供一份得20分，最高得100分，没有不得分；</w:t>
            </w:r>
          </w:p>
          <w:p>
            <w:pPr>
              <w:keepNext w:val="0"/>
              <w:keepLines w:val="0"/>
              <w:pageBreakBefore w:val="0"/>
              <w:kinsoku/>
              <w:overflowPunct/>
              <w:topLinePunct w:val="0"/>
              <w:bidi w:val="0"/>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（二）评分依据：</w:t>
            </w:r>
          </w:p>
          <w:p>
            <w:pPr>
              <w:pStyle w:val="10"/>
              <w:keepNext w:val="0"/>
              <w:keepLines w:val="0"/>
              <w:pageBreakBefore w:val="0"/>
              <w:pBdr>
                <w:bottom w:val="none" w:color="auto" w:sz="0" w:space="0"/>
              </w:pBdr>
              <w:tabs>
                <w:tab w:val="clear" w:pos="4153"/>
                <w:tab w:val="clear" w:pos="8306"/>
              </w:tabs>
              <w:kinsoku/>
              <w:overflowPunct/>
              <w:topLinePunct w:val="0"/>
              <w:bidi w:val="0"/>
              <w:spacing w:line="56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pStyle w:val="10"/>
              <w:keepNext w:val="0"/>
              <w:keepLines w:val="0"/>
              <w:pageBreakBefore w:val="0"/>
              <w:pBdr>
                <w:bottom w:val="none" w:color="auto" w:sz="0" w:space="0"/>
              </w:pBdr>
              <w:tabs>
                <w:tab w:val="clear" w:pos="4153"/>
                <w:tab w:val="clear" w:pos="8306"/>
              </w:tabs>
              <w:kinsoku/>
              <w:overflowPunct/>
              <w:topLinePunct w:val="0"/>
              <w:bidi w:val="0"/>
              <w:spacing w:line="56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4418"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rPr>
                <w:rFonts w:hint="eastAsia" w:ascii="仿宋_GB2312" w:hAnsi="仿宋_GB2312" w:eastAsia="仿宋_GB2312" w:cs="仿宋_GB2312"/>
                <w:sz w:val="28"/>
                <w:szCs w:val="28"/>
                <w:highlight w:val="none"/>
              </w:rPr>
            </w:pPr>
          </w:p>
        </w:tc>
        <w:tc>
          <w:tcPr>
            <w:tcW w:w="690" w:type="dxa"/>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荣誉奖</w:t>
            </w:r>
            <w:bookmarkStart w:id="0" w:name="_GoBack"/>
            <w:bookmarkEnd w:id="0"/>
            <w:r>
              <w:rPr>
                <w:rFonts w:hint="eastAsia" w:ascii="仿宋_GB2312" w:hAnsi="仿宋_GB2312" w:eastAsia="仿宋_GB2312" w:cs="仿宋_GB2312"/>
                <w:sz w:val="28"/>
                <w:szCs w:val="28"/>
                <w:highlight w:val="none"/>
              </w:rPr>
              <w:t>项</w:t>
            </w:r>
          </w:p>
        </w:tc>
        <w:tc>
          <w:tcPr>
            <w:tcW w:w="875" w:type="dxa"/>
            <w:gridSpan w:val="2"/>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1105" w:type="dxa"/>
            <w:vMerge w:val="continue"/>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3174" w:type="dxa"/>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（一）评分内容：</w:t>
            </w:r>
          </w:p>
          <w:p>
            <w:pPr>
              <w:pStyle w:val="2"/>
              <w:keepNext w:val="0"/>
              <w:keepLines w:val="0"/>
              <w:pageBreakBefore w:val="0"/>
              <w:kinsoku/>
              <w:overflowPunct/>
              <w:topLinePunct w:val="0"/>
              <w:bidi w:val="0"/>
              <w:spacing w:after="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近5年获得过国家、省、市文体部门颁发的（团体或单位）奖项；有国家级奖项得50分，省级奖项得30分，区级奖项得20分，最高得100分。</w:t>
            </w:r>
          </w:p>
          <w:p>
            <w:pPr>
              <w:keepNext w:val="0"/>
              <w:keepLines w:val="0"/>
              <w:pageBreakBefore w:val="0"/>
              <w:kinsoku/>
              <w:overflowPunct/>
              <w:topLinePunct w:val="0"/>
              <w:bidi w:val="0"/>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二）评分依据：</w:t>
            </w:r>
          </w:p>
          <w:p>
            <w:pPr>
              <w:pStyle w:val="10"/>
              <w:keepNext w:val="0"/>
              <w:keepLines w:val="0"/>
              <w:pageBreakBefore w:val="0"/>
              <w:pBdr>
                <w:bottom w:val="none" w:color="auto" w:sz="0" w:space="0"/>
              </w:pBdr>
              <w:tabs>
                <w:tab w:val="clear" w:pos="4153"/>
                <w:tab w:val="clear" w:pos="8306"/>
              </w:tabs>
              <w:kinsoku/>
              <w:overflowPunct/>
              <w:topLinePunct w:val="0"/>
              <w:bidi w:val="0"/>
              <w:spacing w:line="56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提供盖有合同甲方公章的履约评价扫描件（履约评价需由服务单位本单位盖章出具，下属单位、内设机构或关联单位的履约评价不得分），原件备查。（未提供或未按要求提供或提供的不清晰导致专家无法判断的，不得分）</w:t>
            </w:r>
          </w:p>
          <w:p>
            <w:pPr>
              <w:keepNext w:val="0"/>
              <w:keepLines w:val="0"/>
              <w:pageBreakBefore w:val="0"/>
              <w:kinsoku/>
              <w:overflowPunct/>
              <w:topLinePunct w:val="0"/>
              <w:bidi w:val="0"/>
              <w:spacing w:line="56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2、供应商提供的合同甲方出具评价为优/优秀/满意或最高评价的履约（验收）合格评价证明文件的，同样得分。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406" w:hRule="atLeast"/>
          <w:tblCellSpacing w:w="0" w:type="dxa"/>
          <w:jc w:val="center"/>
        </w:trPr>
        <w:tc>
          <w:tcPr>
            <w:tcW w:w="830" w:type="dxa"/>
            <w:gridSpan w:val="2"/>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w:t>
            </w:r>
          </w:p>
        </w:tc>
        <w:tc>
          <w:tcPr>
            <w:tcW w:w="563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val="0"/>
                <w:bCs/>
                <w:sz w:val="28"/>
                <w:szCs w:val="28"/>
                <w:highlight w:val="none"/>
              </w:rPr>
              <w:t>供应商社会责任</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restart"/>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评分因素</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权重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评分方式</w:t>
            </w:r>
          </w:p>
        </w:tc>
        <w:tc>
          <w:tcPr>
            <w:tcW w:w="31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3" w:type="dxa"/>
          <w:trHeight w:val="78" w:hRule="atLeast"/>
          <w:tblCellSpacing w:w="0" w:type="dxa"/>
          <w:jc w:val="center"/>
        </w:trPr>
        <w:tc>
          <w:tcPr>
            <w:tcW w:w="830" w:type="dxa"/>
            <w:gridSpan w:val="2"/>
            <w:vMerge w:val="continue"/>
            <w:tcBorders>
              <w:left w:val="single" w:color="auto" w:sz="4" w:space="0"/>
              <w:right w:val="single" w:color="auto" w:sz="4" w:space="0"/>
            </w:tcBorders>
            <w:vAlign w:val="center"/>
          </w:tcPr>
          <w:p>
            <w:pPr>
              <w:keepNext w:val="0"/>
              <w:keepLines w:val="0"/>
              <w:pageBreakBefore w:val="0"/>
              <w:kinsoku/>
              <w:overflowPunct/>
              <w:topLinePunct w:val="0"/>
              <w:bidi w:val="0"/>
              <w:spacing w:line="560" w:lineRule="exact"/>
              <w:jc w:val="center"/>
              <w:rPr>
                <w:rFonts w:hint="eastAsia" w:ascii="仿宋_GB2312" w:hAnsi="仿宋_GB2312" w:eastAsia="仿宋_GB2312" w:cs="仿宋_GB2312"/>
                <w:sz w:val="28"/>
                <w:szCs w:val="28"/>
                <w:highlight w:val="none"/>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ind w:right="2" w:rightChars="1"/>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ind w:right="2" w:rightChars="1"/>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公司诚信</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ind w:right="2" w:rightChars="1"/>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pacing w:line="560" w:lineRule="exact"/>
              <w:ind w:right="2" w:rightChars="1"/>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专家评分</w:t>
            </w:r>
          </w:p>
        </w:tc>
        <w:tc>
          <w:tcPr>
            <w:tcW w:w="3174"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pBdr>
                <w:bottom w:val="none" w:color="auto" w:sz="0" w:space="0"/>
              </w:pBdr>
              <w:tabs>
                <w:tab w:val="clear" w:pos="4153"/>
                <w:tab w:val="clear" w:pos="8306"/>
              </w:tabs>
              <w:kinsoku/>
              <w:overflowPunct/>
              <w:topLinePunct w:val="0"/>
              <w:bidi w:val="0"/>
              <w:spacing w:line="560" w:lineRule="exact"/>
              <w:ind w:right="2" w:rightChars="1"/>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供应商在参与政府采购活动中存在诚信相关问题且在主管部门相关处理措施实施期限内的，本项不得分，否则得满分。供应商无需提供任何证明材料，由工作人员向评审委员会提供相关信息。</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2D"/>
    <w:rsid w:val="0004452E"/>
    <w:rsid w:val="00063A7C"/>
    <w:rsid w:val="00093FD0"/>
    <w:rsid w:val="00126CCA"/>
    <w:rsid w:val="00147FAE"/>
    <w:rsid w:val="001920F3"/>
    <w:rsid w:val="0019407C"/>
    <w:rsid w:val="001B6BA1"/>
    <w:rsid w:val="001C4652"/>
    <w:rsid w:val="001E1A82"/>
    <w:rsid w:val="002855E7"/>
    <w:rsid w:val="0029672D"/>
    <w:rsid w:val="002B1697"/>
    <w:rsid w:val="003245FC"/>
    <w:rsid w:val="00346479"/>
    <w:rsid w:val="00387F19"/>
    <w:rsid w:val="0039352C"/>
    <w:rsid w:val="003978C0"/>
    <w:rsid w:val="003A7B98"/>
    <w:rsid w:val="003B023A"/>
    <w:rsid w:val="00442230"/>
    <w:rsid w:val="004C4C3B"/>
    <w:rsid w:val="00511EF3"/>
    <w:rsid w:val="005E797E"/>
    <w:rsid w:val="006466FA"/>
    <w:rsid w:val="0065060B"/>
    <w:rsid w:val="006A7642"/>
    <w:rsid w:val="006A79A5"/>
    <w:rsid w:val="006B16D2"/>
    <w:rsid w:val="006D13BB"/>
    <w:rsid w:val="006D2CFE"/>
    <w:rsid w:val="006F5A72"/>
    <w:rsid w:val="00742202"/>
    <w:rsid w:val="00787327"/>
    <w:rsid w:val="008429C8"/>
    <w:rsid w:val="00846CD3"/>
    <w:rsid w:val="00885ACF"/>
    <w:rsid w:val="008F0EE7"/>
    <w:rsid w:val="0092181B"/>
    <w:rsid w:val="00985AFC"/>
    <w:rsid w:val="009C0D69"/>
    <w:rsid w:val="009C0FC1"/>
    <w:rsid w:val="00A002DA"/>
    <w:rsid w:val="00AD7E38"/>
    <w:rsid w:val="00B42079"/>
    <w:rsid w:val="00BB76A1"/>
    <w:rsid w:val="00C06CED"/>
    <w:rsid w:val="00C164F5"/>
    <w:rsid w:val="00C31E08"/>
    <w:rsid w:val="00C630D4"/>
    <w:rsid w:val="00C759D5"/>
    <w:rsid w:val="00C923D7"/>
    <w:rsid w:val="00CA6284"/>
    <w:rsid w:val="00CE0EC9"/>
    <w:rsid w:val="00CF74BC"/>
    <w:rsid w:val="00D01DE3"/>
    <w:rsid w:val="00D946C9"/>
    <w:rsid w:val="00DE7843"/>
    <w:rsid w:val="00E31A6A"/>
    <w:rsid w:val="00EB71B2"/>
    <w:rsid w:val="00EE2FD1"/>
    <w:rsid w:val="00F123E9"/>
    <w:rsid w:val="00F20F4D"/>
    <w:rsid w:val="00F94E83"/>
    <w:rsid w:val="00FE2B59"/>
    <w:rsid w:val="0DFD8B5A"/>
    <w:rsid w:val="1B1D30B7"/>
    <w:rsid w:val="3B7D2F0B"/>
    <w:rsid w:val="3BED14AB"/>
    <w:rsid w:val="3F7B08CA"/>
    <w:rsid w:val="4FE3D2A0"/>
    <w:rsid w:val="51A23FA9"/>
    <w:rsid w:val="5BEE1759"/>
    <w:rsid w:val="66784CA8"/>
    <w:rsid w:val="6BFF6024"/>
    <w:rsid w:val="706A4457"/>
    <w:rsid w:val="73570BE7"/>
    <w:rsid w:val="7CBEE87C"/>
    <w:rsid w:val="7FCB8BDC"/>
    <w:rsid w:val="D4FA8DEC"/>
    <w:rsid w:val="DDF3888B"/>
    <w:rsid w:val="DFBEE38A"/>
    <w:rsid w:val="EFB2F67F"/>
    <w:rsid w:val="F773AD9B"/>
    <w:rsid w:val="F7BE72C6"/>
    <w:rsid w:val="FB7F7EAC"/>
    <w:rsid w:val="FB7FC550"/>
    <w:rsid w:val="FDB54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5"/>
    <w:next w:val="6"/>
    <w:link w:val="16"/>
    <w:qFormat/>
    <w:uiPriority w:val="0"/>
    <w:pPr>
      <w:numPr>
        <w:ilvl w:val="1"/>
        <w:numId w:val="1"/>
      </w:numPr>
      <w:adjustRightInd w:val="0"/>
      <w:spacing w:line="416" w:lineRule="atLeast"/>
      <w:textAlignment w:val="baseline"/>
      <w:outlineLvl w:val="1"/>
    </w:pPr>
    <w:rPr>
      <w:rFonts w:ascii="Arial" w:hAnsi="Arial" w:eastAsia="黑体"/>
      <w:b w:val="0"/>
      <w:bCs w:val="0"/>
      <w:kern w:val="0"/>
      <w:szCs w:val="20"/>
    </w:rPr>
  </w:style>
  <w:style w:type="paragraph" w:styleId="5">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0"/>
    <w:pPr>
      <w:spacing w:after="120"/>
    </w:pPr>
  </w:style>
  <w:style w:type="paragraph" w:styleId="7">
    <w:name w:val="annotation text"/>
    <w:basedOn w:val="1"/>
    <w:link w:val="24"/>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autoSpaceDE w:val="0"/>
      <w:autoSpaceDN w:val="0"/>
      <w:adjustRightInd w:val="0"/>
      <w:spacing w:line="360" w:lineRule="auto"/>
      <w:jc w:val="center"/>
      <w:textAlignment w:val="baseline"/>
    </w:pPr>
    <w:rPr>
      <w:rFonts w:ascii="宋体" w:hAnsiTheme="minorHAnsi" w:eastAsiaTheme="minorEastAsia" w:cstheme="minorBidi"/>
      <w:sz w:val="18"/>
      <w:szCs w:val="22"/>
    </w:rPr>
  </w:style>
  <w:style w:type="paragraph" w:styleId="11">
    <w:name w:val="annotation subject"/>
    <w:basedOn w:val="7"/>
    <w:next w:val="7"/>
    <w:link w:val="25"/>
    <w:semiHidden/>
    <w:unhideWhenUsed/>
    <w:qFormat/>
    <w:uiPriority w:val="99"/>
    <w:rPr>
      <w:b/>
      <w:bCs/>
    </w:rPr>
  </w:style>
  <w:style w:type="character" w:styleId="14">
    <w:name w:val="Hyperlink"/>
    <w:qFormat/>
    <w:uiPriority w:val="0"/>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2 字符"/>
    <w:basedOn w:val="13"/>
    <w:link w:val="4"/>
    <w:qFormat/>
    <w:uiPriority w:val="0"/>
    <w:rPr>
      <w:rFonts w:ascii="Arial" w:hAnsi="Arial" w:eastAsia="黑体" w:cs="Times New Roman"/>
      <w:kern w:val="0"/>
      <w:sz w:val="32"/>
      <w:szCs w:val="20"/>
    </w:rPr>
  </w:style>
  <w:style w:type="character" w:customStyle="1" w:styleId="17">
    <w:name w:val="正文文本 字符"/>
    <w:basedOn w:val="13"/>
    <w:link w:val="2"/>
    <w:qFormat/>
    <w:uiPriority w:val="0"/>
    <w:rPr>
      <w:rFonts w:ascii="Times New Roman" w:hAnsi="Times New Roman" w:eastAsia="宋体" w:cs="Times New Roman"/>
      <w:szCs w:val="24"/>
    </w:rPr>
  </w:style>
  <w:style w:type="character" w:customStyle="1" w:styleId="18">
    <w:name w:val="页眉 字符"/>
    <w:link w:val="10"/>
    <w:qFormat/>
    <w:uiPriority w:val="0"/>
    <w:rPr>
      <w:rFonts w:ascii="宋体"/>
      <w:sz w:val="18"/>
    </w:rPr>
  </w:style>
  <w:style w:type="character" w:customStyle="1" w:styleId="19">
    <w:name w:val="页眉 字符1"/>
    <w:basedOn w:val="13"/>
    <w:semiHidden/>
    <w:qFormat/>
    <w:uiPriority w:val="99"/>
    <w:rPr>
      <w:rFonts w:ascii="Times New Roman" w:hAnsi="Times New Roman" w:eastAsia="宋体" w:cs="Times New Roman"/>
      <w:sz w:val="18"/>
      <w:szCs w:val="18"/>
    </w:rPr>
  </w:style>
  <w:style w:type="character" w:customStyle="1" w:styleId="20">
    <w:name w:val="标题 3 字符"/>
    <w:basedOn w:val="13"/>
    <w:link w:val="5"/>
    <w:semiHidden/>
    <w:qFormat/>
    <w:uiPriority w:val="9"/>
    <w:rPr>
      <w:rFonts w:ascii="Times New Roman" w:hAnsi="Times New Roman" w:eastAsia="宋体" w:cs="Times New Roman"/>
      <w:b/>
      <w:bCs/>
      <w:sz w:val="32"/>
      <w:szCs w:val="32"/>
    </w:rPr>
  </w:style>
  <w:style w:type="character" w:customStyle="1" w:styleId="21">
    <w:name w:val="标题 4 字符"/>
    <w:basedOn w:val="13"/>
    <w:link w:val="6"/>
    <w:semiHidden/>
    <w:qFormat/>
    <w:uiPriority w:val="9"/>
    <w:rPr>
      <w:rFonts w:asciiTheme="majorHAnsi" w:hAnsiTheme="majorHAnsi" w:eastAsiaTheme="majorEastAsia" w:cstheme="majorBidi"/>
      <w:b/>
      <w:bCs/>
      <w:sz w:val="28"/>
      <w:szCs w:val="28"/>
    </w:rPr>
  </w:style>
  <w:style w:type="character" w:customStyle="1" w:styleId="22">
    <w:name w:val="标题 1 字符"/>
    <w:basedOn w:val="13"/>
    <w:link w:val="3"/>
    <w:qFormat/>
    <w:uiPriority w:val="9"/>
    <w:rPr>
      <w:rFonts w:ascii="Times New Roman" w:hAnsi="Times New Roman" w:eastAsia="宋体" w:cs="Times New Roman"/>
      <w:b/>
      <w:bCs/>
      <w:kern w:val="44"/>
      <w:sz w:val="44"/>
      <w:szCs w:val="44"/>
    </w:rPr>
  </w:style>
  <w:style w:type="character" w:customStyle="1" w:styleId="23">
    <w:name w:val="页脚 字符"/>
    <w:basedOn w:val="13"/>
    <w:link w:val="9"/>
    <w:qFormat/>
    <w:uiPriority w:val="99"/>
    <w:rPr>
      <w:rFonts w:ascii="Times New Roman" w:hAnsi="Times New Roman" w:eastAsia="宋体" w:cs="Times New Roman"/>
      <w:sz w:val="18"/>
      <w:szCs w:val="18"/>
    </w:rPr>
  </w:style>
  <w:style w:type="character" w:customStyle="1" w:styleId="24">
    <w:name w:val="批注文字 字符"/>
    <w:basedOn w:val="13"/>
    <w:link w:val="7"/>
    <w:semiHidden/>
    <w:qFormat/>
    <w:uiPriority w:val="99"/>
    <w:rPr>
      <w:rFonts w:ascii="Times New Roman" w:hAnsi="Times New Roman" w:eastAsia="宋体" w:cs="Times New Roman"/>
      <w:szCs w:val="24"/>
    </w:rPr>
  </w:style>
  <w:style w:type="character" w:customStyle="1" w:styleId="25">
    <w:name w:val="批注主题 字符"/>
    <w:basedOn w:val="24"/>
    <w:link w:val="11"/>
    <w:semiHidden/>
    <w:qFormat/>
    <w:uiPriority w:val="99"/>
    <w:rPr>
      <w:rFonts w:ascii="Times New Roman" w:hAnsi="Times New Roman" w:eastAsia="宋体" w:cs="Times New Roman"/>
      <w:b/>
      <w:bCs/>
      <w:szCs w:val="24"/>
    </w:rPr>
  </w:style>
  <w:style w:type="character" w:customStyle="1" w:styleId="26">
    <w:name w:val="批注框文本 字符"/>
    <w:basedOn w:val="13"/>
    <w:link w:val="8"/>
    <w:semiHidden/>
    <w:qFormat/>
    <w:uiPriority w:val="99"/>
    <w:rPr>
      <w:rFonts w:ascii="Times New Roman" w:hAnsi="Times New Roman" w:eastAsia="宋体" w:cs="Times New Roman"/>
      <w:sz w:val="18"/>
      <w:szCs w:val="18"/>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313</Words>
  <Characters>1790</Characters>
  <Lines>14</Lines>
  <Paragraphs>4</Paragraphs>
  <TotalTime>97</TotalTime>
  <ScaleCrop>false</ScaleCrop>
  <LinksUpToDate>false</LinksUpToDate>
  <CharactersWithSpaces>2099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2022-05-27T08:22:00Z</dcterms:created>
  <dc:creator>于 海宁</dc:creator>
  <cp:lastModifiedBy>yt</cp:lastModifiedBy>
  <dcterms:modified xsi:type="dcterms:W3CDTF">2022-06-02T16:35:25Z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