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DA" w:rsidRPr="004F6E76" w:rsidRDefault="00BE1189" w:rsidP="004F6E76">
      <w:pPr>
        <w:spacing w:line="560" w:lineRule="exact"/>
        <w:jc w:val="center"/>
        <w:rPr>
          <w:rFonts w:ascii="方正小标宋简体" w:eastAsia="方正小标宋简体" w:hAnsi="宋体" w:cs="Arial"/>
          <w:bCs/>
          <w:sz w:val="36"/>
          <w:szCs w:val="36"/>
        </w:rPr>
      </w:pPr>
      <w:r w:rsidRPr="004F6E76">
        <w:rPr>
          <w:rFonts w:ascii="方正小标宋简体" w:eastAsia="方正小标宋简体" w:hAnsi="宋体" w:cs="Arial" w:hint="eastAsia"/>
          <w:bCs/>
          <w:sz w:val="36"/>
          <w:szCs w:val="36"/>
        </w:rPr>
        <w:t>区发展改革局</w:t>
      </w:r>
      <w:r w:rsidR="00DF4EE9" w:rsidRPr="004F6E76">
        <w:rPr>
          <w:rFonts w:ascii="方正小标宋简体" w:eastAsia="方正小标宋简体" w:hAnsi="宋体" w:cs="Arial" w:hint="eastAsia"/>
          <w:bCs/>
          <w:sz w:val="36"/>
          <w:szCs w:val="36"/>
        </w:rPr>
        <w:t>专题调研综合改革</w:t>
      </w:r>
      <w:r w:rsidR="00047FDA" w:rsidRPr="004F6E76">
        <w:rPr>
          <w:rFonts w:ascii="方正小标宋简体" w:eastAsia="方正小标宋简体" w:hAnsi="宋体" w:cs="Arial" w:hint="eastAsia"/>
          <w:bCs/>
          <w:sz w:val="36"/>
          <w:szCs w:val="36"/>
        </w:rPr>
        <w:t>工作经费</w:t>
      </w:r>
      <w:r w:rsidR="00B25853" w:rsidRPr="004F6E76">
        <w:rPr>
          <w:rFonts w:ascii="方正小标宋简体" w:eastAsia="方正小标宋简体" w:hAnsi="宋体" w:cs="Arial" w:hint="eastAsia"/>
          <w:bCs/>
          <w:sz w:val="36"/>
          <w:szCs w:val="36"/>
        </w:rPr>
        <w:t>项目</w:t>
      </w:r>
    </w:p>
    <w:p w:rsidR="00742EA2" w:rsidRPr="004F6E76" w:rsidRDefault="00B25853" w:rsidP="004F6E76">
      <w:pPr>
        <w:spacing w:line="560" w:lineRule="exact"/>
        <w:jc w:val="center"/>
        <w:rPr>
          <w:rFonts w:ascii="方正小标宋简体" w:eastAsia="方正小标宋简体" w:hAnsi="Arial" w:cs="Arial"/>
          <w:bCs/>
          <w:sz w:val="36"/>
          <w:szCs w:val="36"/>
        </w:rPr>
      </w:pPr>
      <w:r w:rsidRPr="004F6E76">
        <w:rPr>
          <w:rFonts w:ascii="方正小标宋简体" w:eastAsia="方正小标宋简体" w:hAnsi="宋体" w:cs="Arial" w:hint="eastAsia"/>
          <w:bCs/>
          <w:sz w:val="36"/>
          <w:szCs w:val="36"/>
        </w:rPr>
        <w:t>支出绩效评价报告</w:t>
      </w:r>
    </w:p>
    <w:p w:rsidR="00742EA2" w:rsidRDefault="00742EA2">
      <w:pPr>
        <w:jc w:val="center"/>
        <w:rPr>
          <w:rFonts w:ascii="仿宋_GB2312"/>
          <w:szCs w:val="30"/>
        </w:rPr>
      </w:pPr>
    </w:p>
    <w:p w:rsidR="00742EA2" w:rsidRDefault="00B25853" w:rsidP="00C766E6">
      <w:pPr>
        <w:spacing w:line="560" w:lineRule="exact"/>
        <w:ind w:firstLineChars="200" w:firstLine="600"/>
        <w:rPr>
          <w:rFonts w:ascii="黑体" w:eastAsia="黑体" w:hAnsi="黑体"/>
        </w:rPr>
      </w:pPr>
      <w:r>
        <w:rPr>
          <w:rFonts w:ascii="黑体" w:eastAsia="黑体" w:hAnsi="黑体" w:hint="eastAsia"/>
        </w:rPr>
        <w:t>一、基本情况</w:t>
      </w:r>
    </w:p>
    <w:p w:rsidR="00742EA2" w:rsidRDefault="00B25853" w:rsidP="00C766E6">
      <w:pPr>
        <w:spacing w:line="560" w:lineRule="exact"/>
        <w:ind w:firstLineChars="200" w:firstLine="600"/>
        <w:outlineLvl w:val="0"/>
        <w:rPr>
          <w:rFonts w:ascii="仿宋_GB2312"/>
        </w:rPr>
      </w:pPr>
      <w:r>
        <w:rPr>
          <w:rFonts w:ascii="仿宋_GB2312" w:hint="eastAsia"/>
        </w:rPr>
        <w:t>（一）</w:t>
      </w:r>
      <w:r w:rsidR="00265DE8">
        <w:rPr>
          <w:rFonts w:ascii="仿宋_GB2312" w:hint="eastAsia"/>
        </w:rPr>
        <w:t>专题调研综合改革工作经费主要是</w:t>
      </w:r>
      <w:r w:rsidR="00265DE8" w:rsidRPr="00265DE8">
        <w:rPr>
          <w:rFonts w:ascii="仿宋_GB2312" w:hint="eastAsia"/>
        </w:rPr>
        <w:t>按照国家、省、市部署，2020年为“十四五”规划编制之年，需要编制盐田区“十四五”规划纲要,我局统</w:t>
      </w:r>
      <w:r w:rsidR="008F2435">
        <w:rPr>
          <w:rFonts w:ascii="仿宋_GB2312" w:hint="eastAsia"/>
        </w:rPr>
        <w:t>筹负责“十四五”规划的编制工作，具体负责编制“十四五”规划纲要，</w:t>
      </w:r>
      <w:r w:rsidR="00265DE8" w:rsidRPr="00265DE8">
        <w:rPr>
          <w:rFonts w:ascii="仿宋_GB2312" w:hint="eastAsia"/>
        </w:rPr>
        <w:t>根据区委区政府工作部署，以“十四五”规划为契机，紧扣当前发展实际，开展</w:t>
      </w:r>
      <w:r w:rsidR="00D75F0B">
        <w:rPr>
          <w:rFonts w:ascii="仿宋_GB2312" w:hint="eastAsia"/>
        </w:rPr>
        <w:t>全球海洋中心城市核心区策略研究课题</w:t>
      </w:r>
      <w:r w:rsidR="00265DE8" w:rsidRPr="00265DE8">
        <w:rPr>
          <w:rFonts w:ascii="仿宋_GB2312" w:hint="eastAsia"/>
        </w:rPr>
        <w:t>。</w:t>
      </w:r>
      <w:r w:rsidR="00265DE8">
        <w:rPr>
          <w:rFonts w:ascii="仿宋_GB2312" w:hint="eastAsia"/>
        </w:rPr>
        <w:t>2020年该项目的主要内容包括</w:t>
      </w:r>
      <w:r w:rsidR="00D75F0B">
        <w:rPr>
          <w:rFonts w:ascii="仿宋_GB2312" w:hint="eastAsia"/>
        </w:rPr>
        <w:t>盐田区十四五规划纲要课题75万，盐田区打造全球海洋中心城市核心区策略研究课题42万及其他相关费用，财政预算拨款共计118.5万元，截止2020年12月份，该项目支出118.42万元，支付率达99.9%。</w:t>
      </w:r>
    </w:p>
    <w:p w:rsidR="00F14764" w:rsidRDefault="00B25853" w:rsidP="00C766E6">
      <w:pPr>
        <w:spacing w:line="560" w:lineRule="exact"/>
        <w:ind w:firstLineChars="200" w:firstLine="600"/>
        <w:rPr>
          <w:rFonts w:ascii="仿宋_GB2312"/>
        </w:rPr>
      </w:pPr>
      <w:r>
        <w:rPr>
          <w:rFonts w:ascii="仿宋_GB2312" w:hint="eastAsia"/>
        </w:rPr>
        <w:t>（二）项目绩效目标。</w:t>
      </w:r>
      <w:r w:rsidR="004F6E76" w:rsidRPr="004F6E76">
        <w:rPr>
          <w:rFonts w:ascii="仿宋_GB2312" w:hint="eastAsia"/>
        </w:rPr>
        <w:t>高水平完成“十四五”规划纲要编制，明确“十四五”发展的战略思路、任务和布局，全力破解关系全局和长远发展的重大问题；高质量完成</w:t>
      </w:r>
      <w:r w:rsidR="00E27833">
        <w:rPr>
          <w:rFonts w:ascii="仿宋_GB2312" w:hint="eastAsia"/>
        </w:rPr>
        <w:t>盐田区打造全球海洋中心城市核心区策略研究课题</w:t>
      </w:r>
      <w:r w:rsidR="004F6E76" w:rsidRPr="004F6E76">
        <w:rPr>
          <w:rFonts w:ascii="仿宋_GB2312" w:hint="eastAsia"/>
        </w:rPr>
        <w:t>，为区委区政府决策提供参考。</w:t>
      </w:r>
    </w:p>
    <w:p w:rsidR="00742EA2" w:rsidRDefault="00B25853" w:rsidP="00C766E6">
      <w:pPr>
        <w:spacing w:line="560" w:lineRule="exact"/>
        <w:ind w:firstLineChars="200" w:firstLine="600"/>
        <w:rPr>
          <w:rFonts w:ascii="黑体" w:eastAsia="黑体" w:hAnsi="黑体"/>
        </w:rPr>
      </w:pPr>
      <w:r>
        <w:rPr>
          <w:rFonts w:ascii="黑体" w:eastAsia="黑体" w:hAnsi="黑体" w:hint="eastAsia"/>
        </w:rPr>
        <w:t>二、绩效评价工作开展情况</w:t>
      </w:r>
    </w:p>
    <w:p w:rsidR="00742EA2" w:rsidRDefault="00B25853" w:rsidP="00C766E6">
      <w:pPr>
        <w:spacing w:line="560" w:lineRule="exact"/>
        <w:ind w:firstLineChars="200" w:firstLine="600"/>
        <w:rPr>
          <w:rFonts w:ascii="仿宋_GB2312"/>
        </w:rPr>
      </w:pPr>
      <w:r>
        <w:rPr>
          <w:rFonts w:ascii="仿宋_GB2312" w:hint="eastAsia"/>
        </w:rPr>
        <w:t>（一）绩效评价目的、对象和范围。</w:t>
      </w:r>
    </w:p>
    <w:p w:rsidR="00F44BF0" w:rsidRDefault="00F44BF0" w:rsidP="00C766E6">
      <w:pPr>
        <w:spacing w:line="560" w:lineRule="exact"/>
        <w:ind w:firstLineChars="200" w:firstLine="600"/>
        <w:rPr>
          <w:rFonts w:ascii="仿宋_GB2312"/>
        </w:rPr>
      </w:pPr>
      <w:r>
        <w:rPr>
          <w:rFonts w:ascii="仿宋_GB2312" w:hint="eastAsia"/>
        </w:rPr>
        <w:t>绩效评价的目的主要是</w:t>
      </w:r>
      <w:r w:rsidRPr="00F44BF0">
        <w:rPr>
          <w:rFonts w:ascii="仿宋_GB2312" w:hint="eastAsia"/>
        </w:rPr>
        <w:t>树立正确政绩观，创新预算管理方式，突出绩效导向，落实主体责任，通过全方位、全过程、全覆盖实施预算绩效管理，实现预算和绩效管理一体化，着力提高财政资源配置效率和使用效益。</w:t>
      </w:r>
      <w:r>
        <w:rPr>
          <w:rFonts w:ascii="仿宋_GB2312" w:hint="eastAsia"/>
        </w:rPr>
        <w:t>绩效评价的对象是财政拨款的所有项目。</w:t>
      </w:r>
      <w:r w:rsidR="00A60EA4">
        <w:rPr>
          <w:rFonts w:ascii="仿宋_GB2312" w:hint="eastAsia"/>
          <w:bCs/>
          <w:sz w:val="32"/>
          <w:szCs w:val="32"/>
        </w:rPr>
        <w:t>部门</w:t>
      </w:r>
      <w:r w:rsidR="00A60EA4">
        <w:rPr>
          <w:rFonts w:ascii="仿宋_GB2312" w:hint="eastAsia"/>
          <w:bCs/>
          <w:sz w:val="32"/>
          <w:szCs w:val="32"/>
        </w:rPr>
        <w:lastRenderedPageBreak/>
        <w:t>评价对象根据</w:t>
      </w:r>
      <w:r w:rsidR="00A60EA4">
        <w:rPr>
          <w:rFonts w:ascii="仿宋_GB2312"/>
          <w:bCs/>
          <w:sz w:val="32"/>
          <w:szCs w:val="32"/>
        </w:rPr>
        <w:t>工作需要</w:t>
      </w:r>
      <w:r w:rsidR="00A60EA4">
        <w:rPr>
          <w:rFonts w:ascii="仿宋_GB2312" w:hint="eastAsia"/>
          <w:bCs/>
          <w:sz w:val="32"/>
          <w:szCs w:val="32"/>
        </w:rPr>
        <w:t>，选择本局履职的重大改革发展项目，本年度选择的项目是</w:t>
      </w:r>
      <w:r w:rsidR="00A60EA4">
        <w:rPr>
          <w:rFonts w:ascii="仿宋_GB2312" w:hint="eastAsia"/>
        </w:rPr>
        <w:t>专题调研综合改革工作经费。</w:t>
      </w:r>
    </w:p>
    <w:p w:rsidR="00742EA2" w:rsidRDefault="00B25853" w:rsidP="00C766E6">
      <w:pPr>
        <w:spacing w:line="560" w:lineRule="exact"/>
        <w:ind w:firstLineChars="200" w:firstLine="600"/>
        <w:rPr>
          <w:rFonts w:ascii="仿宋_GB2312"/>
        </w:rPr>
      </w:pPr>
      <w:r>
        <w:rPr>
          <w:rFonts w:ascii="仿宋_GB2312" w:hint="eastAsia"/>
        </w:rPr>
        <w:t>（二）绩效评价原则、评价指标体系（</w:t>
      </w:r>
      <w:r w:rsidR="00EC2F3B">
        <w:rPr>
          <w:rFonts w:ascii="仿宋_GB2312" w:hint="eastAsia"/>
        </w:rPr>
        <w:t>见附表</w:t>
      </w:r>
      <w:r>
        <w:rPr>
          <w:rFonts w:ascii="仿宋_GB2312" w:hint="eastAsia"/>
        </w:rPr>
        <w:t>）、评价方法、评价标准等。</w:t>
      </w:r>
    </w:p>
    <w:p w:rsidR="00EC2F3B" w:rsidRPr="00EC2F3B" w:rsidRDefault="00EC2F3B" w:rsidP="00C766E6">
      <w:pPr>
        <w:spacing w:line="560" w:lineRule="exact"/>
        <w:ind w:firstLineChars="200" w:firstLine="600"/>
        <w:rPr>
          <w:rFonts w:ascii="仿宋_GB2312"/>
          <w:bCs/>
        </w:rPr>
      </w:pPr>
      <w:r>
        <w:rPr>
          <w:rFonts w:ascii="仿宋_GB2312" w:hint="eastAsia"/>
          <w:bCs/>
        </w:rPr>
        <w:t>绩效评价原则主要有：</w:t>
      </w:r>
      <w:r w:rsidRPr="00EC2F3B">
        <w:rPr>
          <w:rFonts w:ascii="仿宋_GB2312" w:hint="eastAsia"/>
          <w:bCs/>
        </w:rPr>
        <w:t>科学公正。绩效评价应当运用科学合理的方法，按照规范的程序，对项目绩效进行客观、公正的反映。统筹兼顾。单位自评、部门评价和财政评价应职责明确，各有侧重，相互衔接。单位自评应由项目单位自主实施，即“谁支出、谁自评”。部门评价和财政评价应在单位自评的基础上开展，必要时可委托第三方机构实施。激励约束。绩效评价结果应与预算安排、政策调整、改进管理实质性挂钩，体现奖优罚劣和激励相容导向，有效要安排、低效要压减、无效要问责。公开透明。绩效评价结果应依法依规公开，并自觉接受社会监督。</w:t>
      </w:r>
    </w:p>
    <w:p w:rsidR="00D63F17" w:rsidRDefault="00D63F17" w:rsidP="00C766E6">
      <w:pPr>
        <w:spacing w:line="560" w:lineRule="exact"/>
        <w:ind w:firstLine="640"/>
        <w:rPr>
          <w:rFonts w:ascii="仿宋_GB2312"/>
          <w:bCs/>
          <w:sz w:val="32"/>
          <w:szCs w:val="32"/>
        </w:rPr>
      </w:pPr>
      <w:r>
        <w:rPr>
          <w:rFonts w:ascii="仿宋_GB2312" w:hint="eastAsia"/>
        </w:rPr>
        <w:t>评价方法主要是</w:t>
      </w:r>
      <w:r>
        <w:rPr>
          <w:rFonts w:ascii="仿宋_GB2312" w:hint="eastAsia"/>
          <w:bCs/>
          <w:sz w:val="32"/>
          <w:szCs w:val="32"/>
        </w:rPr>
        <w:t>采用定量与定性评价相结合的比较法，总分由各项指标得分汇总形成。</w:t>
      </w:r>
    </w:p>
    <w:p w:rsidR="0032241F" w:rsidRPr="00D63F17" w:rsidRDefault="00D63F17" w:rsidP="00C766E6">
      <w:pPr>
        <w:spacing w:line="560" w:lineRule="exact"/>
        <w:ind w:firstLineChars="200" w:firstLine="640"/>
        <w:rPr>
          <w:rFonts w:ascii="仿宋_GB2312"/>
        </w:rPr>
      </w:pPr>
      <w:r>
        <w:rPr>
          <w:rFonts w:ascii="仿宋_GB2312" w:hint="eastAsia"/>
          <w:bCs/>
          <w:sz w:val="32"/>
          <w:szCs w:val="32"/>
        </w:rPr>
        <w:t>评价标准通常包括计划标准、行业标准、历史标准等，用于对绩效指标完成情况进行比较。</w:t>
      </w:r>
    </w:p>
    <w:p w:rsidR="00742EA2" w:rsidRDefault="00B25853" w:rsidP="00C766E6">
      <w:pPr>
        <w:spacing w:line="560" w:lineRule="exact"/>
        <w:ind w:firstLineChars="200" w:firstLine="600"/>
        <w:rPr>
          <w:rFonts w:ascii="仿宋_GB2312"/>
        </w:rPr>
      </w:pPr>
      <w:r>
        <w:rPr>
          <w:rFonts w:ascii="仿宋_GB2312" w:hint="eastAsia"/>
        </w:rPr>
        <w:t>（三）绩效评价工作过程。</w:t>
      </w:r>
    </w:p>
    <w:p w:rsidR="0032241F" w:rsidRPr="00D63F17" w:rsidRDefault="00D63F17" w:rsidP="00C766E6">
      <w:pPr>
        <w:spacing w:line="560" w:lineRule="exact"/>
        <w:ind w:firstLine="640"/>
        <w:rPr>
          <w:rFonts w:ascii="仿宋_GB2312"/>
          <w:bCs/>
          <w:sz w:val="32"/>
          <w:szCs w:val="32"/>
        </w:rPr>
      </w:pPr>
      <w:r>
        <w:rPr>
          <w:rFonts w:ascii="仿宋_GB2312" w:hint="eastAsia"/>
          <w:bCs/>
          <w:sz w:val="32"/>
          <w:szCs w:val="32"/>
        </w:rPr>
        <w:t>我局办公室负责制定本部门绩效评价办法，组织部门本级和所属单位开展自评工作，汇总自评结果，加强自评结果审核和应用；办公室具体组织实施部门评价工作，加强评价结果反馈和应用。积极配合财政评价工作，落实评价整改意见。</w:t>
      </w:r>
    </w:p>
    <w:p w:rsidR="00742EA2" w:rsidRDefault="00B25853" w:rsidP="00C766E6">
      <w:pPr>
        <w:spacing w:line="560" w:lineRule="exact"/>
        <w:ind w:firstLineChars="200" w:firstLine="600"/>
        <w:rPr>
          <w:rFonts w:ascii="仿宋_GB2312"/>
        </w:rPr>
      </w:pPr>
      <w:r>
        <w:rPr>
          <w:rFonts w:ascii="黑体" w:eastAsia="黑体" w:hAnsi="黑体" w:hint="eastAsia"/>
        </w:rPr>
        <w:t>三、综合评价情况及评价结论</w:t>
      </w:r>
    </w:p>
    <w:p w:rsidR="00EC2F3B" w:rsidRDefault="00AF168C" w:rsidP="00C766E6">
      <w:pPr>
        <w:spacing w:line="560" w:lineRule="exact"/>
        <w:ind w:firstLineChars="200" w:firstLine="600"/>
        <w:rPr>
          <w:rFonts w:ascii="仿宋_GB2312"/>
        </w:rPr>
      </w:pPr>
      <w:r>
        <w:rPr>
          <w:rFonts w:ascii="仿宋_GB2312" w:hint="eastAsia"/>
        </w:rPr>
        <w:lastRenderedPageBreak/>
        <w:t>综合评价得分为99.9分，本项目</w:t>
      </w:r>
      <w:r w:rsidRPr="00AF168C">
        <w:rPr>
          <w:rFonts w:ascii="仿宋_GB2312" w:hint="eastAsia"/>
        </w:rPr>
        <w:t>立项依据</w:t>
      </w:r>
      <w:r>
        <w:rPr>
          <w:rFonts w:ascii="仿宋_GB2312" w:hint="eastAsia"/>
        </w:rPr>
        <w:t>充分、</w:t>
      </w:r>
      <w:r w:rsidRPr="00AF168C">
        <w:rPr>
          <w:rFonts w:ascii="仿宋_GB2312" w:hint="eastAsia"/>
        </w:rPr>
        <w:t>立项程序</w:t>
      </w:r>
      <w:r>
        <w:rPr>
          <w:rFonts w:ascii="仿宋_GB2312" w:hint="eastAsia"/>
        </w:rPr>
        <w:t>规范、</w:t>
      </w:r>
      <w:r w:rsidRPr="00AF168C">
        <w:rPr>
          <w:rFonts w:ascii="仿宋_GB2312" w:hint="eastAsia"/>
        </w:rPr>
        <w:t>绩效目标</w:t>
      </w:r>
      <w:r>
        <w:rPr>
          <w:rFonts w:ascii="仿宋_GB2312" w:hint="eastAsia"/>
        </w:rPr>
        <w:t>设置合理、</w:t>
      </w:r>
      <w:r w:rsidRPr="00AF168C">
        <w:rPr>
          <w:rFonts w:ascii="仿宋_GB2312" w:hint="eastAsia"/>
        </w:rPr>
        <w:t>绩效指标</w:t>
      </w:r>
      <w:r>
        <w:rPr>
          <w:rFonts w:ascii="仿宋_GB2312" w:hint="eastAsia"/>
        </w:rPr>
        <w:t>明确、</w:t>
      </w:r>
      <w:r w:rsidRPr="00AF168C">
        <w:rPr>
          <w:rFonts w:ascii="仿宋_GB2312" w:hint="eastAsia"/>
        </w:rPr>
        <w:t>预算编制</w:t>
      </w:r>
      <w:r>
        <w:rPr>
          <w:rFonts w:ascii="仿宋_GB2312" w:hint="eastAsia"/>
        </w:rPr>
        <w:t>科学、</w:t>
      </w:r>
      <w:r w:rsidRPr="00AF168C">
        <w:rPr>
          <w:rFonts w:ascii="仿宋_GB2312" w:hint="eastAsia"/>
        </w:rPr>
        <w:t>资金分配</w:t>
      </w:r>
      <w:r>
        <w:rPr>
          <w:rFonts w:ascii="仿宋_GB2312" w:hint="eastAsia"/>
        </w:rPr>
        <w:t>合理、</w:t>
      </w:r>
      <w:r w:rsidRPr="00AF168C">
        <w:rPr>
          <w:rFonts w:ascii="仿宋_GB2312" w:hint="eastAsia"/>
        </w:rPr>
        <w:t>资金到位率</w:t>
      </w:r>
      <w:r>
        <w:rPr>
          <w:rFonts w:ascii="仿宋_GB2312" w:hint="eastAsia"/>
        </w:rPr>
        <w:t>为100%、</w:t>
      </w:r>
      <w:r w:rsidRPr="00AF168C">
        <w:rPr>
          <w:rFonts w:ascii="仿宋_GB2312" w:hint="eastAsia"/>
        </w:rPr>
        <w:t>预算执行率</w:t>
      </w:r>
      <w:r>
        <w:rPr>
          <w:rFonts w:ascii="仿宋_GB2312" w:hint="eastAsia"/>
        </w:rPr>
        <w:t>为99.9%、</w:t>
      </w:r>
      <w:r w:rsidRPr="00AF168C">
        <w:rPr>
          <w:rFonts w:ascii="仿宋_GB2312" w:hint="eastAsia"/>
        </w:rPr>
        <w:t>资金使用</w:t>
      </w:r>
      <w:r>
        <w:rPr>
          <w:rFonts w:ascii="仿宋_GB2312" w:hint="eastAsia"/>
        </w:rPr>
        <w:t>合规、</w:t>
      </w:r>
      <w:r w:rsidRPr="00AF168C">
        <w:rPr>
          <w:rFonts w:ascii="仿宋_GB2312" w:hint="eastAsia"/>
        </w:rPr>
        <w:t>管理制度</w:t>
      </w:r>
      <w:r>
        <w:rPr>
          <w:rFonts w:ascii="仿宋_GB2312" w:hint="eastAsia"/>
        </w:rPr>
        <w:t>健全、</w:t>
      </w:r>
      <w:r w:rsidRPr="00AF168C">
        <w:rPr>
          <w:rFonts w:ascii="仿宋_GB2312" w:hint="eastAsia"/>
        </w:rPr>
        <w:t>制度执行</w:t>
      </w:r>
      <w:r>
        <w:rPr>
          <w:rFonts w:ascii="仿宋_GB2312" w:hint="eastAsia"/>
        </w:rPr>
        <w:t>有效、</w:t>
      </w:r>
      <w:r w:rsidRPr="00AF168C">
        <w:rPr>
          <w:rFonts w:ascii="仿宋_GB2312" w:hint="eastAsia"/>
        </w:rPr>
        <w:t>实际完成率</w:t>
      </w:r>
      <w:r>
        <w:rPr>
          <w:rFonts w:ascii="仿宋_GB2312" w:hint="eastAsia"/>
        </w:rPr>
        <w:t>和</w:t>
      </w:r>
      <w:r w:rsidRPr="00AF168C">
        <w:rPr>
          <w:rFonts w:ascii="仿宋_GB2312" w:hint="eastAsia"/>
        </w:rPr>
        <w:t>质量达标率</w:t>
      </w:r>
      <w:r>
        <w:rPr>
          <w:rFonts w:ascii="仿宋_GB2312" w:hint="eastAsia"/>
        </w:rPr>
        <w:t>均</w:t>
      </w:r>
      <w:r w:rsidRPr="00AF168C">
        <w:rPr>
          <w:rFonts w:ascii="仿宋_GB2312" w:hint="eastAsia"/>
        </w:rPr>
        <w:t>完成</w:t>
      </w:r>
      <w:r>
        <w:rPr>
          <w:rFonts w:ascii="仿宋_GB2312" w:hint="eastAsia"/>
        </w:rPr>
        <w:t>目标、</w:t>
      </w:r>
      <w:r w:rsidRPr="00AF168C">
        <w:rPr>
          <w:rFonts w:ascii="仿宋_GB2312" w:hint="eastAsia"/>
        </w:rPr>
        <w:t>满意度</w:t>
      </w:r>
      <w:r>
        <w:rPr>
          <w:rFonts w:ascii="仿宋_GB2312" w:hint="eastAsia"/>
        </w:rPr>
        <w:t>大于90%。</w:t>
      </w:r>
      <w:r w:rsidR="001F5402">
        <w:rPr>
          <w:rFonts w:ascii="仿宋_GB2312" w:hint="eastAsia"/>
        </w:rPr>
        <w:t>（详情见附表）</w:t>
      </w:r>
    </w:p>
    <w:p w:rsidR="00742EA2" w:rsidRDefault="00B25853" w:rsidP="00C766E6">
      <w:pPr>
        <w:spacing w:line="560" w:lineRule="exact"/>
        <w:ind w:firstLineChars="200" w:firstLine="600"/>
        <w:rPr>
          <w:rFonts w:ascii="黑体" w:eastAsia="黑体" w:hAnsi="黑体"/>
        </w:rPr>
      </w:pPr>
      <w:r>
        <w:rPr>
          <w:rFonts w:ascii="黑体" w:eastAsia="黑体" w:hAnsi="黑体" w:hint="eastAsia"/>
        </w:rPr>
        <w:t>四、绩效评价指标分析</w:t>
      </w:r>
    </w:p>
    <w:p w:rsidR="006652C0" w:rsidRDefault="00B25853" w:rsidP="00C766E6">
      <w:pPr>
        <w:spacing w:line="560" w:lineRule="exact"/>
        <w:ind w:firstLineChars="200" w:firstLine="600"/>
        <w:outlineLvl w:val="0"/>
        <w:rPr>
          <w:rFonts w:ascii="仿宋_GB2312"/>
        </w:rPr>
      </w:pPr>
      <w:r>
        <w:rPr>
          <w:rFonts w:ascii="仿宋_GB2312" w:hint="eastAsia"/>
        </w:rPr>
        <w:t>（一）项目决策情况。</w:t>
      </w:r>
    </w:p>
    <w:p w:rsidR="006652C0" w:rsidRDefault="00B66FDC" w:rsidP="00C766E6">
      <w:pPr>
        <w:spacing w:line="560" w:lineRule="exact"/>
        <w:ind w:firstLineChars="200" w:firstLine="600"/>
        <w:outlineLvl w:val="0"/>
        <w:rPr>
          <w:rFonts w:ascii="仿宋_GB2312"/>
        </w:rPr>
      </w:pPr>
      <w:r>
        <w:rPr>
          <w:rFonts w:ascii="仿宋_GB2312" w:hint="eastAsia"/>
        </w:rPr>
        <w:t>立项</w:t>
      </w:r>
      <w:r w:rsidR="00DF4EE9">
        <w:rPr>
          <w:rFonts w:ascii="仿宋_GB2312" w:hint="eastAsia"/>
        </w:rPr>
        <w:t>必要性：</w:t>
      </w:r>
      <w:r w:rsidR="00DF4EE9" w:rsidRPr="00DF4EE9">
        <w:rPr>
          <w:rFonts w:ascii="仿宋_GB2312" w:hint="eastAsia"/>
        </w:rPr>
        <w:t>根据区委全面深化改革部署，紧扣当前发展实际，开展改革项目；编制“十四五”规划，是国家、省、市、区（县）各级政府必须完成的规定任务。对我区而言，未来五年是我区加快建成宜居宜业宜游的现代化国际化创新型滨海城区的关键时期，需要科学绘就发展蓝图，高水平编制“十四五”规划纲要；聚焦区委区政府中心工作，以“十四五”规划为契机，立足区发改局谋经济发展大局的职能，针对影响盐田经济发展的要害领域，高质量开展调查研究。</w:t>
      </w:r>
    </w:p>
    <w:p w:rsidR="006652C0" w:rsidRDefault="00B66FDC" w:rsidP="00C766E6">
      <w:pPr>
        <w:spacing w:line="560" w:lineRule="exact"/>
        <w:ind w:firstLineChars="200" w:firstLine="600"/>
        <w:outlineLvl w:val="0"/>
        <w:rPr>
          <w:rFonts w:ascii="仿宋_GB2312"/>
        </w:rPr>
      </w:pPr>
      <w:r>
        <w:rPr>
          <w:rFonts w:ascii="仿宋_GB2312" w:hint="eastAsia"/>
        </w:rPr>
        <w:t>项目</w:t>
      </w:r>
      <w:r w:rsidR="00DF4EE9">
        <w:rPr>
          <w:rFonts w:ascii="仿宋_GB2312" w:hint="eastAsia"/>
        </w:rPr>
        <w:t>依据：</w:t>
      </w:r>
      <w:r w:rsidR="00DF4EE9" w:rsidRPr="00DF4EE9">
        <w:rPr>
          <w:rFonts w:ascii="仿宋_GB2312" w:hint="eastAsia"/>
        </w:rPr>
        <w:t>按照省、市发改委部署，启动前期研究。当前我区政府财力有限，而区政府投资补短板、惠民生、稳增长的力度不减，急需拓宽资金来源；“十四五”为我区发展的关键时期，需要提前谋划发展思路。</w:t>
      </w:r>
    </w:p>
    <w:p w:rsidR="006652C0" w:rsidRDefault="00DF4EE9" w:rsidP="00C766E6">
      <w:pPr>
        <w:spacing w:line="560" w:lineRule="exact"/>
        <w:ind w:firstLineChars="200" w:firstLine="600"/>
        <w:outlineLvl w:val="0"/>
        <w:rPr>
          <w:rFonts w:ascii="仿宋_GB2312"/>
        </w:rPr>
      </w:pPr>
      <w:r>
        <w:rPr>
          <w:rFonts w:ascii="仿宋_GB2312" w:hint="eastAsia"/>
        </w:rPr>
        <w:t>项目概况</w:t>
      </w:r>
      <w:r w:rsidR="00B66FDC">
        <w:rPr>
          <w:rFonts w:ascii="仿宋_GB2312" w:hint="eastAsia"/>
        </w:rPr>
        <w:t>：</w:t>
      </w:r>
      <w:r w:rsidRPr="00DF4EE9">
        <w:rPr>
          <w:rFonts w:ascii="仿宋_GB2312" w:hint="eastAsia"/>
        </w:rPr>
        <w:t>按照国家、省、市部署，2020年为“十四五”规划编制之年，需要编制盐田区“十四五”规划纲要,我局统筹负责“十四五”规划的编制工作，具体负责编制“十四五”规划纲要；根据区委区政府工作部署，以“十四五”规划为契机，紧扣当前发展实</w:t>
      </w:r>
      <w:r w:rsidRPr="00DF4EE9">
        <w:rPr>
          <w:rFonts w:ascii="仿宋_GB2312" w:hint="eastAsia"/>
        </w:rPr>
        <w:lastRenderedPageBreak/>
        <w:t>际，开展调研课题。</w:t>
      </w:r>
    </w:p>
    <w:p w:rsidR="00742EA2" w:rsidRDefault="00B66FDC" w:rsidP="00C766E6">
      <w:pPr>
        <w:spacing w:line="560" w:lineRule="exact"/>
        <w:ind w:firstLineChars="200" w:firstLine="600"/>
        <w:outlineLvl w:val="0"/>
        <w:rPr>
          <w:rFonts w:ascii="仿宋_GB2312"/>
        </w:rPr>
      </w:pPr>
      <w:r>
        <w:rPr>
          <w:rFonts w:ascii="仿宋_GB2312" w:hint="eastAsia"/>
        </w:rPr>
        <w:t>项目</w:t>
      </w:r>
      <w:r w:rsidR="00DF4EE9">
        <w:rPr>
          <w:rFonts w:ascii="仿宋_GB2312" w:hint="eastAsia"/>
        </w:rPr>
        <w:t>可行性：</w:t>
      </w:r>
      <w:r w:rsidR="00DF4EE9" w:rsidRPr="00DF4EE9">
        <w:rPr>
          <w:rFonts w:ascii="仿宋_GB2312" w:hint="eastAsia"/>
        </w:rPr>
        <w:t>在编制完成盐田区“十三五”规划纲要、完成“十三五”规划纲要中期评估的基础上，按照市发改委统一部署，开展盐田区“十四五”规划纲要编制工作，既具备相应基础，也可获得市发改委支持指导；我局此前曾经开展多项调研课题，取得积极成果并获得区领导肯定，也是当好区领导参谋助手的有效抓手。</w:t>
      </w:r>
    </w:p>
    <w:p w:rsidR="00742EA2" w:rsidRDefault="00B25853" w:rsidP="00C766E6">
      <w:pPr>
        <w:spacing w:line="560" w:lineRule="exact"/>
        <w:ind w:firstLineChars="200" w:firstLine="600"/>
        <w:outlineLvl w:val="0"/>
        <w:rPr>
          <w:rFonts w:ascii="仿宋_GB2312"/>
        </w:rPr>
      </w:pPr>
      <w:r>
        <w:rPr>
          <w:rFonts w:ascii="仿宋_GB2312" w:hint="eastAsia"/>
        </w:rPr>
        <w:t>（二）项目过程情况。</w:t>
      </w:r>
      <w:r w:rsidR="00DA5F26">
        <w:rPr>
          <w:rFonts w:ascii="仿宋_GB2312" w:hint="eastAsia"/>
        </w:rPr>
        <w:t>专题调研综合改革工作经费由发展改革局综合科负责编制，纳入我局2020年度预算，于2019年底前完成。2020年1月份，</w:t>
      </w:r>
      <w:r w:rsidR="00450FBF">
        <w:rPr>
          <w:rFonts w:ascii="仿宋_GB2312" w:hint="eastAsia"/>
        </w:rPr>
        <w:t>资金到位及时，</w:t>
      </w:r>
      <w:r w:rsidR="00DA5F26">
        <w:rPr>
          <w:rFonts w:ascii="仿宋_GB2312" w:hint="eastAsia"/>
        </w:rPr>
        <w:t>财政局100%下达财政预算指标</w:t>
      </w:r>
      <w:r w:rsidR="00450FBF">
        <w:rPr>
          <w:rFonts w:ascii="仿宋_GB2312" w:hint="eastAsia"/>
        </w:rPr>
        <w:t>。</w:t>
      </w:r>
      <w:r w:rsidR="00DA5F26">
        <w:rPr>
          <w:rFonts w:ascii="仿宋_GB2312" w:hint="eastAsia"/>
        </w:rPr>
        <w:t>在年度预算执行中，均提前达到时序进度，资金使用严格按照我局财务管理制度要求，均经过局长办公会审议通过，并得到区领导认可，于2020年12月前达到支付率99.9%。</w:t>
      </w:r>
    </w:p>
    <w:p w:rsidR="007B34BA" w:rsidRPr="004B0983" w:rsidRDefault="00B25853" w:rsidP="00C766E6">
      <w:pPr>
        <w:spacing w:line="560" w:lineRule="exact"/>
        <w:ind w:firstLineChars="200" w:firstLine="600"/>
        <w:outlineLvl w:val="0"/>
        <w:rPr>
          <w:rFonts w:ascii="仿宋_GB2312"/>
        </w:rPr>
      </w:pPr>
      <w:r>
        <w:rPr>
          <w:rFonts w:ascii="仿宋_GB2312" w:hint="eastAsia"/>
        </w:rPr>
        <w:t>（三）项目产出情况。</w:t>
      </w:r>
      <w:r w:rsidR="004B0983">
        <w:rPr>
          <w:rFonts w:ascii="仿宋_GB2312" w:hint="eastAsia"/>
        </w:rPr>
        <w:t>高效编制《盐田区十四五规划》并完成《</w:t>
      </w:r>
      <w:r w:rsidR="004B0983" w:rsidRPr="004B0983">
        <w:rPr>
          <w:rFonts w:ascii="仿宋_GB2312"/>
        </w:rPr>
        <w:t>盐田区打造全球海洋中心城市核心区策略研究</w:t>
      </w:r>
      <w:r w:rsidR="004B0983">
        <w:rPr>
          <w:rFonts w:ascii="仿宋_GB2312" w:hint="eastAsia"/>
        </w:rPr>
        <w:t>》，</w:t>
      </w:r>
      <w:r w:rsidR="004B0983" w:rsidRPr="004F6E76">
        <w:rPr>
          <w:rFonts w:ascii="仿宋_GB2312" w:hint="eastAsia"/>
        </w:rPr>
        <w:t>明确“十四五”发展的战略思路、任务和布局，全力破解关系全局和长远发展的重大问题</w:t>
      </w:r>
      <w:r w:rsidR="004B0983">
        <w:rPr>
          <w:rFonts w:ascii="仿宋_GB2312" w:hint="eastAsia"/>
        </w:rPr>
        <w:t>。</w:t>
      </w:r>
    </w:p>
    <w:p w:rsidR="00742EA2" w:rsidRDefault="00B25853" w:rsidP="00C766E6">
      <w:pPr>
        <w:spacing w:line="560" w:lineRule="exact"/>
        <w:ind w:firstLineChars="200" w:firstLine="600"/>
        <w:outlineLvl w:val="0"/>
        <w:rPr>
          <w:rFonts w:ascii="仿宋_GB2312"/>
        </w:rPr>
      </w:pPr>
      <w:r>
        <w:rPr>
          <w:rFonts w:ascii="仿宋_GB2312" w:hint="eastAsia"/>
        </w:rPr>
        <w:t>（四）项目效益情况。</w:t>
      </w:r>
      <w:r w:rsidR="004F2C08">
        <w:rPr>
          <w:rFonts w:ascii="仿宋_GB2312" w:hint="eastAsia"/>
        </w:rPr>
        <w:t>形成较为成熟的盐田区“十四五”规划纲要，</w:t>
      </w:r>
      <w:r w:rsidR="004F2C08" w:rsidRPr="004F2C08">
        <w:rPr>
          <w:rFonts w:ascii="仿宋_GB2312" w:hint="eastAsia"/>
        </w:rPr>
        <w:t>为“十四五”期间全区经济社会可持续发展提供指引。</w:t>
      </w:r>
    </w:p>
    <w:p w:rsidR="00742EA2" w:rsidRDefault="00B25853" w:rsidP="00C766E6">
      <w:pPr>
        <w:spacing w:line="560" w:lineRule="exact"/>
        <w:ind w:firstLineChars="200" w:firstLine="600"/>
        <w:rPr>
          <w:rFonts w:ascii="黑体" w:eastAsia="黑体" w:hAnsi="黑体"/>
        </w:rPr>
      </w:pPr>
      <w:r>
        <w:rPr>
          <w:rFonts w:ascii="黑体" w:eastAsia="黑体" w:hAnsi="黑体" w:hint="eastAsia"/>
        </w:rPr>
        <w:t>五、主要经验及做法</w:t>
      </w:r>
    </w:p>
    <w:p w:rsidR="00365A05" w:rsidRDefault="00365A05" w:rsidP="00C766E6">
      <w:pPr>
        <w:spacing w:line="560" w:lineRule="exact"/>
        <w:ind w:firstLineChars="200" w:firstLine="600"/>
        <w:outlineLvl w:val="0"/>
        <w:rPr>
          <w:rFonts w:ascii="仿宋_GB2312"/>
        </w:rPr>
      </w:pPr>
      <w:r w:rsidRPr="00365A05">
        <w:rPr>
          <w:rFonts w:ascii="仿宋_GB2312"/>
        </w:rPr>
        <w:t>坚持目标导向。按照</w:t>
      </w:r>
      <w:r w:rsidRPr="00365A05">
        <w:rPr>
          <w:rFonts w:ascii="仿宋_GB2312"/>
        </w:rPr>
        <w:t>“</w:t>
      </w:r>
      <w:r w:rsidRPr="00365A05">
        <w:rPr>
          <w:rFonts w:ascii="仿宋_GB2312"/>
        </w:rPr>
        <w:t>谁申请资金、谁设置目标</w:t>
      </w:r>
      <w:r w:rsidRPr="00365A05">
        <w:rPr>
          <w:rFonts w:ascii="仿宋_GB2312"/>
        </w:rPr>
        <w:t>”</w:t>
      </w:r>
      <w:r w:rsidRPr="00365A05">
        <w:rPr>
          <w:rFonts w:ascii="仿宋_GB2312"/>
        </w:rPr>
        <w:t>的原则，要求</w:t>
      </w:r>
      <w:r>
        <w:rPr>
          <w:rFonts w:ascii="仿宋_GB2312" w:hint="eastAsia"/>
        </w:rPr>
        <w:t>科室</w:t>
      </w:r>
      <w:r w:rsidRPr="00365A05">
        <w:rPr>
          <w:rFonts w:ascii="仿宋_GB2312"/>
        </w:rPr>
        <w:t>在编制预算时，全面设置绩效目标，不断强化绩效管理主体责任。通过设定明确可衡量的绩效目标，使</w:t>
      </w:r>
      <w:r w:rsidR="004F7FD2">
        <w:rPr>
          <w:rFonts w:ascii="仿宋_GB2312" w:hint="eastAsia"/>
        </w:rPr>
        <w:t>科室</w:t>
      </w:r>
      <w:r>
        <w:rPr>
          <w:rFonts w:ascii="仿宋_GB2312"/>
        </w:rPr>
        <w:t>清楚了解财政支出效果与其支出责任，有效提升财政资金使用效益。</w:t>
      </w:r>
    </w:p>
    <w:p w:rsidR="00742EA2" w:rsidRDefault="00365A05" w:rsidP="00C766E6">
      <w:pPr>
        <w:spacing w:line="560" w:lineRule="exact"/>
        <w:ind w:firstLineChars="200" w:firstLine="600"/>
        <w:outlineLvl w:val="0"/>
        <w:rPr>
          <w:rFonts w:ascii="仿宋_GB2312"/>
        </w:rPr>
      </w:pPr>
      <w:r w:rsidRPr="00365A05">
        <w:rPr>
          <w:rFonts w:ascii="仿宋_GB2312"/>
        </w:rPr>
        <w:lastRenderedPageBreak/>
        <w:t>细化评价，强化结果运用。</w:t>
      </w:r>
      <w:r w:rsidR="004F7FD2">
        <w:rPr>
          <w:rFonts w:ascii="仿宋_GB2312"/>
        </w:rPr>
        <w:t>对</w:t>
      </w:r>
      <w:r w:rsidR="004F7FD2">
        <w:rPr>
          <w:rFonts w:ascii="仿宋_GB2312" w:hint="eastAsia"/>
        </w:rPr>
        <w:t>上年度已完成绩效项目评价的</w:t>
      </w:r>
      <w:r w:rsidRPr="00365A05">
        <w:rPr>
          <w:rFonts w:ascii="仿宋_GB2312"/>
        </w:rPr>
        <w:t>结果，</w:t>
      </w:r>
      <w:r w:rsidR="0055797B">
        <w:rPr>
          <w:rFonts w:ascii="仿宋_GB2312" w:hint="eastAsia"/>
        </w:rPr>
        <w:t>加强学习运用，提高</w:t>
      </w:r>
      <w:r w:rsidRPr="00365A05">
        <w:rPr>
          <w:rFonts w:ascii="仿宋_GB2312"/>
        </w:rPr>
        <w:t>项目绩效目标的可行性和资金使用的安全性。</w:t>
      </w:r>
    </w:p>
    <w:p w:rsidR="00742EA2" w:rsidRDefault="00B25853" w:rsidP="00C766E6">
      <w:pPr>
        <w:spacing w:line="560" w:lineRule="exact"/>
        <w:ind w:firstLineChars="200" w:firstLine="600"/>
        <w:outlineLvl w:val="0"/>
        <w:rPr>
          <w:rFonts w:ascii="黑体" w:eastAsia="黑体" w:hAnsi="黑体"/>
        </w:rPr>
      </w:pPr>
      <w:r>
        <w:rPr>
          <w:rFonts w:ascii="黑体" w:eastAsia="黑体" w:hAnsi="黑体" w:hint="eastAsia"/>
        </w:rPr>
        <w:t>六、存在的问题及原因分析</w:t>
      </w:r>
    </w:p>
    <w:p w:rsidR="00742EA2" w:rsidRDefault="00073DFC" w:rsidP="00C766E6">
      <w:pPr>
        <w:spacing w:line="560" w:lineRule="exact"/>
        <w:ind w:firstLineChars="200" w:firstLine="600"/>
        <w:rPr>
          <w:rFonts w:ascii="仿宋_GB2312"/>
        </w:rPr>
      </w:pPr>
      <w:r>
        <w:rPr>
          <w:rFonts w:ascii="仿宋_GB2312" w:hint="eastAsia"/>
        </w:rPr>
        <w:t>部分项目</w:t>
      </w:r>
      <w:r w:rsidRPr="00073DFC">
        <w:rPr>
          <w:rFonts w:ascii="仿宋_GB2312" w:hint="eastAsia"/>
        </w:rPr>
        <w:t>不能通过绩效评价有效检视部门落实政策、履行职能和使用财政资金的成效和问题，预算部门绩效评价主体责任未能有效落实。</w:t>
      </w:r>
    </w:p>
    <w:p w:rsidR="00742EA2" w:rsidRDefault="00B25853" w:rsidP="00C766E6">
      <w:pPr>
        <w:spacing w:line="560" w:lineRule="exact"/>
        <w:ind w:firstLineChars="200" w:firstLine="600"/>
        <w:rPr>
          <w:rFonts w:ascii="黑体" w:eastAsia="黑体" w:hAnsi="黑体"/>
        </w:rPr>
      </w:pPr>
      <w:r>
        <w:rPr>
          <w:rFonts w:ascii="黑体" w:eastAsia="黑体" w:hAnsi="黑体" w:hint="eastAsia"/>
        </w:rPr>
        <w:t>七、有关建议</w:t>
      </w:r>
    </w:p>
    <w:p w:rsidR="00742EA2" w:rsidRDefault="00073DFC" w:rsidP="00C766E6">
      <w:pPr>
        <w:spacing w:line="560" w:lineRule="exact"/>
      </w:pPr>
      <w:r>
        <w:rPr>
          <w:rFonts w:hint="eastAsia"/>
        </w:rPr>
        <w:t xml:space="preserve">     </w:t>
      </w:r>
      <w:r>
        <w:rPr>
          <w:rFonts w:hint="eastAsia"/>
        </w:rPr>
        <w:t>无。</w:t>
      </w:r>
    </w:p>
    <w:p w:rsidR="00742EA2" w:rsidRDefault="00742EA2" w:rsidP="00C766E6">
      <w:pPr>
        <w:spacing w:line="560" w:lineRule="exact"/>
        <w:rPr>
          <w:rFonts w:ascii="仿宋_GB2312"/>
          <w:bCs/>
          <w:sz w:val="32"/>
          <w:szCs w:val="32"/>
        </w:rPr>
      </w:pPr>
    </w:p>
    <w:p w:rsidR="00742EA2" w:rsidRDefault="00B25853">
      <w:pPr>
        <w:rPr>
          <w:rFonts w:ascii="黑体" w:hAnsi="黑体" w:cs="黑体"/>
          <w:color w:val="000000"/>
        </w:rPr>
        <w:sectPr w:rsidR="00742EA2">
          <w:pgSz w:w="11906" w:h="16838"/>
          <w:pgMar w:top="1928" w:right="1531" w:bottom="1701" w:left="1531" w:header="737" w:footer="851" w:gutter="0"/>
          <w:cols w:space="720"/>
          <w:docGrid w:type="lines" w:linePitch="408"/>
        </w:sectPr>
      </w:pPr>
      <w:r>
        <w:rPr>
          <w:rFonts w:ascii="黑体" w:hAnsi="黑体" w:cs="黑体" w:hint="eastAsia"/>
          <w:color w:val="000000"/>
        </w:rPr>
        <w:br w:type="page"/>
      </w:r>
    </w:p>
    <w:p w:rsidR="00742EA2" w:rsidRDefault="00742EA2">
      <w:pPr>
        <w:rPr>
          <w:rFonts w:ascii="黑体" w:hAnsi="黑体" w:cs="黑体"/>
          <w:color w:val="000000"/>
        </w:rPr>
      </w:pPr>
    </w:p>
    <w:p w:rsidR="00742EA2" w:rsidRDefault="00B25853">
      <w:pPr>
        <w:pStyle w:val="2"/>
        <w:spacing w:before="0" w:after="0" w:line="240" w:lineRule="auto"/>
        <w:rPr>
          <w:rFonts w:ascii="黑体" w:cs="黑体"/>
          <w:b w:val="0"/>
          <w:color w:val="000000"/>
        </w:rPr>
      </w:pPr>
      <w:r>
        <w:rPr>
          <w:rFonts w:ascii="黑体" w:hAnsi="黑体" w:cs="黑体" w:hint="eastAsia"/>
          <w:b w:val="0"/>
          <w:color w:val="000000"/>
        </w:rPr>
        <w:t>附件</w:t>
      </w:r>
    </w:p>
    <w:p w:rsidR="00742EA2" w:rsidRDefault="00B25853">
      <w:pPr>
        <w:pStyle w:val="2"/>
        <w:spacing w:before="0" w:after="0" w:line="240" w:lineRule="auto"/>
        <w:jc w:val="center"/>
        <w:rPr>
          <w:bCs/>
          <w:color w:val="000000"/>
        </w:rPr>
      </w:pPr>
      <w:r>
        <w:rPr>
          <w:rFonts w:ascii="宋体" w:eastAsia="宋体" w:hAnsi="宋体" w:cs="宋体" w:hint="eastAsia"/>
          <w:bCs/>
          <w:color w:val="000000"/>
          <w:sz w:val="36"/>
          <w:szCs w:val="28"/>
        </w:rPr>
        <w:t>项目支出绩效评价指标体系</w:t>
      </w:r>
    </w:p>
    <w:tbl>
      <w:tblPr>
        <w:tblW w:w="136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861"/>
        <w:gridCol w:w="1199"/>
        <w:gridCol w:w="1411"/>
        <w:gridCol w:w="2789"/>
        <w:gridCol w:w="7341"/>
      </w:tblGrid>
      <w:tr w:rsidR="00742EA2">
        <w:trPr>
          <w:trHeight w:val="692"/>
          <w:tblHeader/>
          <w:jc w:val="center"/>
        </w:trPr>
        <w:tc>
          <w:tcPr>
            <w:tcW w:w="86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一级指标</w:t>
            </w:r>
          </w:p>
        </w:tc>
        <w:tc>
          <w:tcPr>
            <w:tcW w:w="119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二级指标</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三级指标</w:t>
            </w:r>
          </w:p>
        </w:tc>
        <w:tc>
          <w:tcPr>
            <w:tcW w:w="278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指标解释</w:t>
            </w:r>
          </w:p>
        </w:tc>
        <w:tc>
          <w:tcPr>
            <w:tcW w:w="73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指标说明</w:t>
            </w:r>
          </w:p>
        </w:tc>
      </w:tr>
      <w:tr w:rsidR="00742EA2">
        <w:trPr>
          <w:trHeight w:val="2318"/>
          <w:jc w:val="center"/>
        </w:trPr>
        <w:tc>
          <w:tcPr>
            <w:tcW w:w="861"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决策　</w:t>
            </w:r>
          </w:p>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p w:rsidR="00742EA2" w:rsidRDefault="00B25853">
            <w:pPr>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项目立项　</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立项依据</w:t>
            </w:r>
          </w:p>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充分性</w:t>
            </w:r>
          </w:p>
        </w:tc>
        <w:tc>
          <w:tcPr>
            <w:tcW w:w="278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项目立项是否符合法律法规、相关政策、发展规划以及部门职责，用以反映和考核项目立项依据情况。</w:t>
            </w:r>
          </w:p>
        </w:tc>
        <w:tc>
          <w:tcPr>
            <w:tcW w:w="73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①项目立项是否符合国家法律法规、国民经济发展规划和相关政策；</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②项目立项是否符合行业发展规划和政策要求；</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③项目立项是否与部门职责范围相符，属于部门履职所需；</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④项目是否属于公共财政支持范围，是否符合中央、地方事权支出责任划分原则；</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⑤项目是否与相关部门同类项目或部门内部相关项目重复。</w:t>
            </w:r>
          </w:p>
        </w:tc>
      </w:tr>
      <w:tr w:rsidR="00742EA2">
        <w:trPr>
          <w:trHeight w:val="1640"/>
          <w:jc w:val="center"/>
        </w:trPr>
        <w:tc>
          <w:tcPr>
            <w:tcW w:w="86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spacing w:line="240" w:lineRule="atLeast"/>
              <w:jc w:val="center"/>
              <w:rPr>
                <w:rFonts w:ascii="宋体" w:eastAsia="宋体" w:hAnsi="宋体" w:cs="宋体"/>
                <w:color w:val="000000"/>
                <w:kern w:val="0"/>
                <w:sz w:val="22"/>
                <w:szCs w:val="22"/>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widowControl/>
              <w:spacing w:line="240" w:lineRule="atLeast"/>
              <w:jc w:val="center"/>
              <w:rPr>
                <w:rFonts w:ascii="宋体" w:eastAsia="宋体" w:hAnsi="宋体" w:cs="宋体"/>
                <w:color w:val="000000"/>
                <w:kern w:val="0"/>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立项程序</w:t>
            </w:r>
          </w:p>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规范性</w:t>
            </w:r>
          </w:p>
        </w:tc>
        <w:tc>
          <w:tcPr>
            <w:tcW w:w="278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项目申请、设立过程是否符合相关要求，用以反映和考核项目立项的规范情况。</w:t>
            </w:r>
          </w:p>
        </w:tc>
        <w:tc>
          <w:tcPr>
            <w:tcW w:w="73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①项目是否按照规定的程序申请设立；</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②审批文件、材料是否符合相关要求；</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③事前是否已经过必要的可行性研究、专家论证、风险评估、绩效评估、集体决策。</w:t>
            </w:r>
          </w:p>
        </w:tc>
      </w:tr>
      <w:tr w:rsidR="00742EA2">
        <w:trPr>
          <w:trHeight w:val="1919"/>
          <w:jc w:val="center"/>
        </w:trPr>
        <w:tc>
          <w:tcPr>
            <w:tcW w:w="86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spacing w:line="240" w:lineRule="atLeast"/>
              <w:jc w:val="center"/>
              <w:rPr>
                <w:rFonts w:ascii="宋体" w:eastAsia="宋体" w:hAnsi="宋体" w:cs="宋体"/>
                <w:color w:val="000000"/>
                <w:kern w:val="0"/>
                <w:sz w:val="22"/>
                <w:szCs w:val="22"/>
              </w:rPr>
            </w:pPr>
          </w:p>
        </w:tc>
        <w:tc>
          <w:tcPr>
            <w:tcW w:w="119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绩效目标　</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绩效目标</w:t>
            </w:r>
          </w:p>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合理性</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项目所设定的绩效目标是否依据充分，是否符合客观实际，用以反映和考核项目绩效目标与项目实施的相符情况。</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（如未设定预算绩效目标，也可考核其他工作任务目标）</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①项目是否有绩效目标；</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②项目绩效目标与实际工作内容是否具有相关性；</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③项目预期产出效益和效果是否符合正常的业绩水平；</w:t>
            </w:r>
          </w:p>
          <w:p w:rsidR="00742EA2" w:rsidRDefault="00B25853">
            <w:pPr>
              <w:widowControl/>
              <w:spacing w:line="240" w:lineRule="atLeas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④是否与预算确定的项目投资额或资金量相匹配。</w:t>
            </w:r>
          </w:p>
        </w:tc>
      </w:tr>
      <w:tr w:rsidR="00742EA2">
        <w:trPr>
          <w:trHeight w:val="1464"/>
          <w:jc w:val="center"/>
        </w:trPr>
        <w:tc>
          <w:tcPr>
            <w:tcW w:w="861"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决策　</w:t>
            </w:r>
          </w:p>
        </w:tc>
        <w:tc>
          <w:tcPr>
            <w:tcW w:w="119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绩效目标</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绩效指标</w:t>
            </w:r>
          </w:p>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明确性</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依据绩效目标设定的绩效指标是否清晰、细化、可衡量等，用以反映和考核项目绩效目标的明细化情况。</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①是否将项目绩效目标细化分解为具体的绩效指标；</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②是否通过清晰、可衡量的指标值予以体现；</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③是否与项目目标任务数或计划数相对应。</w:t>
            </w:r>
            <w:r>
              <w:rPr>
                <w:rFonts w:ascii="宋体" w:eastAsia="宋体" w:hAnsi="宋体" w:cs="宋体"/>
                <w:color w:val="000000"/>
                <w:kern w:val="0"/>
                <w:sz w:val="22"/>
                <w:szCs w:val="22"/>
              </w:rPr>
              <w:br/>
            </w:r>
          </w:p>
        </w:tc>
      </w:tr>
      <w:tr w:rsidR="00742EA2">
        <w:trPr>
          <w:trHeight w:val="1942"/>
          <w:jc w:val="center"/>
        </w:trPr>
        <w:tc>
          <w:tcPr>
            <w:tcW w:w="86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spacing w:line="240" w:lineRule="atLeast"/>
              <w:jc w:val="center"/>
              <w:rPr>
                <w:rFonts w:ascii="宋体" w:eastAsia="宋体" w:hAnsi="宋体" w:cs="宋体"/>
                <w:color w:val="000000"/>
                <w:kern w:val="0"/>
                <w:sz w:val="22"/>
                <w:szCs w:val="22"/>
              </w:rPr>
            </w:pP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资金投入</w:t>
            </w:r>
          </w:p>
          <w:p w:rsidR="00742EA2" w:rsidRDefault="00B25853">
            <w:pPr>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预算编制</w:t>
            </w:r>
          </w:p>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科学性</w:t>
            </w:r>
          </w:p>
        </w:tc>
        <w:tc>
          <w:tcPr>
            <w:tcW w:w="278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项目预算编制是否经过科学论证、有明确标准，资金额度与年度目标是否相适应，用以反映和考核项目预算编制的科学性、合理性情况。</w:t>
            </w:r>
            <w:bookmarkStart w:id="0" w:name="_GoBack"/>
            <w:bookmarkEnd w:id="0"/>
          </w:p>
        </w:tc>
        <w:tc>
          <w:tcPr>
            <w:tcW w:w="73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①预算编制是否经过科学论证；</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②预算内容与项目内容是否匹配；</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③预算额度测算依据是否充分，是否按照标准编制；</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④预算确定的项目投资额或资金量是否与工作任务相匹配。</w:t>
            </w:r>
          </w:p>
        </w:tc>
      </w:tr>
      <w:tr w:rsidR="00742EA2">
        <w:trPr>
          <w:trHeight w:val="1706"/>
          <w:jc w:val="center"/>
        </w:trPr>
        <w:tc>
          <w:tcPr>
            <w:tcW w:w="86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widowControl/>
              <w:spacing w:line="240" w:lineRule="atLeast"/>
              <w:jc w:val="center"/>
              <w:rPr>
                <w:rFonts w:ascii="宋体" w:eastAsia="宋体" w:hAnsi="宋体" w:cs="宋体"/>
                <w:color w:val="000000"/>
                <w:kern w:val="0"/>
                <w:sz w:val="22"/>
                <w:szCs w:val="22"/>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widowControl/>
              <w:spacing w:line="240" w:lineRule="atLeast"/>
              <w:jc w:val="center"/>
              <w:rPr>
                <w:rFonts w:ascii="宋体" w:eastAsia="宋体" w:hAnsi="宋体" w:cs="宋体"/>
                <w:color w:val="000000"/>
                <w:kern w:val="0"/>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资金分配</w:t>
            </w:r>
          </w:p>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合理性</w:t>
            </w:r>
          </w:p>
        </w:tc>
        <w:tc>
          <w:tcPr>
            <w:tcW w:w="278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项目预算资金分配是否有测算依据，与补助单位或地方实际是否相适应，用以反映和考核项目预算资金分配的科学性、合理性情况。</w:t>
            </w:r>
          </w:p>
        </w:tc>
        <w:tc>
          <w:tcPr>
            <w:tcW w:w="73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①预算资金分配依据是否充分，体现厉行节约从严从紧安排的导向；</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②资金分配额度是否合理，与项目单位或地方实际是否相适应。</w:t>
            </w:r>
          </w:p>
        </w:tc>
      </w:tr>
      <w:tr w:rsidR="00742EA2">
        <w:trPr>
          <w:trHeight w:val="1415"/>
          <w:jc w:val="center"/>
        </w:trPr>
        <w:tc>
          <w:tcPr>
            <w:tcW w:w="861"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过程</w:t>
            </w: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资金管理</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资金到位率</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实际到位资金与预算资金的比率，用以反映和考核资金落实情况对项目实施的总体保障程度。</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资金到位率</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（实际到位资金</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预算资金）×</w:t>
            </w:r>
            <w:r>
              <w:rPr>
                <w:rFonts w:ascii="宋体" w:eastAsia="宋体" w:hAnsi="宋体" w:cs="宋体"/>
                <w:color w:val="000000"/>
                <w:kern w:val="0"/>
                <w:sz w:val="22"/>
                <w:szCs w:val="22"/>
              </w:rPr>
              <w:t>100%</w:t>
            </w:r>
            <w:r>
              <w:rPr>
                <w:rFonts w:ascii="宋体" w:eastAsia="宋体" w:hAnsi="宋体" w:cs="宋体" w:hint="eastAsia"/>
                <w:color w:val="000000"/>
                <w:kern w:val="0"/>
                <w:sz w:val="22"/>
                <w:szCs w:val="22"/>
              </w:rPr>
              <w:t>。</w:t>
            </w:r>
          </w:p>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实际到位资金：一定时期（本年度或项目期）内落实到具体项目的资金。</w:t>
            </w:r>
          </w:p>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预算资金：一定时期（本年度或项目期）内预算安排到具体项目的资金。</w:t>
            </w:r>
          </w:p>
        </w:tc>
      </w:tr>
      <w:tr w:rsidR="00742EA2">
        <w:trPr>
          <w:trHeight w:val="1320"/>
          <w:jc w:val="center"/>
        </w:trPr>
        <w:tc>
          <w:tcPr>
            <w:tcW w:w="86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spacing w:line="240" w:lineRule="atLeast"/>
              <w:jc w:val="center"/>
              <w:rPr>
                <w:rFonts w:ascii="宋体" w:eastAsia="宋体" w:hAnsi="宋体" w:cs="宋体"/>
                <w:color w:val="000000"/>
                <w:kern w:val="0"/>
                <w:sz w:val="22"/>
                <w:szCs w:val="22"/>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spacing w:line="240" w:lineRule="atLeast"/>
              <w:jc w:val="center"/>
              <w:rPr>
                <w:rFonts w:ascii="宋体" w:eastAsia="宋体" w:hAnsi="宋体" w:cs="宋体"/>
                <w:color w:val="000000"/>
                <w:kern w:val="0"/>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278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项目预算资金是否按照计划执行，用以反映或考核项目预算执行情况。</w:t>
            </w:r>
          </w:p>
        </w:tc>
        <w:tc>
          <w:tcPr>
            <w:tcW w:w="73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（实际支出资金</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实际到位资金）×</w:t>
            </w:r>
            <w:r>
              <w:rPr>
                <w:rFonts w:ascii="宋体" w:eastAsia="宋体" w:hAnsi="宋体" w:cs="宋体"/>
                <w:color w:val="000000"/>
                <w:kern w:val="0"/>
                <w:sz w:val="22"/>
                <w:szCs w:val="22"/>
              </w:rPr>
              <w:t>100%</w:t>
            </w:r>
            <w:r>
              <w:rPr>
                <w:rFonts w:ascii="宋体" w:eastAsia="宋体" w:hAnsi="宋体" w:cs="宋体" w:hint="eastAsia"/>
                <w:color w:val="000000"/>
                <w:kern w:val="0"/>
                <w:sz w:val="22"/>
                <w:szCs w:val="22"/>
              </w:rPr>
              <w:t>。</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实际支出资金：一定时期（本年度或项目期）内项目实际拨付的资金。</w:t>
            </w:r>
          </w:p>
        </w:tc>
      </w:tr>
      <w:tr w:rsidR="00742EA2">
        <w:trPr>
          <w:trHeight w:val="2076"/>
          <w:jc w:val="center"/>
        </w:trPr>
        <w:tc>
          <w:tcPr>
            <w:tcW w:w="861"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p w:rsidR="00742EA2" w:rsidRDefault="00B25853">
            <w:pPr>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过程　</w:t>
            </w:r>
          </w:p>
        </w:tc>
        <w:tc>
          <w:tcPr>
            <w:tcW w:w="119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资金管理</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资金使用</w:t>
            </w:r>
          </w:p>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合规性</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项目资金使用是否符合相关的财务管理制度规定，用以反映和考核项目资金的规范运行情况。</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①是否符合国家财经法规和财务管理制度以及有关专项资金管理规程的规定；</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②资金的拨付是否有完整的审批程序和手续；</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③是否符合项目预算批复或合同规定的用途；</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④是否存在截留、挤占、挪用、虚列支出等情况。</w:t>
            </w:r>
          </w:p>
        </w:tc>
      </w:tr>
      <w:tr w:rsidR="00742EA2">
        <w:trPr>
          <w:trHeight w:val="1797"/>
          <w:jc w:val="center"/>
        </w:trPr>
        <w:tc>
          <w:tcPr>
            <w:tcW w:w="86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spacing w:line="240" w:lineRule="atLeast"/>
              <w:jc w:val="center"/>
              <w:rPr>
                <w:rFonts w:ascii="宋体" w:eastAsia="宋体" w:hAnsi="宋体" w:cs="宋体"/>
                <w:color w:val="000000"/>
                <w:kern w:val="0"/>
                <w:sz w:val="22"/>
                <w:szCs w:val="22"/>
              </w:rPr>
            </w:pP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组织实施</w:t>
            </w:r>
          </w:p>
          <w:p w:rsidR="00742EA2" w:rsidRDefault="00B25853">
            <w:pPr>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管理制度</w:t>
            </w:r>
          </w:p>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健全性</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项目实施单位的财务和业务管理制度是否健全，用以反映和考核财务和业务管理制度对项目顺利实施的保障情况。</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①是否已制定或具有相应的财务和业务管理制度；</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②财务和业务管理制度是否合法、合规、完整。</w:t>
            </w:r>
          </w:p>
        </w:tc>
      </w:tr>
      <w:tr w:rsidR="00742EA2">
        <w:trPr>
          <w:trHeight w:val="1769"/>
          <w:jc w:val="center"/>
        </w:trPr>
        <w:tc>
          <w:tcPr>
            <w:tcW w:w="86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widowControl/>
              <w:spacing w:line="240" w:lineRule="atLeast"/>
              <w:jc w:val="center"/>
              <w:rPr>
                <w:rFonts w:ascii="宋体" w:eastAsia="宋体" w:hAnsi="宋体" w:cs="宋体"/>
                <w:color w:val="000000"/>
                <w:kern w:val="0"/>
                <w:sz w:val="22"/>
                <w:szCs w:val="22"/>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widowControl/>
              <w:spacing w:line="240" w:lineRule="atLeast"/>
              <w:jc w:val="center"/>
              <w:rPr>
                <w:rFonts w:ascii="宋体" w:eastAsia="宋体" w:hAnsi="宋体" w:cs="宋体"/>
                <w:color w:val="000000"/>
                <w:kern w:val="0"/>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制度执行</w:t>
            </w:r>
          </w:p>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有效性</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项目实施是否符合相关管理规定，用以反映和考核相关管理制度的有效执行情况。</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评价要点：</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①是否遵守相关法律法规和相关管理规定；</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②项目调整及支出调整手续是否完备；</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③项目合同书、验收报告、技术鉴定等资料是否齐全并及时归档；</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④项目实施的人员条件、场地设备、信息支撑等是否落实到位。</w:t>
            </w:r>
          </w:p>
        </w:tc>
      </w:tr>
      <w:tr w:rsidR="00742EA2">
        <w:trPr>
          <w:trHeight w:val="1917"/>
          <w:jc w:val="center"/>
        </w:trPr>
        <w:tc>
          <w:tcPr>
            <w:tcW w:w="86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w:t>
            </w:r>
          </w:p>
        </w:tc>
        <w:tc>
          <w:tcPr>
            <w:tcW w:w="119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产出数量</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实际完成率</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项目实施的实际产出数与计划产出数的比率，用以反映和考核项目产出数量目标的实现程度。</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实际完成率</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（实际产出数</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计划产出数）×</w:t>
            </w:r>
            <w:r>
              <w:rPr>
                <w:rFonts w:ascii="宋体" w:eastAsia="宋体" w:hAnsi="宋体" w:cs="宋体"/>
                <w:color w:val="000000"/>
                <w:kern w:val="0"/>
                <w:sz w:val="22"/>
                <w:szCs w:val="22"/>
              </w:rPr>
              <w:t>100%</w:t>
            </w:r>
            <w:r>
              <w:rPr>
                <w:rFonts w:ascii="宋体" w:eastAsia="宋体" w:hAnsi="宋体" w:cs="宋体" w:hint="eastAsia"/>
                <w:color w:val="000000"/>
                <w:kern w:val="0"/>
                <w:sz w:val="22"/>
                <w:szCs w:val="22"/>
              </w:rPr>
              <w:t>。</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实际产出数：一定时期（本年度或项目期）内项目实际产出的产品或提供的服务数量。</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计划产出数：项目绩效目标确定的在一定时期（本年度或项目期）内计划产出的产品或提供的服务数量。</w:t>
            </w:r>
          </w:p>
        </w:tc>
      </w:tr>
      <w:tr w:rsidR="00742EA2">
        <w:trPr>
          <w:trHeight w:val="1718"/>
          <w:jc w:val="center"/>
        </w:trPr>
        <w:tc>
          <w:tcPr>
            <w:tcW w:w="861"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w:t>
            </w:r>
          </w:p>
        </w:tc>
        <w:tc>
          <w:tcPr>
            <w:tcW w:w="119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产出质量</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质量达标率</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项目完成的质量达标产出数与实际产出数的比率，用以反映和考核项目产出质量目标的实现程度。</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质量达标率</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（质量达标产出数</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实际产出数）×</w:t>
            </w:r>
            <w:r>
              <w:rPr>
                <w:rFonts w:ascii="宋体" w:eastAsia="宋体" w:hAnsi="宋体" w:cs="宋体"/>
                <w:color w:val="000000"/>
                <w:kern w:val="0"/>
                <w:sz w:val="22"/>
                <w:szCs w:val="22"/>
              </w:rPr>
              <w:t>100%</w:t>
            </w:r>
            <w:r>
              <w:rPr>
                <w:rFonts w:ascii="宋体" w:eastAsia="宋体" w:hAnsi="宋体" w:cs="宋体" w:hint="eastAsia"/>
                <w:color w:val="000000"/>
                <w:kern w:val="0"/>
                <w:sz w:val="22"/>
                <w:szCs w:val="22"/>
              </w:rPr>
              <w:t>。</w:t>
            </w:r>
          </w:p>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rsidR="00742EA2">
        <w:trPr>
          <w:trHeight w:val="1506"/>
          <w:jc w:val="center"/>
        </w:trPr>
        <w:tc>
          <w:tcPr>
            <w:tcW w:w="86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spacing w:line="240" w:lineRule="atLeast"/>
              <w:jc w:val="center"/>
              <w:rPr>
                <w:rFonts w:ascii="宋体" w:eastAsia="宋体" w:hAnsi="宋体" w:cs="宋体"/>
                <w:color w:val="000000"/>
                <w:kern w:val="0"/>
                <w:sz w:val="22"/>
                <w:szCs w:val="22"/>
              </w:rPr>
            </w:pPr>
          </w:p>
        </w:tc>
        <w:tc>
          <w:tcPr>
            <w:tcW w:w="119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产出时效</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完成及时性</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项目实际完成时间与计划完成时间的比较，用以反映和考核项目产出时效目标的实现程度。</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实际完成时间：项目实施单位完成该项目实际所耗用的时间。</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计划完成时间：按照项目实施计划或相关规定完成该项目所需的时间。</w:t>
            </w:r>
          </w:p>
        </w:tc>
      </w:tr>
      <w:tr w:rsidR="00742EA2">
        <w:trPr>
          <w:trHeight w:val="2076"/>
          <w:jc w:val="center"/>
        </w:trPr>
        <w:tc>
          <w:tcPr>
            <w:tcW w:w="86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widowControl/>
              <w:spacing w:line="240" w:lineRule="atLeast"/>
              <w:jc w:val="center"/>
              <w:rPr>
                <w:rFonts w:ascii="宋体" w:eastAsia="宋体" w:hAnsi="宋体" w:cs="宋体"/>
                <w:color w:val="000000"/>
                <w:kern w:val="0"/>
                <w:sz w:val="22"/>
                <w:szCs w:val="22"/>
              </w:rPr>
            </w:pPr>
          </w:p>
        </w:tc>
        <w:tc>
          <w:tcPr>
            <w:tcW w:w="119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产出成本</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成本节约率</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完成项目计划工作目标的实际节约成本与计划成本的比率，用以反映和考核项目的成本节约程度。</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color w:val="000000"/>
                <w:kern w:val="0"/>
                <w:sz w:val="22"/>
                <w:szCs w:val="22"/>
              </w:rPr>
              <w:br/>
            </w:r>
            <w:r>
              <w:rPr>
                <w:rFonts w:ascii="宋体" w:eastAsia="宋体" w:hAnsi="宋体" w:cs="宋体" w:hint="eastAsia"/>
                <w:color w:val="000000"/>
                <w:kern w:val="0"/>
                <w:sz w:val="22"/>
                <w:szCs w:val="22"/>
              </w:rPr>
              <w:t>成本节约率</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（计划成本</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实际成本）</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计划成本</w:t>
            </w:r>
            <w:r>
              <w:rPr>
                <w:rFonts w:ascii="宋体" w:eastAsia="宋体" w:hAnsi="宋体" w:cs="宋体"/>
                <w:color w:val="000000"/>
                <w:kern w:val="0"/>
                <w:sz w:val="22"/>
                <w:szCs w:val="22"/>
              </w:rPr>
              <w:t>]</w:t>
            </w:r>
            <w:r>
              <w:rPr>
                <w:rFonts w:ascii="宋体" w:eastAsia="宋体" w:hAnsi="宋体" w:cs="宋体" w:hint="eastAsia"/>
                <w:color w:val="000000"/>
                <w:kern w:val="0"/>
                <w:sz w:val="22"/>
                <w:szCs w:val="22"/>
              </w:rPr>
              <w:t>×</w:t>
            </w:r>
            <w:r>
              <w:rPr>
                <w:rFonts w:ascii="宋体" w:eastAsia="宋体" w:hAnsi="宋体" w:cs="宋体"/>
                <w:color w:val="000000"/>
                <w:kern w:val="0"/>
                <w:sz w:val="22"/>
                <w:szCs w:val="22"/>
              </w:rPr>
              <w:t>100%</w:t>
            </w:r>
            <w:r>
              <w:rPr>
                <w:rFonts w:ascii="宋体" w:eastAsia="宋体" w:hAnsi="宋体" w:cs="宋体" w:hint="eastAsia"/>
                <w:color w:val="000000"/>
                <w:kern w:val="0"/>
                <w:sz w:val="22"/>
                <w:szCs w:val="22"/>
              </w:rPr>
              <w:t>。</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实际成本：项目实施单位如期、保质、保量完成既定工作目标实际所耗费的支出。</w:t>
            </w:r>
            <w:r>
              <w:rPr>
                <w:rFonts w:ascii="宋体" w:eastAsia="宋体" w:hAnsi="宋体" w:cs="宋体"/>
                <w:color w:val="000000"/>
                <w:kern w:val="0"/>
                <w:sz w:val="22"/>
                <w:szCs w:val="22"/>
              </w:rPr>
              <w:br/>
            </w:r>
            <w:r>
              <w:rPr>
                <w:rFonts w:ascii="宋体" w:eastAsia="宋体" w:hAnsi="宋体" w:cs="宋体" w:hint="eastAsia"/>
                <w:color w:val="000000"/>
                <w:kern w:val="0"/>
                <w:sz w:val="22"/>
                <w:szCs w:val="22"/>
              </w:rPr>
              <w:t>计划成本：项目实施单位为完成工作目标计划安排的支出，一般以项目预算为参考。</w:t>
            </w:r>
          </w:p>
        </w:tc>
      </w:tr>
      <w:tr w:rsidR="00742EA2">
        <w:trPr>
          <w:trHeight w:val="889"/>
          <w:jc w:val="center"/>
        </w:trPr>
        <w:tc>
          <w:tcPr>
            <w:tcW w:w="861"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效益　</w:t>
            </w: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项目效益　</w:t>
            </w: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实施效益</w:t>
            </w:r>
          </w:p>
        </w:tc>
        <w:tc>
          <w:tcPr>
            <w:tcW w:w="2789"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项目实施所产生的效益。</w:t>
            </w:r>
          </w:p>
        </w:tc>
        <w:tc>
          <w:tcPr>
            <w:tcW w:w="734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项目实施所产生的社会效益、经济效益、生态效益、可持续影响等。可根据项目实际情况有选择地设置和细化。</w:t>
            </w:r>
          </w:p>
        </w:tc>
      </w:tr>
      <w:tr w:rsidR="00742EA2">
        <w:trPr>
          <w:trHeight w:val="1137"/>
          <w:jc w:val="center"/>
        </w:trPr>
        <w:tc>
          <w:tcPr>
            <w:tcW w:w="861"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widowControl/>
              <w:spacing w:line="240" w:lineRule="atLeast"/>
              <w:jc w:val="center"/>
              <w:rPr>
                <w:rFonts w:ascii="宋体" w:eastAsia="宋体" w:hAnsi="宋体" w:cs="宋体"/>
                <w:color w:val="000000"/>
                <w:kern w:val="0"/>
                <w:sz w:val="22"/>
                <w:szCs w:val="22"/>
              </w:rPr>
            </w:pPr>
          </w:p>
        </w:tc>
        <w:tc>
          <w:tcPr>
            <w:tcW w:w="1199" w:type="dxa"/>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742EA2">
            <w:pPr>
              <w:widowControl/>
              <w:spacing w:line="240" w:lineRule="atLeast"/>
              <w:jc w:val="center"/>
              <w:rPr>
                <w:rFonts w:ascii="宋体" w:eastAsia="宋体" w:hAnsi="宋体" w:cs="宋体"/>
                <w:color w:val="000000"/>
                <w:kern w:val="0"/>
                <w:sz w:val="22"/>
                <w:szCs w:val="22"/>
              </w:rPr>
            </w:pPr>
          </w:p>
        </w:tc>
        <w:tc>
          <w:tcPr>
            <w:tcW w:w="1411"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42EA2" w:rsidRDefault="00B25853">
            <w:pPr>
              <w:widowControl/>
              <w:spacing w:line="240" w:lineRule="atLeast"/>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w:t>
            </w:r>
          </w:p>
        </w:tc>
        <w:tc>
          <w:tcPr>
            <w:tcW w:w="2789"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社会公众或服务对象对项目实施效果的满意程度。</w:t>
            </w:r>
          </w:p>
        </w:tc>
        <w:tc>
          <w:tcPr>
            <w:tcW w:w="7341"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742EA2" w:rsidRDefault="00B25853">
            <w:pPr>
              <w:widowControl/>
              <w:spacing w:line="240" w:lineRule="atLeas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社会公众或服务对象是指因该项目实施而受到影响的部门（单位）、群体或个人。一般采取社会调查的方式。</w:t>
            </w:r>
          </w:p>
        </w:tc>
      </w:tr>
    </w:tbl>
    <w:p w:rsidR="00742EA2" w:rsidRDefault="00742EA2"/>
    <w:p w:rsidR="00AF168C" w:rsidRDefault="00AF168C"/>
    <w:p w:rsidR="00AF168C" w:rsidRDefault="00AF168C"/>
    <w:p w:rsidR="00AF168C" w:rsidRDefault="00AF168C"/>
    <w:p w:rsidR="00AF168C" w:rsidRDefault="00AF168C"/>
    <w:tbl>
      <w:tblPr>
        <w:tblW w:w="5000" w:type="pct"/>
        <w:tblLook w:val="04A0"/>
      </w:tblPr>
      <w:tblGrid>
        <w:gridCol w:w="1097"/>
        <w:gridCol w:w="1137"/>
        <w:gridCol w:w="1134"/>
        <w:gridCol w:w="822"/>
        <w:gridCol w:w="896"/>
        <w:gridCol w:w="2438"/>
        <w:gridCol w:w="222"/>
        <w:gridCol w:w="1613"/>
        <w:gridCol w:w="1396"/>
        <w:gridCol w:w="514"/>
        <w:gridCol w:w="511"/>
        <w:gridCol w:w="411"/>
        <w:gridCol w:w="411"/>
        <w:gridCol w:w="843"/>
        <w:gridCol w:w="729"/>
      </w:tblGrid>
      <w:tr w:rsidR="00AF168C" w:rsidRPr="00AF168C" w:rsidTr="00AF168C">
        <w:trPr>
          <w:trHeight w:val="525"/>
        </w:trPr>
        <w:tc>
          <w:tcPr>
            <w:tcW w:w="5000" w:type="pct"/>
            <w:gridSpan w:val="15"/>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32"/>
                <w:szCs w:val="32"/>
              </w:rPr>
            </w:pPr>
            <w:r w:rsidRPr="00AF168C">
              <w:rPr>
                <w:rFonts w:ascii="宋体" w:eastAsia="宋体" w:hAnsi="宋体" w:cs="宋体" w:hint="eastAsia"/>
                <w:b/>
                <w:bCs/>
                <w:kern w:val="0"/>
                <w:sz w:val="32"/>
                <w:szCs w:val="32"/>
              </w:rPr>
              <w:lastRenderedPageBreak/>
              <w:t>2020年一般公共预算项目支出绩效自评表</w:t>
            </w:r>
          </w:p>
        </w:tc>
      </w:tr>
      <w:tr w:rsidR="00AF168C" w:rsidRPr="00AF168C" w:rsidTr="00AF168C">
        <w:trPr>
          <w:trHeight w:val="570"/>
        </w:trPr>
        <w:tc>
          <w:tcPr>
            <w:tcW w:w="1191" w:type="pct"/>
            <w:gridSpan w:val="3"/>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291"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317"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860"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72"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570"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493"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182"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181"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143"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143"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298"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c>
          <w:tcPr>
            <w:tcW w:w="259" w:type="pct"/>
            <w:tcBorders>
              <w:top w:val="nil"/>
              <w:left w:val="nil"/>
              <w:bottom w:val="nil"/>
              <w:right w:val="nil"/>
            </w:tcBorders>
            <w:shd w:val="clear" w:color="auto" w:fill="auto"/>
            <w:vAlign w:val="center"/>
            <w:hideMark/>
          </w:tcPr>
          <w:p w:rsidR="00AF168C" w:rsidRPr="00AF168C" w:rsidRDefault="00AF168C" w:rsidP="00AF168C">
            <w:pPr>
              <w:widowControl/>
              <w:jc w:val="center"/>
              <w:rPr>
                <w:rFonts w:ascii="宋体" w:eastAsia="宋体" w:hAnsi="宋体" w:cs="宋体"/>
                <w:kern w:val="0"/>
                <w:sz w:val="24"/>
              </w:rPr>
            </w:pPr>
          </w:p>
        </w:tc>
      </w:tr>
      <w:tr w:rsidR="00AF168C" w:rsidRPr="00AF168C" w:rsidTr="00AF168C">
        <w:trPr>
          <w:trHeight w:val="402"/>
        </w:trPr>
        <w:tc>
          <w:tcPr>
            <w:tcW w:w="7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项目名称</w:t>
            </w:r>
          </w:p>
        </w:tc>
        <w:tc>
          <w:tcPr>
            <w:tcW w:w="692"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left"/>
              <w:rPr>
                <w:rFonts w:ascii="仿宋_GB2312" w:hAnsi="宋体" w:cs="宋体"/>
                <w:kern w:val="0"/>
                <w:sz w:val="20"/>
                <w:szCs w:val="20"/>
              </w:rPr>
            </w:pPr>
            <w:r w:rsidRPr="00AF168C">
              <w:rPr>
                <w:rFonts w:ascii="仿宋_GB2312" w:hAnsi="宋体" w:cs="宋体" w:hint="eastAsia"/>
                <w:kern w:val="0"/>
                <w:sz w:val="20"/>
                <w:szCs w:val="20"/>
              </w:rPr>
              <w:t>专题调研综合改革工作经费</w:t>
            </w:r>
          </w:p>
        </w:tc>
        <w:tc>
          <w:tcPr>
            <w:tcW w:w="117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项目属性</w:t>
            </w:r>
          </w:p>
        </w:tc>
        <w:tc>
          <w:tcPr>
            <w:tcW w:w="642"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left"/>
              <w:rPr>
                <w:rFonts w:ascii="仿宋_GB2312" w:hAnsi="宋体" w:cs="宋体"/>
                <w:kern w:val="0"/>
                <w:sz w:val="20"/>
                <w:szCs w:val="20"/>
              </w:rPr>
            </w:pPr>
            <w:r w:rsidRPr="00AF168C">
              <w:rPr>
                <w:rFonts w:ascii="仿宋_GB2312" w:hAnsi="宋体" w:cs="宋体" w:hint="eastAsia"/>
                <w:kern w:val="0"/>
                <w:sz w:val="20"/>
                <w:szCs w:val="20"/>
              </w:rPr>
              <w:t>延续性</w:t>
            </w:r>
          </w:p>
        </w:tc>
        <w:tc>
          <w:tcPr>
            <w:tcW w:w="674"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项目周期</w:t>
            </w:r>
          </w:p>
        </w:tc>
        <w:tc>
          <w:tcPr>
            <w:tcW w:w="1024" w:type="pct"/>
            <w:gridSpan w:val="5"/>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right"/>
              <w:rPr>
                <w:rFonts w:ascii="仿宋_GB2312" w:hAnsi="宋体" w:cs="宋体"/>
                <w:kern w:val="0"/>
                <w:sz w:val="20"/>
                <w:szCs w:val="20"/>
              </w:rPr>
            </w:pPr>
            <w:r w:rsidRPr="00AF168C">
              <w:rPr>
                <w:rFonts w:ascii="仿宋_GB2312" w:hAnsi="宋体" w:cs="宋体" w:hint="eastAsia"/>
                <w:kern w:val="0"/>
                <w:sz w:val="20"/>
                <w:szCs w:val="20"/>
              </w:rPr>
              <w:t>1年</w:t>
            </w:r>
          </w:p>
        </w:tc>
      </w:tr>
      <w:tr w:rsidR="00AF168C" w:rsidRPr="00AF168C" w:rsidTr="00AF168C">
        <w:trPr>
          <w:trHeight w:val="402"/>
        </w:trPr>
        <w:tc>
          <w:tcPr>
            <w:tcW w:w="7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实施单位</w:t>
            </w:r>
          </w:p>
        </w:tc>
        <w:tc>
          <w:tcPr>
            <w:tcW w:w="692"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left"/>
              <w:rPr>
                <w:rFonts w:ascii="仿宋_GB2312" w:hAnsi="宋体" w:cs="宋体"/>
                <w:kern w:val="0"/>
                <w:sz w:val="20"/>
                <w:szCs w:val="20"/>
              </w:rPr>
            </w:pPr>
            <w:r w:rsidRPr="00AF168C">
              <w:rPr>
                <w:rFonts w:ascii="仿宋_GB2312" w:hAnsi="宋体" w:cs="宋体" w:hint="eastAsia"/>
                <w:kern w:val="0"/>
                <w:sz w:val="20"/>
                <w:szCs w:val="20"/>
              </w:rPr>
              <w:t>盐田区发展和改革局（区统计局）（部门本级）</w:t>
            </w:r>
          </w:p>
        </w:tc>
        <w:tc>
          <w:tcPr>
            <w:tcW w:w="117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项目联系人</w:t>
            </w:r>
          </w:p>
        </w:tc>
        <w:tc>
          <w:tcPr>
            <w:tcW w:w="642" w:type="pct"/>
            <w:gridSpan w:val="2"/>
            <w:tcBorders>
              <w:top w:val="single" w:sz="4" w:space="0" w:color="auto"/>
              <w:left w:val="nil"/>
              <w:bottom w:val="nil"/>
              <w:right w:val="single" w:sz="4" w:space="0" w:color="000000"/>
            </w:tcBorders>
            <w:shd w:val="clear" w:color="auto" w:fill="auto"/>
            <w:vAlign w:val="center"/>
            <w:hideMark/>
          </w:tcPr>
          <w:p w:rsidR="00AF168C" w:rsidRPr="00AF168C" w:rsidRDefault="00AF168C" w:rsidP="00AF168C">
            <w:pPr>
              <w:widowControl/>
              <w:jc w:val="left"/>
              <w:rPr>
                <w:rFonts w:ascii="仿宋_GB2312" w:hAnsi="宋体" w:cs="宋体"/>
                <w:kern w:val="0"/>
                <w:sz w:val="20"/>
                <w:szCs w:val="20"/>
              </w:rPr>
            </w:pPr>
            <w:r w:rsidRPr="00AF168C">
              <w:rPr>
                <w:rFonts w:ascii="仿宋_GB2312" w:hAnsi="宋体" w:cs="宋体" w:hint="eastAsia"/>
                <w:kern w:val="0"/>
                <w:sz w:val="20"/>
                <w:szCs w:val="20"/>
              </w:rPr>
              <w:t>李伟杰</w:t>
            </w:r>
          </w:p>
        </w:tc>
        <w:tc>
          <w:tcPr>
            <w:tcW w:w="674" w:type="pct"/>
            <w:gridSpan w:val="2"/>
            <w:tcBorders>
              <w:top w:val="single" w:sz="4" w:space="0" w:color="auto"/>
              <w:left w:val="nil"/>
              <w:bottom w:val="nil"/>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联系电话</w:t>
            </w:r>
          </w:p>
        </w:tc>
        <w:tc>
          <w:tcPr>
            <w:tcW w:w="1024" w:type="pct"/>
            <w:gridSpan w:val="5"/>
            <w:tcBorders>
              <w:top w:val="single" w:sz="4" w:space="0" w:color="auto"/>
              <w:left w:val="nil"/>
              <w:bottom w:val="nil"/>
              <w:right w:val="single" w:sz="4" w:space="0" w:color="auto"/>
            </w:tcBorders>
            <w:shd w:val="clear" w:color="auto" w:fill="auto"/>
            <w:vAlign w:val="center"/>
            <w:hideMark/>
          </w:tcPr>
          <w:p w:rsidR="00AF168C" w:rsidRPr="00AF168C" w:rsidRDefault="00AF168C" w:rsidP="00AF168C">
            <w:pPr>
              <w:widowControl/>
              <w:jc w:val="left"/>
              <w:rPr>
                <w:rFonts w:ascii="仿宋_GB2312" w:hAnsi="宋体" w:cs="宋体"/>
                <w:kern w:val="0"/>
                <w:sz w:val="20"/>
                <w:szCs w:val="20"/>
              </w:rPr>
            </w:pPr>
            <w:r w:rsidRPr="00AF168C">
              <w:rPr>
                <w:rFonts w:ascii="仿宋_GB2312" w:hAnsi="宋体" w:cs="宋体" w:hint="eastAsia"/>
                <w:kern w:val="0"/>
                <w:sz w:val="20"/>
                <w:szCs w:val="20"/>
              </w:rPr>
              <w:t>25228626</w:t>
            </w:r>
          </w:p>
        </w:tc>
      </w:tr>
      <w:tr w:rsidR="00AF168C" w:rsidRPr="00AF168C" w:rsidTr="00AF168C">
        <w:trPr>
          <w:trHeight w:val="540"/>
        </w:trPr>
        <w:tc>
          <w:tcPr>
            <w:tcW w:w="79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是否属于中央直达资金</w:t>
            </w:r>
          </w:p>
        </w:tc>
        <w:tc>
          <w:tcPr>
            <w:tcW w:w="692"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left"/>
              <w:rPr>
                <w:rFonts w:ascii="仿宋_GB2312" w:hAnsi="宋体" w:cs="宋体"/>
                <w:kern w:val="0"/>
                <w:sz w:val="20"/>
                <w:szCs w:val="20"/>
              </w:rPr>
            </w:pPr>
            <w:r w:rsidRPr="00AF168C">
              <w:rPr>
                <w:rFonts w:ascii="仿宋_GB2312" w:hAnsi="宋体" w:cs="宋体" w:hint="eastAsia"/>
                <w:kern w:val="0"/>
                <w:sz w:val="20"/>
                <w:szCs w:val="20"/>
              </w:rPr>
              <w:t>否</w:t>
            </w:r>
          </w:p>
        </w:tc>
        <w:tc>
          <w:tcPr>
            <w:tcW w:w="1178"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是否属于应对新冠肺炎疫情防控资金</w:t>
            </w:r>
          </w:p>
        </w:tc>
        <w:tc>
          <w:tcPr>
            <w:tcW w:w="642"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否</w:t>
            </w:r>
          </w:p>
        </w:tc>
        <w:tc>
          <w:tcPr>
            <w:tcW w:w="1698" w:type="pct"/>
            <w:gridSpan w:val="7"/>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 xml:space="preserve">　</w:t>
            </w:r>
          </w:p>
        </w:tc>
      </w:tr>
      <w:tr w:rsidR="00AF168C" w:rsidRPr="00AF168C" w:rsidTr="00AF168C">
        <w:trPr>
          <w:trHeight w:val="402"/>
        </w:trPr>
        <w:tc>
          <w:tcPr>
            <w:tcW w:w="79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项目资金</w:t>
            </w:r>
            <w:r w:rsidRPr="00AF168C">
              <w:rPr>
                <w:rFonts w:ascii="宋体" w:eastAsia="宋体" w:hAnsi="宋体" w:cs="宋体" w:hint="eastAsia"/>
                <w:b/>
                <w:bCs/>
                <w:kern w:val="0"/>
                <w:sz w:val="24"/>
              </w:rPr>
              <w:br/>
              <w:t>（元）</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仿宋_GB2312" w:hAnsi="宋体" w:cs="宋体"/>
                <w:kern w:val="0"/>
                <w:sz w:val="20"/>
                <w:szCs w:val="20"/>
                <w:u w:val="single"/>
              </w:rPr>
            </w:pPr>
            <w:r w:rsidRPr="00AF168C">
              <w:rPr>
                <w:rFonts w:ascii="仿宋_GB2312" w:hAnsi="宋体" w:cs="宋体" w:hint="eastAsia"/>
                <w:kern w:val="0"/>
                <w:sz w:val="20"/>
                <w:szCs w:val="20"/>
                <w:u w:val="single"/>
              </w:rPr>
              <w:t xml:space="preserve">　</w:t>
            </w:r>
          </w:p>
        </w:tc>
        <w:tc>
          <w:tcPr>
            <w:tcW w:w="117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年初预算数</w:t>
            </w:r>
          </w:p>
        </w:tc>
        <w:tc>
          <w:tcPr>
            <w:tcW w:w="642"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全年预算数</w:t>
            </w:r>
          </w:p>
        </w:tc>
        <w:tc>
          <w:tcPr>
            <w:tcW w:w="674" w:type="pct"/>
            <w:gridSpan w:val="2"/>
            <w:tcBorders>
              <w:top w:val="nil"/>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全年执行数</w:t>
            </w:r>
          </w:p>
        </w:tc>
        <w:tc>
          <w:tcPr>
            <w:tcW w:w="324" w:type="pct"/>
            <w:gridSpan w:val="2"/>
            <w:tcBorders>
              <w:top w:val="nil"/>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分值</w:t>
            </w:r>
          </w:p>
        </w:tc>
        <w:tc>
          <w:tcPr>
            <w:tcW w:w="441" w:type="pct"/>
            <w:gridSpan w:val="2"/>
            <w:tcBorders>
              <w:top w:val="nil"/>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执行率</w:t>
            </w:r>
          </w:p>
        </w:tc>
        <w:tc>
          <w:tcPr>
            <w:tcW w:w="259"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得分</w:t>
            </w:r>
          </w:p>
        </w:tc>
      </w:tr>
      <w:tr w:rsidR="00AF168C" w:rsidRPr="00AF168C" w:rsidTr="00AF168C">
        <w:trPr>
          <w:trHeight w:val="402"/>
        </w:trPr>
        <w:tc>
          <w:tcPr>
            <w:tcW w:w="790" w:type="pct"/>
            <w:gridSpan w:val="2"/>
            <w:vMerge/>
            <w:tcBorders>
              <w:top w:val="single" w:sz="4" w:space="0" w:color="auto"/>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年度资金总额</w:t>
            </w:r>
          </w:p>
        </w:tc>
        <w:tc>
          <w:tcPr>
            <w:tcW w:w="1178"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1,185,000.00</w:t>
            </w:r>
          </w:p>
        </w:tc>
        <w:tc>
          <w:tcPr>
            <w:tcW w:w="642"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1,185,000.00</w:t>
            </w:r>
          </w:p>
        </w:tc>
        <w:tc>
          <w:tcPr>
            <w:tcW w:w="674"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1,184,166.00</w:t>
            </w:r>
          </w:p>
        </w:tc>
        <w:tc>
          <w:tcPr>
            <w:tcW w:w="324"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10</w:t>
            </w:r>
          </w:p>
        </w:tc>
        <w:tc>
          <w:tcPr>
            <w:tcW w:w="441"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99.93%</w:t>
            </w:r>
          </w:p>
        </w:tc>
        <w:tc>
          <w:tcPr>
            <w:tcW w:w="259" w:type="pct"/>
            <w:tcBorders>
              <w:top w:val="nil"/>
              <w:left w:val="nil"/>
              <w:bottom w:val="single" w:sz="4" w:space="0" w:color="auto"/>
              <w:right w:val="single" w:sz="4" w:space="0" w:color="auto"/>
            </w:tcBorders>
            <w:shd w:val="clear" w:color="auto" w:fill="auto"/>
            <w:noWrap/>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9.99</w:t>
            </w:r>
          </w:p>
        </w:tc>
      </w:tr>
      <w:tr w:rsidR="00AF168C" w:rsidRPr="00AF168C" w:rsidTr="00AF168C">
        <w:trPr>
          <w:trHeight w:val="402"/>
        </w:trPr>
        <w:tc>
          <w:tcPr>
            <w:tcW w:w="790" w:type="pct"/>
            <w:gridSpan w:val="2"/>
            <w:vMerge/>
            <w:tcBorders>
              <w:top w:val="single" w:sz="4" w:space="0" w:color="auto"/>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其中：当年财政拨款</w:t>
            </w:r>
          </w:p>
        </w:tc>
        <w:tc>
          <w:tcPr>
            <w:tcW w:w="1178"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1,185,000.00</w:t>
            </w:r>
          </w:p>
        </w:tc>
        <w:tc>
          <w:tcPr>
            <w:tcW w:w="642"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1,185,000.00</w:t>
            </w:r>
          </w:p>
        </w:tc>
        <w:tc>
          <w:tcPr>
            <w:tcW w:w="674"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1,184,166.00</w:t>
            </w:r>
          </w:p>
        </w:tc>
        <w:tc>
          <w:tcPr>
            <w:tcW w:w="324"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w:t>
            </w:r>
          </w:p>
        </w:tc>
        <w:tc>
          <w:tcPr>
            <w:tcW w:w="441"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99.93%</w:t>
            </w:r>
          </w:p>
        </w:tc>
        <w:tc>
          <w:tcPr>
            <w:tcW w:w="259"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w:t>
            </w:r>
          </w:p>
        </w:tc>
      </w:tr>
      <w:tr w:rsidR="00AF168C" w:rsidRPr="00AF168C" w:rsidTr="00AF168C">
        <w:trPr>
          <w:trHeight w:val="402"/>
        </w:trPr>
        <w:tc>
          <w:tcPr>
            <w:tcW w:w="790" w:type="pct"/>
            <w:gridSpan w:val="2"/>
            <w:vMerge/>
            <w:tcBorders>
              <w:top w:val="single" w:sz="4" w:space="0" w:color="auto"/>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上年结转资金</w:t>
            </w:r>
          </w:p>
        </w:tc>
        <w:tc>
          <w:tcPr>
            <w:tcW w:w="1178"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0.00</w:t>
            </w:r>
          </w:p>
        </w:tc>
        <w:tc>
          <w:tcPr>
            <w:tcW w:w="642"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0.00</w:t>
            </w:r>
          </w:p>
        </w:tc>
        <w:tc>
          <w:tcPr>
            <w:tcW w:w="674"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0.00</w:t>
            </w:r>
          </w:p>
        </w:tc>
        <w:tc>
          <w:tcPr>
            <w:tcW w:w="324"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w:t>
            </w:r>
          </w:p>
        </w:tc>
        <w:tc>
          <w:tcPr>
            <w:tcW w:w="441"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0.00%</w:t>
            </w:r>
          </w:p>
        </w:tc>
        <w:tc>
          <w:tcPr>
            <w:tcW w:w="259"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w:t>
            </w:r>
          </w:p>
        </w:tc>
      </w:tr>
      <w:tr w:rsidR="00AF168C" w:rsidRPr="00AF168C" w:rsidTr="00AF168C">
        <w:trPr>
          <w:trHeight w:val="402"/>
        </w:trPr>
        <w:tc>
          <w:tcPr>
            <w:tcW w:w="790" w:type="pct"/>
            <w:gridSpan w:val="2"/>
            <w:vMerge/>
            <w:tcBorders>
              <w:top w:val="single" w:sz="4" w:space="0" w:color="auto"/>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其他资金</w:t>
            </w:r>
          </w:p>
        </w:tc>
        <w:tc>
          <w:tcPr>
            <w:tcW w:w="1178"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0.00</w:t>
            </w:r>
          </w:p>
        </w:tc>
        <w:tc>
          <w:tcPr>
            <w:tcW w:w="642"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0.00</w:t>
            </w:r>
          </w:p>
        </w:tc>
        <w:tc>
          <w:tcPr>
            <w:tcW w:w="674"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0.00</w:t>
            </w:r>
          </w:p>
        </w:tc>
        <w:tc>
          <w:tcPr>
            <w:tcW w:w="324"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w:t>
            </w:r>
          </w:p>
        </w:tc>
        <w:tc>
          <w:tcPr>
            <w:tcW w:w="441"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0.00%</w:t>
            </w:r>
          </w:p>
        </w:tc>
        <w:tc>
          <w:tcPr>
            <w:tcW w:w="259"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w:t>
            </w:r>
          </w:p>
        </w:tc>
      </w:tr>
      <w:tr w:rsidR="00AF168C" w:rsidRPr="00AF168C" w:rsidTr="00AF168C">
        <w:trPr>
          <w:trHeight w:val="600"/>
        </w:trPr>
        <w:tc>
          <w:tcPr>
            <w:tcW w:w="388" w:type="pct"/>
            <w:vMerge w:val="restart"/>
            <w:tcBorders>
              <w:top w:val="nil"/>
              <w:left w:val="single" w:sz="4" w:space="0" w:color="auto"/>
              <w:bottom w:val="single" w:sz="4" w:space="0" w:color="000000"/>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年度</w:t>
            </w:r>
            <w:r w:rsidRPr="00AF168C">
              <w:rPr>
                <w:rFonts w:ascii="宋体" w:eastAsia="宋体" w:hAnsi="宋体" w:cs="宋体" w:hint="eastAsia"/>
                <w:b/>
                <w:bCs/>
                <w:kern w:val="0"/>
                <w:sz w:val="24"/>
              </w:rPr>
              <w:br/>
              <w:t>总体目标</w:t>
            </w:r>
          </w:p>
        </w:tc>
        <w:tc>
          <w:tcPr>
            <w:tcW w:w="2913" w:type="pct"/>
            <w:gridSpan w:val="7"/>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预期目标</w:t>
            </w:r>
          </w:p>
        </w:tc>
        <w:tc>
          <w:tcPr>
            <w:tcW w:w="1698" w:type="pct"/>
            <w:gridSpan w:val="7"/>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实际完成情况</w:t>
            </w:r>
          </w:p>
        </w:tc>
      </w:tr>
      <w:tr w:rsidR="00AF168C" w:rsidRPr="00AF168C" w:rsidTr="00AF168C">
        <w:trPr>
          <w:trHeight w:val="600"/>
        </w:trPr>
        <w:tc>
          <w:tcPr>
            <w:tcW w:w="388" w:type="pct"/>
            <w:vMerge/>
            <w:tcBorders>
              <w:top w:val="nil"/>
              <w:left w:val="single" w:sz="4" w:space="0" w:color="auto"/>
              <w:bottom w:val="single" w:sz="4" w:space="0" w:color="000000"/>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2913" w:type="pct"/>
            <w:gridSpan w:val="7"/>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高水平编制“十四五”规划纲要，形成较为成熟的规划纲要；完成课题研究，形成课题研究报告。</w:t>
            </w:r>
          </w:p>
        </w:tc>
        <w:tc>
          <w:tcPr>
            <w:tcW w:w="1698" w:type="pct"/>
            <w:gridSpan w:val="7"/>
            <w:tcBorders>
              <w:top w:val="single" w:sz="4" w:space="0" w:color="auto"/>
              <w:left w:val="nil"/>
              <w:bottom w:val="nil"/>
              <w:right w:val="single" w:sz="4" w:space="0" w:color="auto"/>
            </w:tcBorders>
            <w:shd w:val="clear" w:color="auto" w:fill="auto"/>
            <w:vAlign w:val="center"/>
            <w:hideMark/>
          </w:tcPr>
          <w:p w:rsidR="00AF168C" w:rsidRPr="00AF168C" w:rsidRDefault="00AF168C" w:rsidP="00AF168C">
            <w:pPr>
              <w:widowControl/>
              <w:jc w:val="center"/>
              <w:rPr>
                <w:rFonts w:ascii="仿宋_GB2312" w:hAnsi="宋体" w:cs="宋体"/>
                <w:kern w:val="0"/>
                <w:sz w:val="20"/>
                <w:szCs w:val="20"/>
              </w:rPr>
            </w:pPr>
            <w:r w:rsidRPr="00AF168C">
              <w:rPr>
                <w:rFonts w:ascii="仿宋_GB2312" w:hAnsi="宋体" w:cs="宋体" w:hint="eastAsia"/>
                <w:kern w:val="0"/>
                <w:sz w:val="20"/>
                <w:szCs w:val="20"/>
              </w:rPr>
              <w:t>按要求高水平编制“十四五”规划纲要，形成较为成熟的规划纲要；完成课题研究，形成课题研究报告。</w:t>
            </w:r>
          </w:p>
        </w:tc>
      </w:tr>
      <w:tr w:rsidR="00AF168C" w:rsidRPr="00AF168C" w:rsidTr="00AF168C">
        <w:trPr>
          <w:trHeight w:val="630"/>
        </w:trPr>
        <w:tc>
          <w:tcPr>
            <w:tcW w:w="388" w:type="pct"/>
            <w:vMerge w:val="restart"/>
            <w:tcBorders>
              <w:top w:val="nil"/>
              <w:left w:val="single" w:sz="4" w:space="0" w:color="auto"/>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绩效指标</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一级指标</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二级指标</w:t>
            </w:r>
          </w:p>
        </w:tc>
        <w:tc>
          <w:tcPr>
            <w:tcW w:w="1541" w:type="pct"/>
            <w:gridSpan w:val="4"/>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指标内容</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年度</w:t>
            </w:r>
            <w:r w:rsidRPr="00AF168C">
              <w:rPr>
                <w:rFonts w:ascii="宋体" w:eastAsia="宋体" w:hAnsi="宋体" w:cs="宋体" w:hint="eastAsia"/>
                <w:b/>
                <w:bCs/>
                <w:kern w:val="0"/>
                <w:sz w:val="24"/>
              </w:rPr>
              <w:br/>
              <w:t>指标值</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实际完成值</w:t>
            </w:r>
          </w:p>
        </w:tc>
        <w:tc>
          <w:tcPr>
            <w:tcW w:w="363"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分值</w:t>
            </w:r>
          </w:p>
        </w:tc>
        <w:tc>
          <w:tcPr>
            <w:tcW w:w="285" w:type="pct"/>
            <w:gridSpan w:val="2"/>
            <w:tcBorders>
              <w:top w:val="single" w:sz="4" w:space="0" w:color="auto"/>
              <w:left w:val="nil"/>
              <w:bottom w:val="single" w:sz="4" w:space="0" w:color="auto"/>
              <w:right w:val="nil"/>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得分</w:t>
            </w:r>
          </w:p>
        </w:tc>
        <w:tc>
          <w:tcPr>
            <w:tcW w:w="5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偏差原因分析及改进措施</w:t>
            </w:r>
          </w:p>
        </w:tc>
      </w:tr>
      <w:tr w:rsidR="00AF168C" w:rsidRPr="00AF168C" w:rsidTr="00AF168C">
        <w:trPr>
          <w:trHeight w:val="480"/>
        </w:trPr>
        <w:tc>
          <w:tcPr>
            <w:tcW w:w="388"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产出指标（50分）</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数量指标</w:t>
            </w:r>
          </w:p>
        </w:tc>
        <w:tc>
          <w:tcPr>
            <w:tcW w:w="1541" w:type="pct"/>
            <w:gridSpan w:val="4"/>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形成较为成熟的盐田区“十四五”规划纲要。</w:t>
            </w:r>
          </w:p>
        </w:tc>
        <w:tc>
          <w:tcPr>
            <w:tcW w:w="570"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1份</w:t>
            </w:r>
          </w:p>
        </w:tc>
        <w:tc>
          <w:tcPr>
            <w:tcW w:w="493"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1份</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r>
      <w:tr w:rsidR="00AF168C" w:rsidRPr="00AF168C" w:rsidTr="00AF168C">
        <w:trPr>
          <w:trHeight w:val="480"/>
        </w:trPr>
        <w:tc>
          <w:tcPr>
            <w:tcW w:w="388"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1541" w:type="pct"/>
            <w:gridSpan w:val="4"/>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形成成熟的课题研究报告文本。</w:t>
            </w:r>
          </w:p>
        </w:tc>
        <w:tc>
          <w:tcPr>
            <w:tcW w:w="570"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1份</w:t>
            </w:r>
          </w:p>
        </w:tc>
        <w:tc>
          <w:tcPr>
            <w:tcW w:w="493"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1份</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r>
      <w:tr w:rsidR="00AF168C" w:rsidRPr="00AF168C" w:rsidTr="00AF168C">
        <w:trPr>
          <w:trHeight w:val="480"/>
        </w:trPr>
        <w:tc>
          <w:tcPr>
            <w:tcW w:w="388"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质量指标</w:t>
            </w:r>
          </w:p>
        </w:tc>
        <w:tc>
          <w:tcPr>
            <w:tcW w:w="1541" w:type="pct"/>
            <w:gridSpan w:val="4"/>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编制较为成熟的盐田区“十四五”规划纲要。</w:t>
            </w:r>
          </w:p>
        </w:tc>
        <w:tc>
          <w:tcPr>
            <w:tcW w:w="570"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w:t>
            </w:r>
          </w:p>
        </w:tc>
        <w:tc>
          <w:tcPr>
            <w:tcW w:w="493"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r>
      <w:tr w:rsidR="00AF168C" w:rsidRPr="00AF168C" w:rsidTr="00AF168C">
        <w:trPr>
          <w:trHeight w:val="480"/>
        </w:trPr>
        <w:tc>
          <w:tcPr>
            <w:tcW w:w="388"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1541" w:type="pct"/>
            <w:gridSpan w:val="4"/>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完成调研课题研究，形成课题报告文本。</w:t>
            </w:r>
          </w:p>
        </w:tc>
        <w:tc>
          <w:tcPr>
            <w:tcW w:w="570"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w:t>
            </w:r>
          </w:p>
        </w:tc>
        <w:tc>
          <w:tcPr>
            <w:tcW w:w="493"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r>
      <w:tr w:rsidR="00AF168C" w:rsidRPr="00AF168C" w:rsidTr="00AF168C">
        <w:trPr>
          <w:trHeight w:val="960"/>
        </w:trPr>
        <w:tc>
          <w:tcPr>
            <w:tcW w:w="388"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工作时效</w:t>
            </w:r>
          </w:p>
        </w:tc>
        <w:tc>
          <w:tcPr>
            <w:tcW w:w="1541" w:type="pct"/>
            <w:gridSpan w:val="4"/>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“十四五”规划纲要形成较为成熟的规划报告成果，课题研究在2020年形成最终成果。</w:t>
            </w:r>
          </w:p>
        </w:tc>
        <w:tc>
          <w:tcPr>
            <w:tcW w:w="570"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c>
          <w:tcPr>
            <w:tcW w:w="493"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按时完成</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r>
      <w:tr w:rsidR="00AF168C" w:rsidRPr="00AF168C" w:rsidTr="00AF168C">
        <w:trPr>
          <w:trHeight w:val="345"/>
        </w:trPr>
        <w:tc>
          <w:tcPr>
            <w:tcW w:w="388"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效益指标（30分）</w:t>
            </w:r>
          </w:p>
        </w:tc>
        <w:tc>
          <w:tcPr>
            <w:tcW w:w="401"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经济效益指标</w:t>
            </w:r>
          </w:p>
        </w:tc>
        <w:tc>
          <w:tcPr>
            <w:tcW w:w="1541" w:type="pct"/>
            <w:gridSpan w:val="4"/>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不适用</w:t>
            </w:r>
          </w:p>
        </w:tc>
        <w:tc>
          <w:tcPr>
            <w:tcW w:w="570"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c>
          <w:tcPr>
            <w:tcW w:w="493"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不适用</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0.00</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r>
      <w:tr w:rsidR="00AF168C" w:rsidRPr="00AF168C" w:rsidTr="00AF168C">
        <w:trPr>
          <w:trHeight w:val="480"/>
        </w:trPr>
        <w:tc>
          <w:tcPr>
            <w:tcW w:w="388"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社会效益指标</w:t>
            </w:r>
          </w:p>
        </w:tc>
        <w:tc>
          <w:tcPr>
            <w:tcW w:w="1541" w:type="pct"/>
            <w:gridSpan w:val="4"/>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编制形成较为成熟的盐田区“十四五”规划纲要</w:t>
            </w:r>
          </w:p>
        </w:tc>
        <w:tc>
          <w:tcPr>
            <w:tcW w:w="570"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有效提供指引</w:t>
            </w:r>
          </w:p>
        </w:tc>
        <w:tc>
          <w:tcPr>
            <w:tcW w:w="493"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有效提供指引</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15.00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15.00</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r>
      <w:tr w:rsidR="00AF168C" w:rsidRPr="00AF168C" w:rsidTr="00AF168C">
        <w:trPr>
          <w:trHeight w:val="345"/>
        </w:trPr>
        <w:tc>
          <w:tcPr>
            <w:tcW w:w="388"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生态效益指标</w:t>
            </w:r>
          </w:p>
        </w:tc>
        <w:tc>
          <w:tcPr>
            <w:tcW w:w="1541" w:type="pct"/>
            <w:gridSpan w:val="4"/>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不适用</w:t>
            </w:r>
          </w:p>
        </w:tc>
        <w:tc>
          <w:tcPr>
            <w:tcW w:w="570"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c>
          <w:tcPr>
            <w:tcW w:w="493"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不适用</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0.00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0.00</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r>
      <w:tr w:rsidR="00AF168C" w:rsidRPr="00AF168C" w:rsidTr="00AF168C">
        <w:trPr>
          <w:trHeight w:val="720"/>
        </w:trPr>
        <w:tc>
          <w:tcPr>
            <w:tcW w:w="388"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可持续影响</w:t>
            </w:r>
          </w:p>
        </w:tc>
        <w:tc>
          <w:tcPr>
            <w:tcW w:w="1541" w:type="pct"/>
            <w:gridSpan w:val="4"/>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为“十四五”期间全区经济社会可持续发展提供指引。</w:t>
            </w:r>
          </w:p>
        </w:tc>
        <w:tc>
          <w:tcPr>
            <w:tcW w:w="570"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有效提供指引</w:t>
            </w:r>
          </w:p>
        </w:tc>
        <w:tc>
          <w:tcPr>
            <w:tcW w:w="493"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有效提供指引</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15.00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15.00</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r>
      <w:tr w:rsidR="00AF168C" w:rsidRPr="00AF168C" w:rsidTr="00AF168C">
        <w:trPr>
          <w:trHeight w:val="345"/>
        </w:trPr>
        <w:tc>
          <w:tcPr>
            <w:tcW w:w="388" w:type="pct"/>
            <w:vMerge/>
            <w:tcBorders>
              <w:top w:val="nil"/>
              <w:left w:val="single" w:sz="4" w:space="0" w:color="auto"/>
              <w:bottom w:val="single" w:sz="4" w:space="0" w:color="auto"/>
              <w:right w:val="single" w:sz="4" w:space="0" w:color="auto"/>
            </w:tcBorders>
            <w:vAlign w:val="center"/>
            <w:hideMark/>
          </w:tcPr>
          <w:p w:rsidR="00AF168C" w:rsidRPr="00AF168C" w:rsidRDefault="00AF168C" w:rsidP="00AF168C">
            <w:pPr>
              <w:widowControl/>
              <w:jc w:val="left"/>
              <w:rPr>
                <w:rFonts w:ascii="宋体" w:eastAsia="宋体" w:hAnsi="宋体" w:cs="宋体"/>
                <w:b/>
                <w:bCs/>
                <w:kern w:val="0"/>
                <w:sz w:val="24"/>
              </w:rPr>
            </w:pPr>
          </w:p>
        </w:tc>
        <w:tc>
          <w:tcPr>
            <w:tcW w:w="401"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满意度指标（10分）</w:t>
            </w:r>
          </w:p>
        </w:tc>
        <w:tc>
          <w:tcPr>
            <w:tcW w:w="401"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服务对象满意度指标</w:t>
            </w:r>
          </w:p>
        </w:tc>
        <w:tc>
          <w:tcPr>
            <w:tcW w:w="1541" w:type="pct"/>
            <w:gridSpan w:val="4"/>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社会公众满意度</w:t>
            </w:r>
          </w:p>
        </w:tc>
        <w:tc>
          <w:tcPr>
            <w:tcW w:w="570"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≥90%</w:t>
            </w:r>
          </w:p>
        </w:tc>
        <w:tc>
          <w:tcPr>
            <w:tcW w:w="493" w:type="pct"/>
            <w:tcBorders>
              <w:top w:val="nil"/>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≥90%</w:t>
            </w:r>
          </w:p>
        </w:tc>
        <w:tc>
          <w:tcPr>
            <w:tcW w:w="363"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285"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10.00</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AF168C" w:rsidRPr="00AF168C" w:rsidRDefault="00AF168C" w:rsidP="00AF168C">
            <w:pPr>
              <w:widowControl/>
              <w:jc w:val="left"/>
              <w:rPr>
                <w:rFonts w:ascii="宋体" w:eastAsia="宋体" w:hAnsi="宋体" w:cs="宋体"/>
                <w:b/>
                <w:bCs/>
                <w:kern w:val="0"/>
                <w:sz w:val="24"/>
              </w:rPr>
            </w:pPr>
            <w:r w:rsidRPr="00AF168C">
              <w:rPr>
                <w:rFonts w:ascii="宋体" w:eastAsia="宋体" w:hAnsi="宋体" w:cs="宋体" w:hint="eastAsia"/>
                <w:b/>
                <w:bCs/>
                <w:kern w:val="0"/>
                <w:sz w:val="24"/>
              </w:rPr>
              <w:t xml:space="preserve">　</w:t>
            </w:r>
          </w:p>
        </w:tc>
      </w:tr>
      <w:tr w:rsidR="00AF168C" w:rsidRPr="00AF168C" w:rsidTr="00AF168C">
        <w:trPr>
          <w:trHeight w:val="285"/>
        </w:trPr>
        <w:tc>
          <w:tcPr>
            <w:tcW w:w="3794"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总分</w:t>
            </w:r>
          </w:p>
        </w:tc>
        <w:tc>
          <w:tcPr>
            <w:tcW w:w="363" w:type="pct"/>
            <w:gridSpan w:val="2"/>
            <w:tcBorders>
              <w:top w:val="single" w:sz="4" w:space="0" w:color="auto"/>
              <w:left w:val="nil"/>
              <w:bottom w:val="single" w:sz="4" w:space="0" w:color="auto"/>
              <w:right w:val="single" w:sz="4" w:space="0" w:color="000000"/>
            </w:tcBorders>
            <w:shd w:val="clear" w:color="auto" w:fill="auto"/>
            <w:vAlign w:val="center"/>
            <w:hideMark/>
          </w:tcPr>
          <w:p w:rsidR="00AF168C" w:rsidRPr="00AF168C" w:rsidRDefault="00AF168C" w:rsidP="00AF168C">
            <w:pPr>
              <w:widowControl/>
              <w:jc w:val="center"/>
              <w:rPr>
                <w:rFonts w:ascii="宋体" w:eastAsia="宋体" w:hAnsi="宋体" w:cs="宋体"/>
                <w:b/>
                <w:bCs/>
                <w:kern w:val="0"/>
                <w:sz w:val="24"/>
              </w:rPr>
            </w:pPr>
            <w:r w:rsidRPr="00AF168C">
              <w:rPr>
                <w:rFonts w:ascii="宋体" w:eastAsia="宋体" w:hAnsi="宋体" w:cs="宋体" w:hint="eastAsia"/>
                <w:b/>
                <w:bCs/>
                <w:kern w:val="0"/>
                <w:sz w:val="24"/>
              </w:rPr>
              <w:t>100</w:t>
            </w:r>
          </w:p>
        </w:tc>
        <w:tc>
          <w:tcPr>
            <w:tcW w:w="28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168C" w:rsidRPr="00AF168C" w:rsidRDefault="00AF168C" w:rsidP="00AF168C">
            <w:pPr>
              <w:widowControl/>
              <w:jc w:val="left"/>
              <w:rPr>
                <w:rFonts w:ascii="仿宋_GB2312" w:hAnsi="宋体" w:cs="宋体"/>
                <w:b/>
                <w:bCs/>
                <w:kern w:val="0"/>
                <w:sz w:val="20"/>
                <w:szCs w:val="20"/>
              </w:rPr>
            </w:pPr>
            <w:r w:rsidRPr="00AF168C">
              <w:rPr>
                <w:rFonts w:ascii="仿宋_GB2312" w:hAnsi="宋体" w:cs="宋体" w:hint="eastAsia"/>
                <w:b/>
                <w:bCs/>
                <w:kern w:val="0"/>
                <w:sz w:val="20"/>
                <w:szCs w:val="20"/>
              </w:rPr>
              <w:t>99.99</w:t>
            </w:r>
          </w:p>
        </w:tc>
        <w:tc>
          <w:tcPr>
            <w:tcW w:w="55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168C" w:rsidRPr="00AF168C" w:rsidRDefault="00AF168C" w:rsidP="00AF168C">
            <w:pPr>
              <w:widowControl/>
              <w:jc w:val="left"/>
              <w:rPr>
                <w:rFonts w:ascii="宋体" w:eastAsia="宋体" w:hAnsi="宋体" w:cs="宋体"/>
                <w:kern w:val="0"/>
                <w:sz w:val="22"/>
                <w:szCs w:val="22"/>
              </w:rPr>
            </w:pPr>
            <w:r w:rsidRPr="00AF168C">
              <w:rPr>
                <w:rFonts w:ascii="宋体" w:eastAsia="宋体" w:hAnsi="宋体" w:cs="宋体" w:hint="eastAsia"/>
                <w:kern w:val="0"/>
                <w:sz w:val="22"/>
                <w:szCs w:val="22"/>
              </w:rPr>
              <w:t xml:space="preserve">　</w:t>
            </w:r>
          </w:p>
        </w:tc>
      </w:tr>
    </w:tbl>
    <w:p w:rsidR="00AF168C" w:rsidRDefault="00AF168C"/>
    <w:sectPr w:rsidR="00AF168C" w:rsidSect="00742EA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CC4" w:rsidRDefault="00EE6CC4" w:rsidP="0065653D">
      <w:r>
        <w:separator/>
      </w:r>
    </w:p>
  </w:endnote>
  <w:endnote w:type="continuationSeparator" w:id="1">
    <w:p w:rsidR="00EE6CC4" w:rsidRDefault="00EE6CC4" w:rsidP="006565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CC4" w:rsidRDefault="00EE6CC4" w:rsidP="0065653D">
      <w:r>
        <w:separator/>
      </w:r>
    </w:p>
  </w:footnote>
  <w:footnote w:type="continuationSeparator" w:id="1">
    <w:p w:rsidR="00EE6CC4" w:rsidRDefault="00EE6CC4" w:rsidP="006565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4E2DE1"/>
    <w:rsid w:val="00037A2A"/>
    <w:rsid w:val="00047FDA"/>
    <w:rsid w:val="00073DFC"/>
    <w:rsid w:val="00100A73"/>
    <w:rsid w:val="001F5402"/>
    <w:rsid w:val="00265DE8"/>
    <w:rsid w:val="002664A3"/>
    <w:rsid w:val="00313FAB"/>
    <w:rsid w:val="0032241F"/>
    <w:rsid w:val="00351C29"/>
    <w:rsid w:val="00365A05"/>
    <w:rsid w:val="00411A6F"/>
    <w:rsid w:val="00450FBF"/>
    <w:rsid w:val="004B0983"/>
    <w:rsid w:val="004F2C08"/>
    <w:rsid w:val="004F6E76"/>
    <w:rsid w:val="004F7FD2"/>
    <w:rsid w:val="0055797B"/>
    <w:rsid w:val="0065653D"/>
    <w:rsid w:val="006652C0"/>
    <w:rsid w:val="006D002D"/>
    <w:rsid w:val="00742EA2"/>
    <w:rsid w:val="007B34BA"/>
    <w:rsid w:val="007F137B"/>
    <w:rsid w:val="008A7219"/>
    <w:rsid w:val="008F2435"/>
    <w:rsid w:val="009142C4"/>
    <w:rsid w:val="00A60EA4"/>
    <w:rsid w:val="00AF168C"/>
    <w:rsid w:val="00B25853"/>
    <w:rsid w:val="00B66FDC"/>
    <w:rsid w:val="00BE1189"/>
    <w:rsid w:val="00C118B5"/>
    <w:rsid w:val="00C42362"/>
    <w:rsid w:val="00C766E6"/>
    <w:rsid w:val="00C94111"/>
    <w:rsid w:val="00D63F17"/>
    <w:rsid w:val="00D75F0B"/>
    <w:rsid w:val="00DA5F26"/>
    <w:rsid w:val="00DF4EE9"/>
    <w:rsid w:val="00E27833"/>
    <w:rsid w:val="00EC2F3B"/>
    <w:rsid w:val="00EC4BF1"/>
    <w:rsid w:val="00EE6CC4"/>
    <w:rsid w:val="00F02772"/>
    <w:rsid w:val="00F14764"/>
    <w:rsid w:val="00F44BF0"/>
    <w:rsid w:val="00F7179D"/>
    <w:rsid w:val="00FD5DAF"/>
    <w:rsid w:val="0164643E"/>
    <w:rsid w:val="01B5000D"/>
    <w:rsid w:val="01B57EA9"/>
    <w:rsid w:val="0242056D"/>
    <w:rsid w:val="024F01A0"/>
    <w:rsid w:val="02587D2B"/>
    <w:rsid w:val="02AA4183"/>
    <w:rsid w:val="03481261"/>
    <w:rsid w:val="036346BE"/>
    <w:rsid w:val="03E117D2"/>
    <w:rsid w:val="05205EEE"/>
    <w:rsid w:val="05340E8F"/>
    <w:rsid w:val="066E15AE"/>
    <w:rsid w:val="069018C8"/>
    <w:rsid w:val="06B515BE"/>
    <w:rsid w:val="06B75879"/>
    <w:rsid w:val="06C7581F"/>
    <w:rsid w:val="06CB2AE3"/>
    <w:rsid w:val="06DA635D"/>
    <w:rsid w:val="07035798"/>
    <w:rsid w:val="071A4573"/>
    <w:rsid w:val="074829F7"/>
    <w:rsid w:val="07E4714D"/>
    <w:rsid w:val="08015309"/>
    <w:rsid w:val="088D007F"/>
    <w:rsid w:val="089A296B"/>
    <w:rsid w:val="08EC05DE"/>
    <w:rsid w:val="09025694"/>
    <w:rsid w:val="09233B0E"/>
    <w:rsid w:val="09265188"/>
    <w:rsid w:val="097B4B18"/>
    <w:rsid w:val="097F4D15"/>
    <w:rsid w:val="09D90938"/>
    <w:rsid w:val="0A1A28F9"/>
    <w:rsid w:val="0A320986"/>
    <w:rsid w:val="0A403FF9"/>
    <w:rsid w:val="0A5C354A"/>
    <w:rsid w:val="0ABB5447"/>
    <w:rsid w:val="0ABD21C1"/>
    <w:rsid w:val="0B833169"/>
    <w:rsid w:val="0B874DBD"/>
    <w:rsid w:val="0C382D57"/>
    <w:rsid w:val="0CB057AF"/>
    <w:rsid w:val="0CB63691"/>
    <w:rsid w:val="0D363688"/>
    <w:rsid w:val="0DC506E5"/>
    <w:rsid w:val="0E0E39F5"/>
    <w:rsid w:val="0E6103A1"/>
    <w:rsid w:val="0E6B442B"/>
    <w:rsid w:val="0E9531CF"/>
    <w:rsid w:val="0F09737E"/>
    <w:rsid w:val="0F322C38"/>
    <w:rsid w:val="0FDF7A07"/>
    <w:rsid w:val="102D700B"/>
    <w:rsid w:val="105420E5"/>
    <w:rsid w:val="10B47680"/>
    <w:rsid w:val="116063C8"/>
    <w:rsid w:val="12227DCA"/>
    <w:rsid w:val="12B86A08"/>
    <w:rsid w:val="12D25650"/>
    <w:rsid w:val="1343674A"/>
    <w:rsid w:val="137E0C91"/>
    <w:rsid w:val="13B666B1"/>
    <w:rsid w:val="13D06A3B"/>
    <w:rsid w:val="13D91AC0"/>
    <w:rsid w:val="140001F9"/>
    <w:rsid w:val="14BC4023"/>
    <w:rsid w:val="15307008"/>
    <w:rsid w:val="155A7757"/>
    <w:rsid w:val="164943F4"/>
    <w:rsid w:val="166D4BC5"/>
    <w:rsid w:val="1671237A"/>
    <w:rsid w:val="1686442C"/>
    <w:rsid w:val="169E6B9A"/>
    <w:rsid w:val="16DE7301"/>
    <w:rsid w:val="16DF00D9"/>
    <w:rsid w:val="170613E7"/>
    <w:rsid w:val="17096D54"/>
    <w:rsid w:val="179E7992"/>
    <w:rsid w:val="17CE4DEA"/>
    <w:rsid w:val="181A6D2A"/>
    <w:rsid w:val="183E7234"/>
    <w:rsid w:val="188B1811"/>
    <w:rsid w:val="190C44EB"/>
    <w:rsid w:val="193E6856"/>
    <w:rsid w:val="194F769D"/>
    <w:rsid w:val="19E434A5"/>
    <w:rsid w:val="1A3A70E6"/>
    <w:rsid w:val="1ACF2F1E"/>
    <w:rsid w:val="1AE87FBC"/>
    <w:rsid w:val="1B2E3F57"/>
    <w:rsid w:val="1B90458C"/>
    <w:rsid w:val="1C5C7D41"/>
    <w:rsid w:val="1CE454B9"/>
    <w:rsid w:val="1D192E98"/>
    <w:rsid w:val="1D6054B8"/>
    <w:rsid w:val="1DC37613"/>
    <w:rsid w:val="1DF92A24"/>
    <w:rsid w:val="1E3E081D"/>
    <w:rsid w:val="1E5D31A6"/>
    <w:rsid w:val="1E6A3E53"/>
    <w:rsid w:val="1E6D77F4"/>
    <w:rsid w:val="1FBC6DB7"/>
    <w:rsid w:val="20303F04"/>
    <w:rsid w:val="20375070"/>
    <w:rsid w:val="205330D4"/>
    <w:rsid w:val="206A3E3D"/>
    <w:rsid w:val="207B4A01"/>
    <w:rsid w:val="20B24D22"/>
    <w:rsid w:val="211E3C0E"/>
    <w:rsid w:val="218A3129"/>
    <w:rsid w:val="22133368"/>
    <w:rsid w:val="22156910"/>
    <w:rsid w:val="224F0224"/>
    <w:rsid w:val="22F502F0"/>
    <w:rsid w:val="2329690D"/>
    <w:rsid w:val="236F7219"/>
    <w:rsid w:val="23940B0E"/>
    <w:rsid w:val="23C66B86"/>
    <w:rsid w:val="23D108D9"/>
    <w:rsid w:val="24301A5A"/>
    <w:rsid w:val="24EB383B"/>
    <w:rsid w:val="24FF77F6"/>
    <w:rsid w:val="2512263F"/>
    <w:rsid w:val="25DE7370"/>
    <w:rsid w:val="25FA5B95"/>
    <w:rsid w:val="262F7F47"/>
    <w:rsid w:val="263C6BE7"/>
    <w:rsid w:val="265445E8"/>
    <w:rsid w:val="268D3A96"/>
    <w:rsid w:val="272F670E"/>
    <w:rsid w:val="27EB53D0"/>
    <w:rsid w:val="27F72F83"/>
    <w:rsid w:val="2839446A"/>
    <w:rsid w:val="28B53248"/>
    <w:rsid w:val="28BA2FE2"/>
    <w:rsid w:val="28E54FF9"/>
    <w:rsid w:val="28FB290E"/>
    <w:rsid w:val="296A7D5B"/>
    <w:rsid w:val="29BF75FB"/>
    <w:rsid w:val="2A00000F"/>
    <w:rsid w:val="2A561306"/>
    <w:rsid w:val="2AE524CE"/>
    <w:rsid w:val="2AFB15CA"/>
    <w:rsid w:val="2B0D3254"/>
    <w:rsid w:val="2B1834F7"/>
    <w:rsid w:val="2B833C4B"/>
    <w:rsid w:val="2C045FA6"/>
    <w:rsid w:val="2CC95CB4"/>
    <w:rsid w:val="2CD2540C"/>
    <w:rsid w:val="2D2C0A92"/>
    <w:rsid w:val="2D597A51"/>
    <w:rsid w:val="2D6E7096"/>
    <w:rsid w:val="2D8B3A4E"/>
    <w:rsid w:val="2D91215F"/>
    <w:rsid w:val="2DA56EAB"/>
    <w:rsid w:val="2DBA07CA"/>
    <w:rsid w:val="2EE06386"/>
    <w:rsid w:val="2F053915"/>
    <w:rsid w:val="2F541DC9"/>
    <w:rsid w:val="2FED6983"/>
    <w:rsid w:val="30365E35"/>
    <w:rsid w:val="30580509"/>
    <w:rsid w:val="307B11BF"/>
    <w:rsid w:val="308E3212"/>
    <w:rsid w:val="309A6959"/>
    <w:rsid w:val="30C25F79"/>
    <w:rsid w:val="30D56309"/>
    <w:rsid w:val="3130541A"/>
    <w:rsid w:val="31326E8B"/>
    <w:rsid w:val="31876CBA"/>
    <w:rsid w:val="31A25221"/>
    <w:rsid w:val="320541DF"/>
    <w:rsid w:val="320D1AC9"/>
    <w:rsid w:val="32415231"/>
    <w:rsid w:val="32696984"/>
    <w:rsid w:val="3331029B"/>
    <w:rsid w:val="333C22B5"/>
    <w:rsid w:val="33655728"/>
    <w:rsid w:val="339626DD"/>
    <w:rsid w:val="3396604E"/>
    <w:rsid w:val="33BA7684"/>
    <w:rsid w:val="34345ACC"/>
    <w:rsid w:val="34D32165"/>
    <w:rsid w:val="352B26DE"/>
    <w:rsid w:val="353C43E6"/>
    <w:rsid w:val="35880617"/>
    <w:rsid w:val="36057D8A"/>
    <w:rsid w:val="36440763"/>
    <w:rsid w:val="36732338"/>
    <w:rsid w:val="36B86E7E"/>
    <w:rsid w:val="370A3F00"/>
    <w:rsid w:val="371205DE"/>
    <w:rsid w:val="37326D49"/>
    <w:rsid w:val="374B17C8"/>
    <w:rsid w:val="378448F8"/>
    <w:rsid w:val="37850692"/>
    <w:rsid w:val="37A25A26"/>
    <w:rsid w:val="37C53269"/>
    <w:rsid w:val="37D619A6"/>
    <w:rsid w:val="37F15B2C"/>
    <w:rsid w:val="38833FFF"/>
    <w:rsid w:val="38B825C9"/>
    <w:rsid w:val="38E372B5"/>
    <w:rsid w:val="394F2F23"/>
    <w:rsid w:val="39D024B2"/>
    <w:rsid w:val="3A1832A3"/>
    <w:rsid w:val="3A1B0CC2"/>
    <w:rsid w:val="3A445DDB"/>
    <w:rsid w:val="3A45640C"/>
    <w:rsid w:val="3A545FAD"/>
    <w:rsid w:val="3AB04EA2"/>
    <w:rsid w:val="3ABF7BB9"/>
    <w:rsid w:val="3AF0520F"/>
    <w:rsid w:val="3B8C3870"/>
    <w:rsid w:val="3BEA7DBA"/>
    <w:rsid w:val="3C3F01B3"/>
    <w:rsid w:val="3C532199"/>
    <w:rsid w:val="3C6666BD"/>
    <w:rsid w:val="3C715B3E"/>
    <w:rsid w:val="3CAA2FFE"/>
    <w:rsid w:val="3CDB2AD7"/>
    <w:rsid w:val="3CE66C56"/>
    <w:rsid w:val="3D6D2AF0"/>
    <w:rsid w:val="3DB25093"/>
    <w:rsid w:val="3DDB32BF"/>
    <w:rsid w:val="3DEF0954"/>
    <w:rsid w:val="3E6B132F"/>
    <w:rsid w:val="3E8D78BE"/>
    <w:rsid w:val="3EB73851"/>
    <w:rsid w:val="3EFB23AD"/>
    <w:rsid w:val="3F6E314F"/>
    <w:rsid w:val="3FA8525E"/>
    <w:rsid w:val="40075D47"/>
    <w:rsid w:val="40705BBA"/>
    <w:rsid w:val="40C14A62"/>
    <w:rsid w:val="416C2498"/>
    <w:rsid w:val="41B80EB4"/>
    <w:rsid w:val="42605FBF"/>
    <w:rsid w:val="42D6181C"/>
    <w:rsid w:val="431375D4"/>
    <w:rsid w:val="43916F30"/>
    <w:rsid w:val="43A307B1"/>
    <w:rsid w:val="4482665B"/>
    <w:rsid w:val="44E25628"/>
    <w:rsid w:val="44E56213"/>
    <w:rsid w:val="44E82B86"/>
    <w:rsid w:val="450823A4"/>
    <w:rsid w:val="45266AEE"/>
    <w:rsid w:val="46443687"/>
    <w:rsid w:val="46811FCD"/>
    <w:rsid w:val="474E78B2"/>
    <w:rsid w:val="47596F5E"/>
    <w:rsid w:val="47D72529"/>
    <w:rsid w:val="48326ED7"/>
    <w:rsid w:val="4845535E"/>
    <w:rsid w:val="48492B1C"/>
    <w:rsid w:val="488B29CF"/>
    <w:rsid w:val="49167F2C"/>
    <w:rsid w:val="49612E88"/>
    <w:rsid w:val="49881C91"/>
    <w:rsid w:val="499E2ECD"/>
    <w:rsid w:val="49C142EF"/>
    <w:rsid w:val="4A0F5F33"/>
    <w:rsid w:val="4A3C04EE"/>
    <w:rsid w:val="4A661821"/>
    <w:rsid w:val="4A9D0C5A"/>
    <w:rsid w:val="4A9F0912"/>
    <w:rsid w:val="4B4C23FA"/>
    <w:rsid w:val="4B512009"/>
    <w:rsid w:val="4B644377"/>
    <w:rsid w:val="4B8A7941"/>
    <w:rsid w:val="4C0F4D4C"/>
    <w:rsid w:val="4D027B3D"/>
    <w:rsid w:val="4D22362B"/>
    <w:rsid w:val="4E0600D9"/>
    <w:rsid w:val="4E3472C7"/>
    <w:rsid w:val="4E8E3B1E"/>
    <w:rsid w:val="4EB57799"/>
    <w:rsid w:val="4F0F6F7B"/>
    <w:rsid w:val="4F7E293E"/>
    <w:rsid w:val="4FA66E96"/>
    <w:rsid w:val="50377440"/>
    <w:rsid w:val="50512CAC"/>
    <w:rsid w:val="507C08FB"/>
    <w:rsid w:val="50B1184F"/>
    <w:rsid w:val="50CB189C"/>
    <w:rsid w:val="512E4AC9"/>
    <w:rsid w:val="51AD63B6"/>
    <w:rsid w:val="520602F7"/>
    <w:rsid w:val="52C31479"/>
    <w:rsid w:val="531A7B60"/>
    <w:rsid w:val="533216CF"/>
    <w:rsid w:val="539827F5"/>
    <w:rsid w:val="53EE580B"/>
    <w:rsid w:val="54061800"/>
    <w:rsid w:val="540D4EA3"/>
    <w:rsid w:val="547507E4"/>
    <w:rsid w:val="54930A6B"/>
    <w:rsid w:val="54AC37A7"/>
    <w:rsid w:val="54D0167F"/>
    <w:rsid w:val="54DB6BCE"/>
    <w:rsid w:val="55021BD9"/>
    <w:rsid w:val="552463A3"/>
    <w:rsid w:val="5529765E"/>
    <w:rsid w:val="555241B3"/>
    <w:rsid w:val="55591591"/>
    <w:rsid w:val="55AA4FB2"/>
    <w:rsid w:val="55C84588"/>
    <w:rsid w:val="564173F9"/>
    <w:rsid w:val="5668392A"/>
    <w:rsid w:val="566A5D4D"/>
    <w:rsid w:val="56803169"/>
    <w:rsid w:val="56805672"/>
    <w:rsid w:val="56EE44A7"/>
    <w:rsid w:val="57D12D61"/>
    <w:rsid w:val="57D50E27"/>
    <w:rsid w:val="5817404F"/>
    <w:rsid w:val="589250F4"/>
    <w:rsid w:val="59416F58"/>
    <w:rsid w:val="596B65A2"/>
    <w:rsid w:val="599D4215"/>
    <w:rsid w:val="59CB486E"/>
    <w:rsid w:val="59D47B8B"/>
    <w:rsid w:val="59E10C19"/>
    <w:rsid w:val="5A411605"/>
    <w:rsid w:val="5A5451D1"/>
    <w:rsid w:val="5AA23334"/>
    <w:rsid w:val="5AD33E45"/>
    <w:rsid w:val="5B601305"/>
    <w:rsid w:val="5C2C0B6B"/>
    <w:rsid w:val="5C824D66"/>
    <w:rsid w:val="5CCB5086"/>
    <w:rsid w:val="5CE730DD"/>
    <w:rsid w:val="5CF45C32"/>
    <w:rsid w:val="5D370B13"/>
    <w:rsid w:val="5DA22D67"/>
    <w:rsid w:val="5E016F60"/>
    <w:rsid w:val="5E1F028C"/>
    <w:rsid w:val="5E3838BB"/>
    <w:rsid w:val="5E3A4BF6"/>
    <w:rsid w:val="5EB50808"/>
    <w:rsid w:val="5F1F7905"/>
    <w:rsid w:val="5F493939"/>
    <w:rsid w:val="5FEC11DE"/>
    <w:rsid w:val="60D168CA"/>
    <w:rsid w:val="61691D04"/>
    <w:rsid w:val="61831888"/>
    <w:rsid w:val="61F07596"/>
    <w:rsid w:val="61F53345"/>
    <w:rsid w:val="62393977"/>
    <w:rsid w:val="62CD00DF"/>
    <w:rsid w:val="637008EF"/>
    <w:rsid w:val="639972F8"/>
    <w:rsid w:val="64330924"/>
    <w:rsid w:val="64346EFB"/>
    <w:rsid w:val="643D7938"/>
    <w:rsid w:val="64783A81"/>
    <w:rsid w:val="64984095"/>
    <w:rsid w:val="64CC22D7"/>
    <w:rsid w:val="64F0767E"/>
    <w:rsid w:val="65254CDD"/>
    <w:rsid w:val="65530F90"/>
    <w:rsid w:val="659C403D"/>
    <w:rsid w:val="65D04EDC"/>
    <w:rsid w:val="660F28E4"/>
    <w:rsid w:val="6658101B"/>
    <w:rsid w:val="66C661BD"/>
    <w:rsid w:val="66C907B9"/>
    <w:rsid w:val="67A423C1"/>
    <w:rsid w:val="67AE0D9C"/>
    <w:rsid w:val="67CA4D15"/>
    <w:rsid w:val="67DF67F3"/>
    <w:rsid w:val="6820305A"/>
    <w:rsid w:val="68453589"/>
    <w:rsid w:val="685569EC"/>
    <w:rsid w:val="686722AA"/>
    <w:rsid w:val="694E2DE1"/>
    <w:rsid w:val="695A6891"/>
    <w:rsid w:val="69E65163"/>
    <w:rsid w:val="69F73190"/>
    <w:rsid w:val="6A5F38C4"/>
    <w:rsid w:val="6A7C7CC4"/>
    <w:rsid w:val="6AAC30A5"/>
    <w:rsid w:val="6B49284A"/>
    <w:rsid w:val="6B9825F9"/>
    <w:rsid w:val="6BDF093F"/>
    <w:rsid w:val="6C545A8C"/>
    <w:rsid w:val="6C5C1F86"/>
    <w:rsid w:val="6CC27308"/>
    <w:rsid w:val="6D3E31AD"/>
    <w:rsid w:val="6D582BDE"/>
    <w:rsid w:val="6D8F08DC"/>
    <w:rsid w:val="6DBC7304"/>
    <w:rsid w:val="6DDF4758"/>
    <w:rsid w:val="6E664F7F"/>
    <w:rsid w:val="6E9C5084"/>
    <w:rsid w:val="6EAF4F4C"/>
    <w:rsid w:val="6F0A6B22"/>
    <w:rsid w:val="6F967654"/>
    <w:rsid w:val="6FAF2E33"/>
    <w:rsid w:val="6FDD1BB5"/>
    <w:rsid w:val="70673C5F"/>
    <w:rsid w:val="711553DE"/>
    <w:rsid w:val="712B1803"/>
    <w:rsid w:val="71391FF1"/>
    <w:rsid w:val="713B2A7E"/>
    <w:rsid w:val="71B9628D"/>
    <w:rsid w:val="71F82C04"/>
    <w:rsid w:val="72434A2A"/>
    <w:rsid w:val="724D6DAE"/>
    <w:rsid w:val="726E11E2"/>
    <w:rsid w:val="72D3738E"/>
    <w:rsid w:val="72DA456D"/>
    <w:rsid w:val="72FD4389"/>
    <w:rsid w:val="734426B9"/>
    <w:rsid w:val="73465BD3"/>
    <w:rsid w:val="739A0758"/>
    <w:rsid w:val="73CB392D"/>
    <w:rsid w:val="73F27CA1"/>
    <w:rsid w:val="74015149"/>
    <w:rsid w:val="7404396A"/>
    <w:rsid w:val="74243A60"/>
    <w:rsid w:val="74DC0330"/>
    <w:rsid w:val="74FD77F1"/>
    <w:rsid w:val="7505282B"/>
    <w:rsid w:val="75135730"/>
    <w:rsid w:val="754C153E"/>
    <w:rsid w:val="75F906B7"/>
    <w:rsid w:val="7642722C"/>
    <w:rsid w:val="769D6888"/>
    <w:rsid w:val="76A319C5"/>
    <w:rsid w:val="76BB16A4"/>
    <w:rsid w:val="76E07879"/>
    <w:rsid w:val="77E01D20"/>
    <w:rsid w:val="77EE3ACD"/>
    <w:rsid w:val="78D4124F"/>
    <w:rsid w:val="79755DAA"/>
    <w:rsid w:val="79947385"/>
    <w:rsid w:val="79C02BD0"/>
    <w:rsid w:val="79F42E44"/>
    <w:rsid w:val="7A092CB5"/>
    <w:rsid w:val="7A1164D7"/>
    <w:rsid w:val="7A5254E8"/>
    <w:rsid w:val="7A690034"/>
    <w:rsid w:val="7B117E9D"/>
    <w:rsid w:val="7B386DC3"/>
    <w:rsid w:val="7BC52355"/>
    <w:rsid w:val="7C0C1904"/>
    <w:rsid w:val="7C5A6FFC"/>
    <w:rsid w:val="7C7F025B"/>
    <w:rsid w:val="7C80262D"/>
    <w:rsid w:val="7CF92A32"/>
    <w:rsid w:val="7D34458C"/>
    <w:rsid w:val="7D397F60"/>
    <w:rsid w:val="7D64073B"/>
    <w:rsid w:val="7DCD3A8B"/>
    <w:rsid w:val="7DEC22D0"/>
    <w:rsid w:val="7E1967CA"/>
    <w:rsid w:val="7E313DC4"/>
    <w:rsid w:val="7E662AD8"/>
    <w:rsid w:val="7EC277E1"/>
    <w:rsid w:val="7EC555F9"/>
    <w:rsid w:val="7EC91DC4"/>
    <w:rsid w:val="7F512709"/>
    <w:rsid w:val="7FB17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42EA2"/>
    <w:pPr>
      <w:widowControl w:val="0"/>
      <w:jc w:val="both"/>
    </w:pPr>
    <w:rPr>
      <w:rFonts w:ascii="Times New Roman" w:eastAsia="仿宋_GB2312" w:hAnsi="Times New Roman"/>
      <w:kern w:val="2"/>
      <w:sz w:val="30"/>
      <w:szCs w:val="24"/>
    </w:rPr>
  </w:style>
  <w:style w:type="paragraph" w:styleId="2">
    <w:name w:val="heading 2"/>
    <w:basedOn w:val="a"/>
    <w:next w:val="a"/>
    <w:rsid w:val="00742EA2"/>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56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5653D"/>
    <w:rPr>
      <w:rFonts w:ascii="Times New Roman" w:eastAsia="仿宋_GB2312" w:hAnsi="Times New Roman"/>
      <w:kern w:val="2"/>
      <w:sz w:val="18"/>
      <w:szCs w:val="18"/>
    </w:rPr>
  </w:style>
  <w:style w:type="paragraph" w:styleId="a4">
    <w:name w:val="footer"/>
    <w:basedOn w:val="a"/>
    <w:link w:val="Char0"/>
    <w:rsid w:val="0065653D"/>
    <w:pPr>
      <w:tabs>
        <w:tab w:val="center" w:pos="4153"/>
        <w:tab w:val="right" w:pos="8306"/>
      </w:tabs>
      <w:snapToGrid w:val="0"/>
      <w:jc w:val="left"/>
    </w:pPr>
    <w:rPr>
      <w:sz w:val="18"/>
      <w:szCs w:val="18"/>
    </w:rPr>
  </w:style>
  <w:style w:type="character" w:customStyle="1" w:styleId="Char0">
    <w:name w:val="页脚 Char"/>
    <w:basedOn w:val="a0"/>
    <w:link w:val="a4"/>
    <w:rsid w:val="0065653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99338624">
      <w:bodyDiv w:val="1"/>
      <w:marLeft w:val="0"/>
      <w:marRight w:val="0"/>
      <w:marTop w:val="0"/>
      <w:marBottom w:val="0"/>
      <w:divBdr>
        <w:top w:val="none" w:sz="0" w:space="0" w:color="auto"/>
        <w:left w:val="none" w:sz="0" w:space="0" w:color="auto"/>
        <w:bottom w:val="none" w:sz="0" w:space="0" w:color="auto"/>
        <w:right w:val="none" w:sz="0" w:space="0" w:color="auto"/>
      </w:divBdr>
    </w:div>
    <w:div w:id="1914465253">
      <w:bodyDiv w:val="1"/>
      <w:marLeft w:val="0"/>
      <w:marRight w:val="0"/>
      <w:marTop w:val="0"/>
      <w:marBottom w:val="0"/>
      <w:divBdr>
        <w:top w:val="none" w:sz="0" w:space="0" w:color="auto"/>
        <w:left w:val="none" w:sz="0" w:space="0" w:color="auto"/>
        <w:bottom w:val="none" w:sz="0" w:space="0" w:color="auto"/>
        <w:right w:val="none" w:sz="0" w:space="0" w:color="auto"/>
      </w:divBdr>
    </w:div>
    <w:div w:id="2063750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898</Words>
  <Characters>5125</Characters>
  <Application>Microsoft Office Word</Application>
  <DocSecurity>0</DocSecurity>
  <Lines>42</Lines>
  <Paragraphs>12</Paragraphs>
  <ScaleCrop>false</ScaleCrop>
  <Company>盐田区政府</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邓盾</dc:creator>
  <cp:lastModifiedBy>张小丽</cp:lastModifiedBy>
  <cp:revision>41</cp:revision>
  <dcterms:created xsi:type="dcterms:W3CDTF">2021-06-04T06:17:00Z</dcterms:created>
  <dcterms:modified xsi:type="dcterms:W3CDTF">2021-12-14T09:10:00Z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