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847" w:type="dxa"/>
        <w:tblInd w:w="8"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5"/>
        <w:gridCol w:w="4297"/>
        <w:gridCol w:w="4345"/>
        <w:gridCol w:w="120"/>
      </w:tblGrid>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869" w:hRule="atLeast"/>
        </w:trPr>
        <w:tc>
          <w:tcPr>
            <w:tcW w:w="4382" w:type="dxa"/>
            <w:gridSpan w:val="2"/>
          </w:tcPr>
          <w:p>
            <w:pPr>
              <w:snapToGrid w:val="0"/>
              <w:spacing w:line="500" w:lineRule="atLeast"/>
              <w:rPr>
                <w:color w:val="FFFFFF"/>
              </w:rPr>
            </w:pPr>
          </w:p>
        </w:tc>
        <w:tc>
          <w:tcPr>
            <w:tcW w:w="4465" w:type="dxa"/>
            <w:gridSpan w:val="2"/>
          </w:tcPr>
          <w:p>
            <w:pPr>
              <w:pStyle w:val="15"/>
              <w:tabs>
                <w:tab w:val="left" w:pos="2735"/>
              </w:tabs>
              <w:jc w:val="both"/>
              <w:rPr>
                <w:color w:val="FFFFFF"/>
              </w:rPr>
            </w:pPr>
            <w:bookmarkStart w:id="0" w:name="PrivateTime"/>
            <w:bookmarkEnd w:id="0"/>
            <w:bookmarkStart w:id="1" w:name="PrivateLevel"/>
            <w:bookmarkEnd w:id="1"/>
            <w:r>
              <w:rPr>
                <w:color w:val="FFFFFF"/>
              </w:rPr>
              <w:tab/>
            </w:r>
            <w:r>
              <w:rPr>
                <w:rFonts w:hint="eastAsia" w:hAnsi="仿宋_GB2312" w:cs="仿宋_GB2312"/>
                <w:color w:val="FFFFFF"/>
                <w:szCs w:val="32"/>
              </w:rPr>
              <w:t xml:space="preserve"> </w:t>
            </w: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gridAfter w:val="1"/>
          <w:wBefore w:w="85" w:type="dxa"/>
          <w:wAfter w:w="120" w:type="dxa"/>
          <w:cantSplit/>
          <w:trHeight w:val="922" w:hRule="atLeast"/>
        </w:trPr>
        <w:tc>
          <w:tcPr>
            <w:tcW w:w="8642" w:type="dxa"/>
            <w:gridSpan w:val="2"/>
            <w:vAlign w:val="center"/>
          </w:tcPr>
          <w:p>
            <w:pPr>
              <w:pStyle w:val="3"/>
              <w:jc w:val="center"/>
              <w:rPr>
                <w:rFonts w:ascii="方正大标宋简体" w:hAnsi="华文细黑" w:eastAsia="方正大标宋简体"/>
                <w:b w:val="0"/>
                <w:spacing w:val="20"/>
                <w:w w:val="80"/>
                <w:sz w:val="90"/>
                <w:szCs w:val="90"/>
              </w:rPr>
            </w:pPr>
            <w:bookmarkStart w:id="2" w:name="Urgent"/>
            <w:bookmarkEnd w:id="2"/>
            <w:r>
              <w:rPr>
                <w:rFonts w:hint="eastAsia" w:ascii="方正大标宋简体" w:hAnsi="华文细黑" w:eastAsia="方正大标宋简体"/>
                <w:b w:val="0"/>
                <w:spacing w:val="20"/>
                <w:w w:val="80"/>
                <w:sz w:val="90"/>
                <w:szCs w:val="90"/>
              </w:rPr>
              <w:t>深圳市盐田区财政局文件</w:t>
            </w: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91" w:hRule="atLeast"/>
        </w:trPr>
        <w:tc>
          <w:tcPr>
            <w:tcW w:w="8847" w:type="dxa"/>
            <w:gridSpan w:val="4"/>
            <w:vAlign w:val="bottom"/>
          </w:tcPr>
          <w:p>
            <w:pPr>
              <w:tabs>
                <w:tab w:val="left" w:pos="8460"/>
              </w:tabs>
              <w:spacing w:beforeLines="100" w:line="590" w:lineRule="exact"/>
              <w:ind w:firstLine="160" w:firstLineChars="50"/>
              <w:jc w:val="center"/>
              <w:rPr>
                <w:rFonts w:hint="eastAsia" w:ascii="仿宋_GB2312" w:hAnsi="华文中宋" w:eastAsia="仿宋_GB2312" w:cs="仿宋_GB2312"/>
                <w:color w:val="000000"/>
                <w:sz w:val="32"/>
                <w:szCs w:val="32"/>
                <w:lang w:eastAsia="zh-CN"/>
              </w:rPr>
            </w:pPr>
            <w:bookmarkStart w:id="3" w:name="文件字"/>
            <w:r>
              <w:rPr>
                <w:rFonts w:hint="eastAsia" w:ascii="仿宋_GB2312" w:eastAsia="仿宋_GB2312"/>
                <w:color w:val="000000"/>
                <w:sz w:val="32"/>
                <w:szCs w:val="32"/>
              </w:rPr>
              <w:t>深盐财</w:t>
            </w:r>
            <w:bookmarkEnd w:id="3"/>
            <w:r>
              <w:rPr>
                <w:rFonts w:hint="eastAsia" w:ascii="仿宋_GB2312" w:eastAsia="仿宋_GB2312"/>
                <w:color w:val="000000"/>
                <w:sz w:val="32"/>
                <w:szCs w:val="32"/>
              </w:rPr>
              <w:t>〔</w:t>
            </w:r>
            <w:bookmarkStart w:id="4" w:name="年度"/>
            <w:r>
              <w:rPr>
                <w:rFonts w:ascii="仿宋_GB2312" w:eastAsia="仿宋_GB2312"/>
                <w:color w:val="000000"/>
                <w:sz w:val="32"/>
                <w:szCs w:val="32"/>
              </w:rPr>
              <w:t>20</w:t>
            </w:r>
            <w:bookmarkEnd w:id="4"/>
            <w:r>
              <w:rPr>
                <w:rFonts w:hint="eastAsia" w:ascii="仿宋_GB2312" w:eastAsia="仿宋_GB2312"/>
                <w:color w:val="000000"/>
                <w:sz w:val="32"/>
                <w:szCs w:val="32"/>
              </w:rPr>
              <w:t>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54</w:t>
            </w:r>
            <w:bookmarkStart w:id="5" w:name="_GoBack"/>
            <w:bookmarkEnd w:id="5"/>
            <w:r>
              <w:rPr>
                <w:rFonts w:hint="eastAsia" w:ascii="仿宋_GB2312" w:eastAsia="仿宋_GB2312"/>
                <w:color w:val="000000"/>
                <w:sz w:val="32"/>
                <w:szCs w:val="32"/>
                <w:lang w:val="en-US" w:eastAsia="zh-CN"/>
              </w:rPr>
              <w:t xml:space="preserve"> </w:t>
            </w:r>
            <w:r>
              <w:rPr>
                <w:rFonts w:hint="eastAsia" w:ascii="仿宋_GB2312" w:hAnsi="华文中宋" w:eastAsia="仿宋_GB2312" w:cs="仿宋_GB2312"/>
                <w:color w:val="000000"/>
                <w:sz w:val="32"/>
                <w:szCs w:val="32"/>
              </w:rPr>
              <w:t>号</w:t>
            </w: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66" w:hRule="exact"/>
        </w:trPr>
        <w:tc>
          <w:tcPr>
            <w:tcW w:w="8847" w:type="dxa"/>
            <w:gridSpan w:val="4"/>
          </w:tcPr>
          <w:p>
            <w:pPr>
              <w:jc w:val="cente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华文中宋"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eastAsia="zh-CN"/>
        </w:rPr>
        <w:t>深圳市盐田区财政局关于印发</w:t>
      </w:r>
      <w:r>
        <w:rPr>
          <w:rFonts w:hint="eastAsia" w:ascii="方正小标宋简体" w:eastAsia="方正小标宋简体"/>
          <w:sz w:val="44"/>
          <w:szCs w:val="44"/>
        </w:rPr>
        <w:t>《关于落实市</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防疫消杀补贴政策的实施方案》的</w:t>
      </w:r>
      <w:r>
        <w:rPr>
          <w:rFonts w:hint="eastAsia" w:ascii="方正小标宋简体" w:eastAsia="方正小标宋简体"/>
          <w:sz w:val="44"/>
          <w:szCs w:val="44"/>
          <w:lang w:eastAsia="zh-CN"/>
        </w:rPr>
        <w:t>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各有关单位</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《关于落实市防疫消杀补贴政策的实施方案》已经区政府六届二十七次常务会议同意，现予印发，请遵照执行</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840" w:rightChars="400" w:firstLine="0" w:firstLineChars="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840" w:rightChars="400" w:firstLine="0" w:firstLineChars="0"/>
        <w:textAlignment w:val="auto"/>
        <w:rPr>
          <w:rFonts w:ascii="仿宋_GB2312" w:hAnsi="黑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840" w:rightChars="400" w:firstLine="0" w:firstLineChars="0"/>
        <w:jc w:val="right"/>
        <w:textAlignment w:val="auto"/>
        <w:rPr>
          <w:rFonts w:ascii="仿宋_GB2312" w:hAnsi="黑体" w:eastAsia="仿宋_GB2312"/>
          <w:sz w:val="32"/>
          <w:szCs w:val="32"/>
        </w:rPr>
      </w:pPr>
      <w:r>
        <w:rPr>
          <w:rFonts w:hint="eastAsia" w:ascii="仿宋_GB2312" w:hAnsi="黑体" w:eastAsia="仿宋_GB2312"/>
          <w:sz w:val="32"/>
          <w:szCs w:val="32"/>
        </w:rPr>
        <w:t xml:space="preserve">                         深圳市盐田区财政局</w:t>
      </w:r>
    </w:p>
    <w:p>
      <w:pPr>
        <w:keepNext w:val="0"/>
        <w:keepLines w:val="0"/>
        <w:pageBreakBefore w:val="0"/>
        <w:widowControl w:val="0"/>
        <w:kinsoku/>
        <w:wordWrap/>
        <w:overflowPunct/>
        <w:topLinePunct w:val="0"/>
        <w:autoSpaceDE/>
        <w:autoSpaceDN/>
        <w:bidi w:val="0"/>
        <w:adjustRightInd/>
        <w:snapToGrid/>
        <w:spacing w:line="560" w:lineRule="exact"/>
        <w:ind w:left="0" w:leftChars="0" w:right="840" w:rightChars="400" w:firstLine="0" w:firstLineChars="0"/>
        <w:jc w:val="right"/>
        <w:textAlignment w:val="auto"/>
        <w:rPr>
          <w:rFonts w:ascii="仿宋_GB2312" w:hAnsi="黑体" w:eastAsia="仿宋_GB2312"/>
          <w:sz w:val="32"/>
          <w:szCs w:val="32"/>
        </w:rPr>
      </w:pPr>
      <w:r>
        <w:rPr>
          <w:rFonts w:hint="eastAsia" w:ascii="仿宋_GB2312" w:hAnsi="黑体" w:eastAsia="仿宋_GB2312"/>
          <w:sz w:val="32"/>
          <w:szCs w:val="32"/>
        </w:rPr>
        <w:t xml:space="preserve">                           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14</w:t>
      </w:r>
      <w:r>
        <w:rPr>
          <w:rFonts w:hint="eastAsia" w:ascii="仿宋_GB2312" w:hAnsi="黑体"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840" w:rightChars="400" w:firstLine="0" w:firstLineChars="0"/>
        <w:textAlignment w:val="auto"/>
        <w:rPr>
          <w:rFonts w:ascii="仿宋_GB2312" w:hAnsi="黑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（联系人：</w:t>
      </w:r>
      <w:r>
        <w:rPr>
          <w:rFonts w:hint="eastAsia" w:ascii="仿宋_GB2312" w:hAnsi="黑体" w:eastAsia="仿宋_GB2312"/>
          <w:sz w:val="32"/>
          <w:szCs w:val="32"/>
          <w:lang w:eastAsia="zh-CN"/>
        </w:rPr>
        <w:t>黄雄</w:t>
      </w:r>
      <w:r>
        <w:rPr>
          <w:rFonts w:hint="eastAsia" w:ascii="仿宋_GB2312" w:hAnsi="黑体" w:eastAsia="仿宋_GB2312"/>
          <w:sz w:val="32"/>
          <w:szCs w:val="32"/>
        </w:rPr>
        <w:t>；联系电话：22320778）</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textAlignment w:val="auto"/>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textAlignment w:val="auto"/>
        <w:rPr>
          <w:rFonts w:ascii="华文中宋" w:hAnsi="华文中宋" w:eastAsia="华文中宋" w:cs="仿宋_GB2312"/>
          <w:color w:val="000000"/>
          <w:sz w:val="44"/>
          <w:szCs w:val="44"/>
        </w:rPr>
      </w:pPr>
    </w:p>
    <w:p>
      <w:pPr>
        <w:pStyle w:val="6"/>
        <w:keepNext w:val="0"/>
        <w:keepLines w:val="0"/>
        <w:pageBreakBefore w:val="0"/>
        <w:widowControl w:val="0"/>
        <w:kinsoku/>
        <w:wordWrap/>
        <w:overflowPunct/>
        <w:topLinePunct w:val="0"/>
        <w:autoSpaceDE/>
        <w:autoSpaceDN/>
        <w:bidi w:val="0"/>
        <w:adjustRightInd/>
        <w:snapToGrid/>
        <w:spacing w:line="560" w:lineRule="exact"/>
        <w:ind w:left="0" w:firstLine="0" w:firstLineChars="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w:t>
      </w:r>
    </w:p>
    <w:p>
      <w:pPr>
        <w:pStyle w:val="6"/>
        <w:keepNext w:val="0"/>
        <w:keepLines w:val="0"/>
        <w:pageBreakBefore w:val="0"/>
        <w:widowControl w:val="0"/>
        <w:kinsoku/>
        <w:wordWrap/>
        <w:overflowPunct/>
        <w:topLinePunct w:val="0"/>
        <w:autoSpaceDE/>
        <w:autoSpaceDN/>
        <w:bidi w:val="0"/>
        <w:adjustRightInd/>
        <w:snapToGrid/>
        <w:spacing w:line="560" w:lineRule="exact"/>
        <w:ind w:left="0" w:firstLine="0" w:firstLineChars="0"/>
        <w:jc w:val="both"/>
        <w:textAlignment w:val="auto"/>
        <w:rPr>
          <w:rFonts w:hint="eastAsia" w:ascii="黑体" w:hAnsi="黑体" w:eastAsia="黑体" w:cs="黑体"/>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关于落实市防疫消杀补贴政策的实施方案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贯彻落实《深圳市关于应对新冠肺炎疫情进一步帮助市场主体纾困解难若干措施》有关要求，补贴企业防疫消杀支出，进一步减轻市场主体负担，根据市政府七届44次常务会议精神以及市政府主要领导批示精神，结合我区实际，现就对补贴微型企业以及物业管理服务企业防疫消杀支出提出实施方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任务目标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对2022年6月30日前符合条件的微型企业以及物业管理服务企业发放一次性防疫消杀补贴，切实减轻辖区企业负担。</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实施内容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（一）补贴微型企业防疫消杀支出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1.补贴对象：对2022年3月1日前在盐田区依法注册登记且具有相应经营许可证的工业10人以下、住宿餐饮业以及批发零售业20人以下的企业给予一次性消杀补贴。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补贴标准：工业10人以下企业补贴标准为1,000元/家企业，住宿餐饮业以及批发零售业20人以下企业补贴标准为2,000元/家企业。按照“三区”划分进行分档补贴，其中“三区”内企业按照标准的100%补贴，“三区”以外企业按照标准的50%补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3.人数测算：工业企业按照5月在深实际缴纳社保员工数作为测算依据，住宿餐饮业以及批发零售业按照3月在深实际缴纳社保员工数作为测算依据。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责任单位：工业、批发零售业和餐饮业补贴工作由区工信局牵头负责，住宿业补贴工作由区文化广电旅游体育局牵头负责；沙头角街道办、海山街道办、盐田街道办、梅沙街道办、中英街管理局、盐田公安分局、盐田市场监管局和盐田社保分局协助配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（二）补贴物业管理服务企业防疫消杀支出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补贴对象：在2022年1月至3月期间为盐田区住宅物业项目（住宅小区、城中村、军产房，不含商业公寓）提供物业服务，并按市、区疫情防控指挥部门要求向所在社区提供疫情联防联控服务、在物业管理区域落实了物业管理区域消杀等疫情防控要求，依法设立的物业服务企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2.补贴标准：按照1元/㎡的标准给予物业管理服务企业一次性消杀补贴。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3.责任单位：由区住房建设局牵头负责，沙头角街道办、海山街道办、盐田街道办、梅沙街道办、中英街管理局、盐田市场监管局协</w:t>
      </w:r>
      <w:r>
        <w:rPr>
          <w:rFonts w:hint="eastAsia" w:ascii="仿宋_GB2312" w:hAnsi="仿宋_GB2312" w:eastAsia="仿宋_GB2312" w:cs="仿宋_GB2312"/>
          <w:sz w:val="32"/>
          <w:szCs w:val="32"/>
          <w:highlight w:val="none"/>
          <w:lang w:val="en-US" w:eastAsia="zh-CN"/>
        </w:rPr>
        <w:t>助配合。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工作要求</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加强对接沟通。</w:t>
      </w:r>
      <w:r>
        <w:rPr>
          <w:rFonts w:hint="eastAsia" w:ascii="仿宋_GB2312" w:hAnsi="仿宋_GB2312" w:eastAsia="仿宋_GB2312" w:cs="仿宋_GB2312"/>
          <w:sz w:val="32"/>
          <w:szCs w:val="32"/>
          <w:highlight w:val="none"/>
          <w:lang w:val="en-US" w:eastAsia="zh-CN"/>
        </w:rPr>
        <w:t>本实施方案是《深圳市关于应对新冠肺炎疫情进一步帮助市场主体纾困解难若干措施》相关行业消杀补贴政策的延伸，各牵头单位要做好相关政策衔接，不得重复补贴和补贴至严重失信主体。同时，各牵头单位要加强与上级相关主管部门沟通对接，并结合上级部门指导意见依法依规做好消杀补贴政策实施落实，避免造成市区两级工作脱节。</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强化经费保障。</w:t>
      </w:r>
      <w:r>
        <w:rPr>
          <w:rFonts w:hint="eastAsia" w:ascii="仿宋_GB2312" w:hAnsi="仿宋_GB2312" w:eastAsia="仿宋_GB2312" w:cs="仿宋_GB2312"/>
          <w:sz w:val="32"/>
          <w:szCs w:val="32"/>
          <w:highlight w:val="none"/>
          <w:lang w:val="en-US" w:eastAsia="zh-CN"/>
        </w:rPr>
        <w:t>区财政部门会同各牵头单位做好辖区防疫消杀补贴工作有关经费测算，确保我区落实市防疫消杀补贴政策工作所需资金保障到位。同时，区财政部门应按要求及时汇总辖区防疫消杀补贴资金发放有关材料报至市财政部门审核，及时申请市对区补助资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（三）加快落地见效。</w:t>
      </w:r>
      <w:r>
        <w:rPr>
          <w:rFonts w:hint="eastAsia" w:ascii="仿宋_GB2312" w:hAnsi="仿宋_GB2312" w:eastAsia="仿宋_GB2312" w:cs="仿宋_GB2312"/>
          <w:b w:val="0"/>
          <w:bCs w:val="0"/>
          <w:sz w:val="32"/>
          <w:szCs w:val="32"/>
          <w:highlight w:val="none"/>
          <w:lang w:val="en-US" w:eastAsia="zh-CN"/>
        </w:rPr>
        <w:t>各牵头单位要根据本方案和上级部门指导意见抓紧制定相应的落实细则和操作规程，明确资助、奖励的条件、标准和程序；同时做好公开宣传，确保该政策全覆盖辖区符合条件企业，减轻疫情带来的不利影响。补贴申请期截至2022年9月30日，各牵头单位原则上在2022年9月30日前完成辖区防疫消杀补贴发放工作，并将政策文件、补贴名单、补贴金额等资料报送至区财政局。</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color w:val="000000"/>
          <w:sz w:val="32"/>
          <w:szCs w:val="32"/>
        </w:rPr>
      </w:pP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color w:val="000000"/>
          <w:sz w:val="32"/>
          <w:szCs w:val="32"/>
        </w:rPr>
      </w:pP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color w:val="000000"/>
          <w:sz w:val="32"/>
          <w:szCs w:val="32"/>
        </w:rPr>
      </w:pP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rPr>
      </w:pPr>
    </w:p>
    <w:p>
      <w:pPr>
        <w:pBdr>
          <w:top w:val="single" w:color="auto" w:sz="8" w:space="1"/>
          <w:left w:val="none" w:color="auto" w:sz="0" w:space="4"/>
          <w:bottom w:val="single" w:color="auto" w:sz="8" w:space="1"/>
          <w:right w:val="none" w:color="auto" w:sz="0" w:space="4"/>
          <w:between w:val="single" w:color="auto" w:sz="4" w:space="0"/>
        </w:pBdr>
        <w:jc w:val="center"/>
        <w:rPr>
          <w:rFonts w:ascii="仿宋_GB2312" w:hAnsi="仿宋_GB2312" w:eastAsia="仿宋_GB2312"/>
          <w:sz w:val="28"/>
          <w:szCs w:val="28"/>
        </w:rPr>
      </w:pPr>
      <w:r>
        <w:rPr>
          <w:rFonts w:hint="eastAsia" w:ascii="仿宋_GB2312" w:hAnsi="仿宋_GB2312" w:eastAsia="仿宋_GB2312" w:cs="仿宋_GB2312"/>
          <w:color w:val="000000"/>
          <w:sz w:val="28"/>
          <w:szCs w:val="28"/>
        </w:rPr>
        <w:t>深圳市盐田区财政局办公室                 202</w:t>
      </w: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lang w:val="en-US" w:eastAsia="zh-CN"/>
        </w:rPr>
        <w:t>9</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color w:val="000000"/>
          <w:sz w:val="28"/>
          <w:szCs w:val="28"/>
          <w:lang w:val="en-US" w:eastAsia="zh-CN"/>
        </w:rPr>
        <w:t>14</w:t>
      </w:r>
      <w:r>
        <w:rPr>
          <w:rFonts w:hint="eastAsia" w:ascii="仿宋_GB2312" w:hAnsi="仿宋_GB2312" w:eastAsia="仿宋_GB2312" w:cs="仿宋_GB2312"/>
          <w:color w:val="000000"/>
          <w:sz w:val="28"/>
          <w:szCs w:val="28"/>
        </w:rPr>
        <w:t>日印发</w:t>
      </w:r>
    </w:p>
    <w:sectPr>
      <w:footerReference r:id="rId4" w:type="default"/>
      <w:headerReference r:id="rId3" w:type="even"/>
      <w:footerReference r:id="rId5" w:type="even"/>
      <w:pgSz w:w="11906" w:h="16838"/>
      <w:pgMar w:top="1985" w:right="1474" w:bottom="1531" w:left="1588" w:header="851" w:footer="119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鼎小标宋简">
    <w:altName w:val="方正小标宋_GBK"/>
    <w:panose1 w:val="00000000000000000000"/>
    <w:charset w:val="86"/>
    <w:family w:val="modern"/>
    <w:pitch w:val="default"/>
    <w:sig w:usb0="00000000" w:usb1="00000000" w:usb2="0000001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大标宋简体">
    <w:altName w:val="方正书宋_GBK"/>
    <w:panose1 w:val="03000509000000000000"/>
    <w:charset w:val="86"/>
    <w:family w:val="script"/>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Batang">
    <w:altName w:val="方正书宋_GBK"/>
    <w:panose1 w:val="02030600000101010101"/>
    <w:charset w:val="81"/>
    <w:family w:val="roman"/>
    <w:pitch w:val="default"/>
    <w:sig w:usb0="00000000" w:usb1="00000000" w:usb2="00000030" w:usb3="00000000" w:csb0="4008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page" w:x="1949" w:y="-34"/>
      <w:rPr>
        <w:rStyle w:val="13"/>
        <w:rFonts w:ascii="Batang" w:hAnsi="Batang" w:eastAsia="Batang"/>
        <w:b/>
        <w:sz w:val="26"/>
        <w:szCs w:val="26"/>
      </w:rPr>
    </w:pPr>
    <w:r>
      <w:rPr>
        <w:rStyle w:val="13"/>
        <w:rFonts w:hint="eastAsia" w:ascii="Batang" w:hAnsi="Batang" w:eastAsia="Batang"/>
        <w:b/>
        <w:sz w:val="26"/>
        <w:szCs w:val="26"/>
      </w:rPr>
      <w:t xml:space="preserve">— </w:t>
    </w:r>
    <w:r>
      <w:rPr>
        <w:rStyle w:val="13"/>
        <w:rFonts w:ascii="宋体" w:hAnsi="宋体"/>
        <w:sz w:val="28"/>
        <w:szCs w:val="28"/>
      </w:rPr>
      <w:fldChar w:fldCharType="begin"/>
    </w:r>
    <w:r>
      <w:rPr>
        <w:rStyle w:val="13"/>
        <w:rFonts w:ascii="宋体" w:hAnsi="宋体"/>
        <w:sz w:val="28"/>
        <w:szCs w:val="28"/>
      </w:rPr>
      <w:instrText xml:space="preserve">PAGE  </w:instrText>
    </w:r>
    <w:r>
      <w:rPr>
        <w:rStyle w:val="13"/>
        <w:rFonts w:ascii="宋体" w:hAnsi="宋体"/>
        <w:sz w:val="28"/>
        <w:szCs w:val="28"/>
      </w:rPr>
      <w:fldChar w:fldCharType="separate"/>
    </w:r>
    <w:r>
      <w:rPr>
        <w:rStyle w:val="13"/>
        <w:rFonts w:ascii="宋体" w:hAnsi="宋体"/>
        <w:sz w:val="28"/>
        <w:szCs w:val="28"/>
      </w:rPr>
      <w:t>2</w:t>
    </w:r>
    <w:r>
      <w:rPr>
        <w:rStyle w:val="13"/>
        <w:rFonts w:ascii="宋体" w:hAnsi="宋体"/>
        <w:sz w:val="28"/>
        <w:szCs w:val="28"/>
      </w:rPr>
      <w:fldChar w:fldCharType="end"/>
    </w:r>
    <w:r>
      <w:rPr>
        <w:rStyle w:val="13"/>
        <w:rFonts w:hint="eastAsia" w:ascii="Batang" w:hAnsi="Batang" w:eastAsia="Batang"/>
        <w:b/>
        <w:sz w:val="26"/>
        <w:szCs w:val="26"/>
      </w:rPr>
      <w:t xml:space="preserve"> —</w:t>
    </w:r>
  </w:p>
  <w:p>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59B1A9"/>
    <w:multiLevelType w:val="singleLevel"/>
    <w:tmpl w:val="5159B1A9"/>
    <w:lvl w:ilvl="0" w:tentative="0">
      <w:start w:val="1"/>
      <w:numFmt w:val="chineseCounting"/>
      <w:suff w:val="nothing"/>
      <w:lvlText w:val="%1、"/>
      <w:lvlJc w:val="left"/>
      <w:rPr>
        <w:rFonts w:hint="eastAsia" w:ascii="黑体" w:hAnsi="黑体" w:eastAsia="黑体" w:cs="黑体"/>
      </w:rPr>
    </w:lvl>
  </w:abstractNum>
  <w:abstractNum w:abstractNumId="1">
    <w:nsid w:val="74631F17"/>
    <w:multiLevelType w:val="singleLevel"/>
    <w:tmpl w:val="74631F17"/>
    <w:lvl w:ilvl="0" w:tentative="0">
      <w:start w:val="1"/>
      <w:numFmt w:val="chineseCounting"/>
      <w:suff w:val="nothing"/>
      <w:lvlText w:val="（%1）"/>
      <w:lvlJc w:val="left"/>
      <w:rPr>
        <w:rFonts w:hint="eastAsia" w:ascii="楷体_GB2312" w:hAnsi="楷体_GB2312" w:eastAsia="楷体_GB2312" w:cs="楷体_GB231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revisionView w:markup="0"/>
  <w:trackRevisions w:val="true"/>
  <w:documentProtection w:enforcement="0"/>
  <w:defaultTabStop w:val="420"/>
  <w:evenAndOddHeaders w:val="true"/>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I1NWRhZDZjNTAyNDhkOTNmNjE0YTExMmIxMDI5MGQifQ=="/>
  </w:docVars>
  <w:rsids>
    <w:rsidRoot w:val="000231F8"/>
    <w:rsid w:val="00003F52"/>
    <w:rsid w:val="00011DA9"/>
    <w:rsid w:val="0002183F"/>
    <w:rsid w:val="000231F8"/>
    <w:rsid w:val="00036489"/>
    <w:rsid w:val="000700CC"/>
    <w:rsid w:val="00077027"/>
    <w:rsid w:val="000869B5"/>
    <w:rsid w:val="0009434B"/>
    <w:rsid w:val="000A353B"/>
    <w:rsid w:val="000A6832"/>
    <w:rsid w:val="000A6F35"/>
    <w:rsid w:val="000B197C"/>
    <w:rsid w:val="000D196D"/>
    <w:rsid w:val="000D33B1"/>
    <w:rsid w:val="000F4E90"/>
    <w:rsid w:val="00100757"/>
    <w:rsid w:val="0010213E"/>
    <w:rsid w:val="00106188"/>
    <w:rsid w:val="0014089E"/>
    <w:rsid w:val="00150CA0"/>
    <w:rsid w:val="00173CDB"/>
    <w:rsid w:val="001A4DC3"/>
    <w:rsid w:val="001A7908"/>
    <w:rsid w:val="001D3BAC"/>
    <w:rsid w:val="001F552B"/>
    <w:rsid w:val="002130DA"/>
    <w:rsid w:val="0024259F"/>
    <w:rsid w:val="00253FE1"/>
    <w:rsid w:val="0027269A"/>
    <w:rsid w:val="002B4AFF"/>
    <w:rsid w:val="002D7EB3"/>
    <w:rsid w:val="002E16B3"/>
    <w:rsid w:val="002F1D65"/>
    <w:rsid w:val="002F4075"/>
    <w:rsid w:val="003052E8"/>
    <w:rsid w:val="003209CD"/>
    <w:rsid w:val="003237E7"/>
    <w:rsid w:val="00331AB4"/>
    <w:rsid w:val="00357038"/>
    <w:rsid w:val="003612BD"/>
    <w:rsid w:val="00372CF5"/>
    <w:rsid w:val="00376377"/>
    <w:rsid w:val="00383032"/>
    <w:rsid w:val="003B37D7"/>
    <w:rsid w:val="003B5359"/>
    <w:rsid w:val="003B5CB0"/>
    <w:rsid w:val="003D3CB0"/>
    <w:rsid w:val="003F7211"/>
    <w:rsid w:val="00412821"/>
    <w:rsid w:val="004231BA"/>
    <w:rsid w:val="00434E1A"/>
    <w:rsid w:val="004403B6"/>
    <w:rsid w:val="004767A2"/>
    <w:rsid w:val="004A735E"/>
    <w:rsid w:val="004B51A8"/>
    <w:rsid w:val="004E3565"/>
    <w:rsid w:val="0050219F"/>
    <w:rsid w:val="005152DA"/>
    <w:rsid w:val="00516025"/>
    <w:rsid w:val="00531041"/>
    <w:rsid w:val="00554D44"/>
    <w:rsid w:val="005623C3"/>
    <w:rsid w:val="0059305A"/>
    <w:rsid w:val="00597E4B"/>
    <w:rsid w:val="005B0C51"/>
    <w:rsid w:val="005C46C8"/>
    <w:rsid w:val="005E7476"/>
    <w:rsid w:val="005F1F48"/>
    <w:rsid w:val="005F5E67"/>
    <w:rsid w:val="00630E25"/>
    <w:rsid w:val="00634DF2"/>
    <w:rsid w:val="006353A9"/>
    <w:rsid w:val="006417AF"/>
    <w:rsid w:val="00642E43"/>
    <w:rsid w:val="00647045"/>
    <w:rsid w:val="00656249"/>
    <w:rsid w:val="00661DAD"/>
    <w:rsid w:val="00666F29"/>
    <w:rsid w:val="006C2358"/>
    <w:rsid w:val="006D32B9"/>
    <w:rsid w:val="007008AA"/>
    <w:rsid w:val="00702018"/>
    <w:rsid w:val="00705CF6"/>
    <w:rsid w:val="00713D9A"/>
    <w:rsid w:val="007160D6"/>
    <w:rsid w:val="00722937"/>
    <w:rsid w:val="00722C98"/>
    <w:rsid w:val="00735528"/>
    <w:rsid w:val="00767598"/>
    <w:rsid w:val="007813A7"/>
    <w:rsid w:val="00782577"/>
    <w:rsid w:val="00783DD8"/>
    <w:rsid w:val="007A6982"/>
    <w:rsid w:val="007B7B3C"/>
    <w:rsid w:val="007C0C60"/>
    <w:rsid w:val="007D0AE5"/>
    <w:rsid w:val="007D37A9"/>
    <w:rsid w:val="008023BD"/>
    <w:rsid w:val="00804357"/>
    <w:rsid w:val="00815753"/>
    <w:rsid w:val="00830264"/>
    <w:rsid w:val="008409D8"/>
    <w:rsid w:val="00867708"/>
    <w:rsid w:val="00877A64"/>
    <w:rsid w:val="008B244B"/>
    <w:rsid w:val="008B39EF"/>
    <w:rsid w:val="008C0D37"/>
    <w:rsid w:val="008C3704"/>
    <w:rsid w:val="008C5E11"/>
    <w:rsid w:val="008C68C8"/>
    <w:rsid w:val="008D52CC"/>
    <w:rsid w:val="009326FF"/>
    <w:rsid w:val="00934038"/>
    <w:rsid w:val="009377AE"/>
    <w:rsid w:val="009458C8"/>
    <w:rsid w:val="00965707"/>
    <w:rsid w:val="009701C2"/>
    <w:rsid w:val="009A1D09"/>
    <w:rsid w:val="009A5690"/>
    <w:rsid w:val="009D50B7"/>
    <w:rsid w:val="009D650A"/>
    <w:rsid w:val="009E0429"/>
    <w:rsid w:val="009F62BD"/>
    <w:rsid w:val="00A31E4F"/>
    <w:rsid w:val="00A60B3B"/>
    <w:rsid w:val="00A80692"/>
    <w:rsid w:val="00A86D14"/>
    <w:rsid w:val="00AF370B"/>
    <w:rsid w:val="00B00EB3"/>
    <w:rsid w:val="00B067D8"/>
    <w:rsid w:val="00B16530"/>
    <w:rsid w:val="00B53CDD"/>
    <w:rsid w:val="00BA40CA"/>
    <w:rsid w:val="00BC5DE6"/>
    <w:rsid w:val="00BD5992"/>
    <w:rsid w:val="00BF15D0"/>
    <w:rsid w:val="00C02135"/>
    <w:rsid w:val="00C02EB0"/>
    <w:rsid w:val="00C13AE4"/>
    <w:rsid w:val="00C360B2"/>
    <w:rsid w:val="00C47669"/>
    <w:rsid w:val="00C546B1"/>
    <w:rsid w:val="00CA196E"/>
    <w:rsid w:val="00CA780F"/>
    <w:rsid w:val="00CD54CD"/>
    <w:rsid w:val="00CE3E39"/>
    <w:rsid w:val="00CE605A"/>
    <w:rsid w:val="00D06019"/>
    <w:rsid w:val="00D27F03"/>
    <w:rsid w:val="00D37AE6"/>
    <w:rsid w:val="00D55C9D"/>
    <w:rsid w:val="00DA192A"/>
    <w:rsid w:val="00DA5295"/>
    <w:rsid w:val="00DB1FB0"/>
    <w:rsid w:val="00DC2416"/>
    <w:rsid w:val="00DD5232"/>
    <w:rsid w:val="00DE6A4D"/>
    <w:rsid w:val="00DF42AD"/>
    <w:rsid w:val="00E030C8"/>
    <w:rsid w:val="00E05712"/>
    <w:rsid w:val="00E57B1B"/>
    <w:rsid w:val="00E663B9"/>
    <w:rsid w:val="00E66629"/>
    <w:rsid w:val="00E92FFE"/>
    <w:rsid w:val="00EB40DF"/>
    <w:rsid w:val="00EB4B2D"/>
    <w:rsid w:val="00EC1C5B"/>
    <w:rsid w:val="00EE5B4A"/>
    <w:rsid w:val="00F25609"/>
    <w:rsid w:val="00F26CF2"/>
    <w:rsid w:val="00F51A6D"/>
    <w:rsid w:val="00F57E12"/>
    <w:rsid w:val="00F75566"/>
    <w:rsid w:val="00FC33C9"/>
    <w:rsid w:val="00FC3BF2"/>
    <w:rsid w:val="00FD4ECB"/>
    <w:rsid w:val="00FE0A51"/>
    <w:rsid w:val="00FE59B0"/>
    <w:rsid w:val="067E1A05"/>
    <w:rsid w:val="0DDE20AF"/>
    <w:rsid w:val="117131E6"/>
    <w:rsid w:val="1E1A00FC"/>
    <w:rsid w:val="1EDE69D7"/>
    <w:rsid w:val="20FE215E"/>
    <w:rsid w:val="23251710"/>
    <w:rsid w:val="285062DC"/>
    <w:rsid w:val="343C7B4A"/>
    <w:rsid w:val="352E5824"/>
    <w:rsid w:val="42A57587"/>
    <w:rsid w:val="5414425D"/>
    <w:rsid w:val="575456E9"/>
    <w:rsid w:val="62EC6DA3"/>
    <w:rsid w:val="6BEE4B69"/>
    <w:rsid w:val="6F910005"/>
    <w:rsid w:val="78C23B17"/>
    <w:rsid w:val="7BF5219A"/>
    <w:rsid w:val="7C463C0A"/>
    <w:rsid w:val="7D793E42"/>
    <w:rsid w:val="BFE83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99"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djustRightInd w:val="0"/>
      <w:jc w:val="distribute"/>
      <w:outlineLvl w:val="0"/>
    </w:pPr>
    <w:rPr>
      <w:rFonts w:eastAsia="文鼎小标宋简"/>
      <w:b/>
      <w:color w:val="FF0000"/>
      <w:kern w:val="44"/>
      <w:sz w:val="72"/>
      <w:szCs w:val="20"/>
    </w:rPr>
  </w:style>
  <w:style w:type="paragraph" w:styleId="4">
    <w:name w:val="heading 3"/>
    <w:basedOn w:val="1"/>
    <w:next w:val="1"/>
    <w:link w:val="18"/>
    <w:semiHidden/>
    <w:unhideWhenUsed/>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spacing w:before="100" w:beforeAutospacing="1" w:after="100" w:afterAutospacing="1"/>
      <w:ind w:left="420" w:leftChars="200"/>
    </w:pPr>
  </w:style>
  <w:style w:type="paragraph" w:styleId="5">
    <w:name w:val="index 8"/>
    <w:basedOn w:val="1"/>
    <w:next w:val="1"/>
    <w:qFormat/>
    <w:uiPriority w:val="99"/>
    <w:pPr>
      <w:ind w:left="2940"/>
    </w:pPr>
  </w:style>
  <w:style w:type="paragraph" w:styleId="6">
    <w:name w:val="Plain Text"/>
    <w:basedOn w:val="1"/>
    <w:next w:val="5"/>
    <w:qFormat/>
    <w:uiPriority w:val="0"/>
    <w:rPr>
      <w:rFonts w:ascii="宋体" w:hAnsi="Courier New" w:eastAsia="宋体" w:cs="Courier New"/>
      <w:sz w:val="21"/>
      <w:szCs w:val="21"/>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3">
    <w:name w:val="page number"/>
    <w:basedOn w:val="12"/>
    <w:qFormat/>
    <w:uiPriority w:val="0"/>
  </w:style>
  <w:style w:type="character" w:styleId="14">
    <w:name w:val="Hyperlink"/>
    <w:unhideWhenUsed/>
    <w:qFormat/>
    <w:uiPriority w:val="99"/>
    <w:rPr>
      <w:color w:val="0563C1"/>
      <w:u w:val="single"/>
    </w:rPr>
  </w:style>
  <w:style w:type="paragraph" w:customStyle="1" w:styleId="15">
    <w:name w:val="秘密紧急"/>
    <w:basedOn w:val="1"/>
    <w:qFormat/>
    <w:uiPriority w:val="0"/>
    <w:pPr>
      <w:jc w:val="right"/>
    </w:pPr>
    <w:rPr>
      <w:rFonts w:ascii="黑体" w:eastAsia="黑体"/>
      <w:sz w:val="32"/>
      <w:szCs w:val="20"/>
    </w:rPr>
  </w:style>
  <w:style w:type="paragraph" w:customStyle="1" w:styleId="16">
    <w:name w:val="默认段落字体 Para Char Char Char Char Char Char Char Char Char Char"/>
    <w:basedOn w:val="1"/>
    <w:qFormat/>
    <w:uiPriority w:val="0"/>
    <w:rPr>
      <w:szCs w:val="21"/>
    </w:rPr>
  </w:style>
  <w:style w:type="paragraph" w:customStyle="1" w:styleId="17">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
    <w:name w:val="标题 3 Char"/>
    <w:basedOn w:val="12"/>
    <w:link w:val="4"/>
    <w:semiHidden/>
    <w:qFormat/>
    <w:uiPriority w:val="0"/>
    <w:rPr>
      <w:b/>
      <w:bCs/>
      <w:kern w:val="2"/>
      <w:sz w:val="32"/>
      <w:szCs w:val="32"/>
    </w:rPr>
  </w:style>
  <w:style w:type="paragraph" w:customStyle="1" w:styleId="19">
    <w:name w:val="列出段落1"/>
    <w:basedOn w:val="1"/>
    <w:qFormat/>
    <w:uiPriority w:val="34"/>
    <w:pPr>
      <w:spacing w:line="360" w:lineRule="auto"/>
      <w:ind w:firstLine="420" w:firstLineChars="200"/>
    </w:pPr>
    <w:rPr>
      <w:rFonts w:ascii="宋体" w:hAnsi="宋体" w:cs="黑体"/>
      <w:sz w:val="28"/>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opt/kingsoft/wps-office/office6/C:\Documents%20and%20Settings\dell\Application%20Data\Microsoft\Templates\Normal&#25919;&#2422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Normal政府</Template>
  <Company>盐田区政府</Company>
  <Pages>4</Pages>
  <Words>1431</Words>
  <Characters>1492</Characters>
  <Lines>3</Lines>
  <Paragraphs>1</Paragraphs>
  <TotalTime>19</TotalTime>
  <ScaleCrop>false</ScaleCrop>
  <LinksUpToDate>false</LinksUpToDate>
  <CharactersWithSpaces>1564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2020-09-14T16:16:00Z</dcterms:created>
  <dc:creator>dell</dc:creator>
  <cp:lastModifiedBy>yt</cp:lastModifiedBy>
  <cp:lastPrinted>2022-08-15T10:52:00Z</cp:lastPrinted>
  <dcterms:modified xsi:type="dcterms:W3CDTF">2022-09-14T17:03:15Z</dcterms:modified>
  <dc:title>市委文件印制格式标准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AE81951AB96C4E1990E7063BE8E56A02</vt:lpwstr>
  </property>
</Properties>
</file>