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left"/>
        <w:rPr>
          <w:rFonts w:hint="default" w:ascii="黑体" w:hAnsi="宋体" w:eastAsia="黑体"/>
          <w:spacing w:val="20"/>
          <w:sz w:val="32"/>
          <w:szCs w:val="32"/>
        </w:rPr>
      </w:pPr>
      <w:r>
        <w:rPr>
          <w:rFonts w:hint="eastAsia" w:ascii="黑体" w:hAnsi="宋体" w:eastAsia="黑体"/>
          <w:spacing w:val="20"/>
          <w:sz w:val="32"/>
          <w:szCs w:val="32"/>
        </w:rPr>
        <w:t>附件</w:t>
      </w:r>
      <w:r>
        <w:rPr>
          <w:rFonts w:hint="default" w:ascii="黑体" w:hAnsi="宋体" w:eastAsia="黑体"/>
          <w:spacing w:val="20"/>
          <w:sz w:val="32"/>
          <w:szCs w:val="32"/>
        </w:rPr>
        <w:t>1</w:t>
      </w:r>
    </w:p>
    <w:p>
      <w:pPr>
        <w:jc w:val="center"/>
        <w:rPr>
          <w:rFonts w:ascii="仿宋_GB2312" w:hAnsi="仿宋" w:eastAsia="仿宋_GB2312"/>
          <w:b/>
          <w:sz w:val="40"/>
          <w:szCs w:val="28"/>
        </w:rPr>
      </w:pPr>
      <w:r>
        <w:rPr>
          <w:rFonts w:hint="eastAsia" w:ascii="仿宋_GB2312" w:hAnsi="仿宋" w:eastAsia="仿宋_GB2312"/>
          <w:b/>
          <w:sz w:val="40"/>
          <w:szCs w:val="28"/>
        </w:rPr>
        <w:t>深圳市城市更新项目保障性住房配建规定</w:t>
      </w:r>
    </w:p>
    <w:p>
      <w:pPr>
        <w:jc w:val="center"/>
        <w:rPr>
          <w:rFonts w:ascii="仿宋_GB2312" w:hAnsi="仿宋" w:eastAsia="仿宋_GB2312"/>
          <w:b/>
          <w:sz w:val="40"/>
          <w:szCs w:val="28"/>
        </w:rPr>
      </w:pPr>
      <w:r>
        <w:rPr>
          <w:rFonts w:hint="eastAsia" w:ascii="仿宋_GB2312" w:hAnsi="仿宋" w:eastAsia="仿宋_GB2312"/>
          <w:b/>
          <w:sz w:val="40"/>
          <w:szCs w:val="28"/>
        </w:rPr>
        <w:t>（</w:t>
      </w:r>
      <w:bookmarkStart w:id="1" w:name="_GoBack"/>
      <w:bookmarkEnd w:id="1"/>
      <w:r>
        <w:rPr>
          <w:rFonts w:hint="eastAsia" w:ascii="仿宋_GB2312" w:hAnsi="仿宋" w:eastAsia="仿宋_GB2312"/>
          <w:b/>
          <w:sz w:val="40"/>
          <w:szCs w:val="28"/>
        </w:rPr>
        <w:t>征求意见稿）</w:t>
      </w:r>
    </w:p>
    <w:p>
      <w:pPr>
        <w:ind w:firstLine="562" w:firstLineChars="200"/>
        <w:rPr>
          <w:rFonts w:ascii="仿宋_GB2312" w:hAnsi="仿宋" w:eastAsia="仿宋_GB2312"/>
          <w:b/>
          <w:sz w:val="28"/>
          <w:szCs w:val="28"/>
        </w:rPr>
      </w:pPr>
    </w:p>
    <w:p>
      <w:pPr>
        <w:ind w:firstLine="642" w:firstLineChars="200"/>
        <w:rPr>
          <w:rFonts w:ascii="仿宋_GB2312" w:hAnsi="仿宋" w:eastAsia="仿宋_GB2312"/>
          <w:sz w:val="32"/>
          <w:szCs w:val="32"/>
        </w:rPr>
      </w:pPr>
      <w:r>
        <w:rPr>
          <w:rFonts w:hint="eastAsia" w:ascii="仿宋_GB2312" w:hAnsi="仿宋" w:eastAsia="仿宋_GB2312"/>
          <w:b/>
          <w:sz w:val="32"/>
          <w:szCs w:val="32"/>
        </w:rPr>
        <w:t>第一条</w:t>
      </w:r>
      <w:r>
        <w:rPr>
          <w:rFonts w:hint="eastAsia" w:ascii="仿宋_GB2312" w:hAnsi="仿宋" w:eastAsia="仿宋_GB2312"/>
          <w:sz w:val="32"/>
          <w:szCs w:val="32"/>
        </w:rPr>
        <w:t xml:space="preserve"> 为落实我市安居工程建设要求，多渠道增加保障性住房供应，有效促进产城融合，根据《中共中央办公厅国务院办公厅关于建立房地产市场平稳健康发展城市主体责任制的通知》、《深圳市人民政府关于深化住房制度改革加快建立多主体供给多渠道保障租购并举的住房供应与保障体系的意见》、《深圳经济特区城市更新条例》等有关规定，制定本规定。</w:t>
      </w:r>
    </w:p>
    <w:p>
      <w:pPr>
        <w:ind w:firstLine="642" w:firstLineChars="200"/>
        <w:rPr>
          <w:rFonts w:ascii="仿宋_GB2312" w:hAnsi="仿宋" w:eastAsia="仿宋_GB2312"/>
          <w:sz w:val="32"/>
          <w:szCs w:val="32"/>
        </w:rPr>
      </w:pPr>
      <w:r>
        <w:rPr>
          <w:rFonts w:hint="eastAsia" w:ascii="仿宋_GB2312" w:hAnsi="仿宋" w:eastAsia="仿宋_GB2312"/>
          <w:b/>
          <w:sz w:val="32"/>
          <w:szCs w:val="32"/>
        </w:rPr>
        <w:t>第二条</w:t>
      </w:r>
      <w:r>
        <w:rPr>
          <w:rFonts w:hint="eastAsia" w:ascii="仿宋_GB2312" w:hAnsi="仿宋" w:eastAsia="仿宋_GB2312"/>
          <w:sz w:val="32"/>
          <w:szCs w:val="32"/>
        </w:rPr>
        <w:t xml:space="preserve"> 本规定适用于城市更新项目中保障性住房的配建及建设。本规定所称的保障性住房，是指公租房、保障性租赁住房和共有产权房。本规定所称保障性住房的配建是指在规划功能含住宅的各类城市更新项目中按建筑面积的一定比例进行配建。本规定所称保障性住房的建设是指通过城市更新安排保障性住房用地进行建设。</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第三条 </w:t>
      </w:r>
      <w:r>
        <w:rPr>
          <w:rFonts w:hint="eastAsia" w:ascii="仿宋_GB2312" w:hAnsi="仿宋" w:eastAsia="仿宋_GB2312"/>
          <w:sz w:val="32"/>
          <w:szCs w:val="32"/>
        </w:rPr>
        <w:t>城市更新项目保障性住房的类型、配建比例、规模在城市更新单元规划中予以明确。其中保障性住房的类型在城市更新单元规划审查过程中由区城市更新主管部门商区住房建设主管部门确定。</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第四条 </w:t>
      </w:r>
      <w:r>
        <w:rPr>
          <w:rFonts w:hint="eastAsia" w:ascii="仿宋_GB2312" w:hAnsi="仿宋" w:eastAsia="仿宋_GB2312"/>
          <w:sz w:val="32"/>
          <w:szCs w:val="32"/>
        </w:rPr>
        <w:t>城市更新项目保障性住房的配建比例是指配建保障性住房的建筑面积占该项目规划批准住宅建筑面积的比例，配建比例按照项目改造类型结合保障性住房配建空间范围图明确的分级地区确定，具体比例如下表（表1）:</w:t>
      </w:r>
    </w:p>
    <w:p>
      <w:pPr>
        <w:spacing w:after="156" w:afterLines="50"/>
        <w:ind w:firstLine="640" w:firstLineChars="200"/>
        <w:jc w:val="center"/>
        <w:rPr>
          <w:rFonts w:ascii="仿宋_GB2312" w:hAnsi="仿宋" w:eastAsia="仿宋_GB2312"/>
          <w:sz w:val="32"/>
          <w:szCs w:val="32"/>
        </w:rPr>
      </w:pPr>
      <w:r>
        <w:rPr>
          <w:rFonts w:hint="eastAsia" w:ascii="仿宋_GB2312" w:hAnsi="仿宋" w:eastAsia="仿宋_GB2312"/>
          <w:sz w:val="32"/>
          <w:szCs w:val="32"/>
        </w:rPr>
        <w:t>表1 城市更新项目保障性住房配建比例表</w:t>
      </w:r>
    </w:p>
    <w:tbl>
      <w:tblPr>
        <w:tblStyle w:val="5"/>
        <w:tblW w:w="5000" w:type="pct"/>
        <w:tblInd w:w="0" w:type="dxa"/>
        <w:tblLayout w:type="autofit"/>
        <w:tblCellMar>
          <w:top w:w="0" w:type="dxa"/>
          <w:left w:w="0" w:type="dxa"/>
          <w:bottom w:w="0" w:type="dxa"/>
          <w:right w:w="0" w:type="dxa"/>
        </w:tblCellMar>
      </w:tblPr>
      <w:tblGrid>
        <w:gridCol w:w="2090"/>
        <w:gridCol w:w="1371"/>
        <w:gridCol w:w="1432"/>
        <w:gridCol w:w="1339"/>
        <w:gridCol w:w="2223"/>
      </w:tblGrid>
      <w:tr>
        <w:tblPrEx>
          <w:tblCellMar>
            <w:top w:w="0" w:type="dxa"/>
            <w:left w:w="0" w:type="dxa"/>
            <w:bottom w:w="0" w:type="dxa"/>
            <w:right w:w="0" w:type="dxa"/>
          </w:tblCellMar>
        </w:tblPrEx>
        <w:trPr>
          <w:trHeight w:val="18" w:hRule="atLeast"/>
        </w:trPr>
        <w:tc>
          <w:tcPr>
            <w:tcW w:w="1236" w:type="pct"/>
            <w:tcBorders>
              <w:top w:val="single" w:color="auto" w:sz="4" w:space="0"/>
              <w:left w:val="single" w:color="auto" w:sz="4" w:space="0"/>
              <w:bottom w:val="single" w:color="auto" w:sz="4" w:space="0"/>
              <w:right w:val="single" w:color="auto" w:sz="4" w:space="0"/>
              <w:tl2br w:val="single" w:color="auto" w:sz="4" w:space="0"/>
            </w:tcBorders>
            <w:shd w:val="clear" w:color="auto" w:fill="auto"/>
            <w:tcMar>
              <w:top w:w="72" w:type="dxa"/>
              <w:left w:w="144" w:type="dxa"/>
              <w:bottom w:w="72" w:type="dxa"/>
              <w:right w:w="144" w:type="dxa"/>
            </w:tcMar>
          </w:tcPr>
          <w:p>
            <w:pPr>
              <w:ind w:firstLine="720" w:firstLineChars="300"/>
              <w:rPr>
                <w:rFonts w:ascii="仿宋_GB2312" w:hAnsi="仿宋" w:eastAsia="仿宋_GB2312"/>
                <w:sz w:val="24"/>
                <w:szCs w:val="24"/>
              </w:rPr>
            </w:pPr>
            <w:r>
              <w:rPr>
                <w:rFonts w:hint="eastAsia" w:ascii="仿宋_GB2312" w:hAnsi="仿宋" w:eastAsia="仿宋_GB2312"/>
                <w:sz w:val="24"/>
                <w:szCs w:val="24"/>
              </w:rPr>
              <w:t>改造类型</w:t>
            </w:r>
          </w:p>
          <w:p>
            <w:pPr>
              <w:ind w:firstLine="720" w:firstLineChars="300"/>
              <w:rPr>
                <w:rFonts w:ascii="仿宋_GB2312" w:hAnsi="仿宋" w:eastAsia="仿宋_GB2312"/>
                <w:sz w:val="24"/>
                <w:szCs w:val="24"/>
              </w:rPr>
            </w:pPr>
          </w:p>
          <w:p>
            <w:pPr>
              <w:rPr>
                <w:rFonts w:ascii="仿宋_GB2312" w:hAnsi="仿宋" w:eastAsia="仿宋_GB2312"/>
                <w:sz w:val="24"/>
                <w:szCs w:val="24"/>
              </w:rPr>
            </w:pPr>
            <w:r>
              <w:rPr>
                <w:rFonts w:hint="eastAsia" w:ascii="仿宋_GB2312" w:hAnsi="仿宋" w:eastAsia="仿宋_GB2312"/>
                <w:sz w:val="24"/>
                <w:szCs w:val="24"/>
              </w:rPr>
              <w:t>分级地区</w:t>
            </w:r>
          </w:p>
        </w:tc>
        <w:tc>
          <w:tcPr>
            <w:tcW w:w="811" w:type="pct"/>
            <w:tcBorders>
              <w:top w:val="single" w:color="auto" w:sz="4" w:space="0"/>
              <w:left w:val="single" w:color="auto" w:sz="4" w:space="0"/>
              <w:bottom w:val="single" w:color="auto" w:sz="4" w:space="0"/>
              <w:right w:val="single" w:color="auto" w:sz="4" w:space="0"/>
            </w:tcBorders>
            <w:shd w:val="clear" w:color="auto" w:fill="auto"/>
            <w:tcMar>
              <w:top w:w="72" w:type="dxa"/>
              <w:left w:w="144" w:type="dxa"/>
              <w:bottom w:w="72" w:type="dxa"/>
              <w:right w:w="144" w:type="dxa"/>
            </w:tcMar>
            <w:vAlign w:val="center"/>
          </w:tcPr>
          <w:p>
            <w:pPr>
              <w:jc w:val="center"/>
              <w:rPr>
                <w:rFonts w:ascii="仿宋_GB2312" w:hAnsi="仿宋" w:eastAsia="仿宋_GB2312"/>
                <w:sz w:val="24"/>
                <w:szCs w:val="24"/>
              </w:rPr>
            </w:pPr>
            <w:r>
              <w:rPr>
                <w:rFonts w:hint="eastAsia" w:ascii="仿宋_GB2312" w:hAnsi="仿宋" w:eastAsia="仿宋_GB2312"/>
                <w:sz w:val="24"/>
                <w:szCs w:val="24"/>
              </w:rPr>
              <w:t>城中村（旧屋村）改造</w:t>
            </w:r>
          </w:p>
        </w:tc>
        <w:tc>
          <w:tcPr>
            <w:tcW w:w="847"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sz w:val="24"/>
                <w:szCs w:val="24"/>
              </w:rPr>
            </w:pPr>
            <w:r>
              <w:rPr>
                <w:rFonts w:hint="eastAsia" w:ascii="仿宋_GB2312" w:hAnsi="仿宋" w:eastAsia="仿宋_GB2312"/>
                <w:sz w:val="24"/>
                <w:szCs w:val="24"/>
              </w:rPr>
              <w:t>商业及其他旧区改造</w:t>
            </w:r>
          </w:p>
        </w:tc>
        <w:tc>
          <w:tcPr>
            <w:tcW w:w="792"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sz w:val="24"/>
                <w:szCs w:val="24"/>
              </w:rPr>
            </w:pPr>
            <w:r>
              <w:rPr>
                <w:rFonts w:hint="eastAsia" w:ascii="仿宋_GB2312" w:hAnsi="仿宋" w:eastAsia="仿宋_GB2312"/>
                <w:sz w:val="24"/>
                <w:szCs w:val="24"/>
              </w:rPr>
              <w:t>旧住宅区改造</w:t>
            </w:r>
          </w:p>
        </w:tc>
        <w:tc>
          <w:tcPr>
            <w:tcW w:w="1314" w:type="pct"/>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sz w:val="24"/>
                <w:szCs w:val="24"/>
              </w:rPr>
            </w:pPr>
            <w:r>
              <w:rPr>
                <w:rFonts w:hint="eastAsia" w:ascii="仿宋_GB2312" w:hAnsi="仿宋" w:eastAsia="仿宋_GB2312"/>
                <w:sz w:val="24"/>
                <w:szCs w:val="24"/>
              </w:rPr>
              <w:t>旧工业区、仓储区或</w:t>
            </w:r>
          </w:p>
          <w:p>
            <w:pPr>
              <w:jc w:val="center"/>
              <w:rPr>
                <w:rFonts w:ascii="仿宋_GB2312" w:hAnsi="仿宋" w:eastAsia="仿宋_GB2312"/>
                <w:sz w:val="24"/>
                <w:szCs w:val="24"/>
              </w:rPr>
            </w:pPr>
            <w:r>
              <w:rPr>
                <w:rFonts w:hint="eastAsia" w:ascii="仿宋_GB2312" w:hAnsi="仿宋" w:eastAsia="仿宋_GB2312"/>
                <w:sz w:val="24"/>
                <w:szCs w:val="24"/>
              </w:rPr>
              <w:t>城市基础设施及公共服务设施改造</w:t>
            </w:r>
          </w:p>
        </w:tc>
      </w:tr>
      <w:tr>
        <w:tblPrEx>
          <w:tblCellMar>
            <w:top w:w="0" w:type="dxa"/>
            <w:left w:w="0" w:type="dxa"/>
            <w:bottom w:w="0" w:type="dxa"/>
            <w:right w:w="0" w:type="dxa"/>
          </w:tblCellMar>
        </w:tblPrEx>
        <w:trPr>
          <w:trHeight w:val="17" w:hRule="atLeast"/>
        </w:trPr>
        <w:tc>
          <w:tcPr>
            <w:tcW w:w="1236" w:type="pct"/>
            <w:tcBorders>
              <w:top w:val="single" w:color="auto" w:sz="4" w:space="0"/>
              <w:left w:val="single" w:color="auto" w:sz="4" w:space="0"/>
              <w:bottom w:val="single" w:color="auto" w:sz="4" w:space="0"/>
              <w:right w:val="single" w:color="auto" w:sz="4" w:space="0"/>
            </w:tcBorders>
            <w:shd w:val="clear" w:color="auto" w:fill="auto"/>
            <w:tcMar>
              <w:top w:w="13" w:type="dxa"/>
              <w:left w:w="13" w:type="dxa"/>
              <w:bottom w:w="0" w:type="dxa"/>
              <w:right w:w="13" w:type="dxa"/>
            </w:tcMar>
            <w:vAlign w:val="center"/>
          </w:tcPr>
          <w:p>
            <w:pPr>
              <w:jc w:val="center"/>
              <w:rPr>
                <w:rFonts w:ascii="仿宋_GB2312" w:hAnsi="仿宋" w:eastAsia="仿宋_GB2312"/>
                <w:sz w:val="24"/>
                <w:szCs w:val="24"/>
              </w:rPr>
            </w:pPr>
            <w:r>
              <w:rPr>
                <w:rFonts w:hint="eastAsia" w:ascii="仿宋_GB2312" w:hAnsi="仿宋" w:eastAsia="仿宋_GB2312"/>
                <w:sz w:val="24"/>
                <w:szCs w:val="24"/>
              </w:rPr>
              <w:t>一类地区</w:t>
            </w:r>
          </w:p>
        </w:tc>
        <w:tc>
          <w:tcPr>
            <w:tcW w:w="811" w:type="pct"/>
            <w:tcBorders>
              <w:top w:val="single" w:color="auto" w:sz="4" w:space="0"/>
              <w:left w:val="single" w:color="auto" w:sz="4" w:space="0"/>
              <w:bottom w:val="single" w:color="auto" w:sz="4" w:space="0"/>
              <w:right w:val="single" w:color="auto" w:sz="4" w:space="0"/>
            </w:tcBorders>
            <w:shd w:val="clear" w:color="auto" w:fill="auto"/>
            <w:tcMar>
              <w:top w:w="72" w:type="dxa"/>
              <w:left w:w="144" w:type="dxa"/>
              <w:bottom w:w="72" w:type="dxa"/>
              <w:right w:w="144" w:type="dxa"/>
            </w:tcMar>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13%</w:t>
            </w:r>
          </w:p>
        </w:tc>
        <w:tc>
          <w:tcPr>
            <w:tcW w:w="847"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18%</w:t>
            </w:r>
          </w:p>
        </w:tc>
        <w:tc>
          <w:tcPr>
            <w:tcW w:w="792"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24%</w:t>
            </w:r>
          </w:p>
        </w:tc>
        <w:tc>
          <w:tcPr>
            <w:tcW w:w="1314"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33%</w:t>
            </w:r>
          </w:p>
        </w:tc>
      </w:tr>
      <w:tr>
        <w:tblPrEx>
          <w:tblCellMar>
            <w:top w:w="0" w:type="dxa"/>
            <w:left w:w="0" w:type="dxa"/>
            <w:bottom w:w="0" w:type="dxa"/>
            <w:right w:w="0" w:type="dxa"/>
          </w:tblCellMar>
        </w:tblPrEx>
        <w:trPr>
          <w:trHeight w:val="17" w:hRule="atLeast"/>
        </w:trPr>
        <w:tc>
          <w:tcPr>
            <w:tcW w:w="1236" w:type="pct"/>
            <w:tcBorders>
              <w:top w:val="single" w:color="auto" w:sz="4" w:space="0"/>
              <w:left w:val="single" w:color="auto" w:sz="4" w:space="0"/>
              <w:bottom w:val="single" w:color="auto" w:sz="4" w:space="0"/>
              <w:right w:val="single" w:color="auto" w:sz="4" w:space="0"/>
            </w:tcBorders>
            <w:shd w:val="clear" w:color="auto" w:fill="auto"/>
            <w:tcMar>
              <w:top w:w="13" w:type="dxa"/>
              <w:left w:w="13" w:type="dxa"/>
              <w:bottom w:w="0" w:type="dxa"/>
              <w:right w:w="13" w:type="dxa"/>
            </w:tcMar>
            <w:vAlign w:val="center"/>
          </w:tcPr>
          <w:p>
            <w:pPr>
              <w:jc w:val="center"/>
              <w:rPr>
                <w:rFonts w:ascii="仿宋_GB2312" w:hAnsi="仿宋" w:eastAsia="仿宋_GB2312"/>
                <w:sz w:val="24"/>
                <w:szCs w:val="24"/>
              </w:rPr>
            </w:pPr>
            <w:r>
              <w:rPr>
                <w:rFonts w:hint="eastAsia" w:ascii="仿宋_GB2312" w:hAnsi="仿宋" w:eastAsia="仿宋_GB2312"/>
                <w:sz w:val="24"/>
                <w:szCs w:val="24"/>
              </w:rPr>
              <w:t>二类地区</w:t>
            </w:r>
          </w:p>
        </w:tc>
        <w:tc>
          <w:tcPr>
            <w:tcW w:w="811" w:type="pct"/>
            <w:tcBorders>
              <w:top w:val="single" w:color="auto" w:sz="4" w:space="0"/>
              <w:left w:val="single" w:color="auto" w:sz="4" w:space="0"/>
              <w:bottom w:val="single" w:color="auto" w:sz="4" w:space="0"/>
              <w:right w:val="single" w:color="auto" w:sz="4" w:space="0"/>
            </w:tcBorders>
            <w:shd w:val="clear" w:color="auto" w:fill="auto"/>
            <w:tcMar>
              <w:top w:w="72" w:type="dxa"/>
              <w:left w:w="144" w:type="dxa"/>
              <w:bottom w:w="72" w:type="dxa"/>
              <w:right w:w="144" w:type="dxa"/>
            </w:tcMar>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11%</w:t>
            </w:r>
          </w:p>
        </w:tc>
        <w:tc>
          <w:tcPr>
            <w:tcW w:w="847"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16%</w:t>
            </w:r>
          </w:p>
        </w:tc>
        <w:tc>
          <w:tcPr>
            <w:tcW w:w="792"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22%</w:t>
            </w:r>
          </w:p>
        </w:tc>
        <w:tc>
          <w:tcPr>
            <w:tcW w:w="1314"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31%</w:t>
            </w:r>
          </w:p>
        </w:tc>
      </w:tr>
      <w:tr>
        <w:tblPrEx>
          <w:tblCellMar>
            <w:top w:w="0" w:type="dxa"/>
            <w:left w:w="0" w:type="dxa"/>
            <w:bottom w:w="0" w:type="dxa"/>
            <w:right w:w="0" w:type="dxa"/>
          </w:tblCellMar>
        </w:tblPrEx>
        <w:trPr>
          <w:trHeight w:val="17" w:hRule="atLeast"/>
        </w:trPr>
        <w:tc>
          <w:tcPr>
            <w:tcW w:w="1236" w:type="pct"/>
            <w:tcBorders>
              <w:top w:val="single" w:color="auto" w:sz="4" w:space="0"/>
              <w:left w:val="single" w:color="auto" w:sz="4" w:space="0"/>
              <w:bottom w:val="single" w:color="auto" w:sz="4" w:space="0"/>
              <w:right w:val="single" w:color="auto" w:sz="4" w:space="0"/>
            </w:tcBorders>
            <w:shd w:val="clear" w:color="auto" w:fill="auto"/>
            <w:tcMar>
              <w:top w:w="13" w:type="dxa"/>
              <w:left w:w="13" w:type="dxa"/>
              <w:bottom w:w="0" w:type="dxa"/>
              <w:right w:w="13" w:type="dxa"/>
            </w:tcMar>
            <w:vAlign w:val="center"/>
          </w:tcPr>
          <w:p>
            <w:pPr>
              <w:jc w:val="center"/>
              <w:rPr>
                <w:rFonts w:ascii="仿宋_GB2312" w:hAnsi="仿宋" w:eastAsia="仿宋_GB2312"/>
                <w:sz w:val="24"/>
                <w:szCs w:val="24"/>
              </w:rPr>
            </w:pPr>
            <w:r>
              <w:rPr>
                <w:rFonts w:hint="eastAsia" w:ascii="仿宋_GB2312" w:hAnsi="仿宋" w:eastAsia="仿宋_GB2312"/>
                <w:sz w:val="24"/>
                <w:szCs w:val="24"/>
              </w:rPr>
              <w:t>三类地区</w:t>
            </w:r>
          </w:p>
        </w:tc>
        <w:tc>
          <w:tcPr>
            <w:tcW w:w="811" w:type="pct"/>
            <w:tcBorders>
              <w:top w:val="single" w:color="auto" w:sz="4" w:space="0"/>
              <w:left w:val="single" w:color="auto" w:sz="4" w:space="0"/>
              <w:bottom w:val="single" w:color="auto" w:sz="4" w:space="0"/>
              <w:right w:val="single" w:color="auto" w:sz="4" w:space="0"/>
            </w:tcBorders>
            <w:shd w:val="clear" w:color="auto" w:fill="auto"/>
            <w:tcMar>
              <w:top w:w="72" w:type="dxa"/>
              <w:left w:w="144" w:type="dxa"/>
              <w:bottom w:w="72" w:type="dxa"/>
              <w:right w:w="144" w:type="dxa"/>
            </w:tcMar>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8%</w:t>
            </w:r>
          </w:p>
        </w:tc>
        <w:tc>
          <w:tcPr>
            <w:tcW w:w="847"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13%</w:t>
            </w:r>
          </w:p>
        </w:tc>
        <w:tc>
          <w:tcPr>
            <w:tcW w:w="792"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20%</w:t>
            </w:r>
          </w:p>
        </w:tc>
        <w:tc>
          <w:tcPr>
            <w:tcW w:w="1314" w:type="pct"/>
            <w:tcBorders>
              <w:top w:val="single" w:color="auto" w:sz="4" w:space="0"/>
              <w:left w:val="single" w:color="auto" w:sz="4" w:space="0"/>
              <w:bottom w:val="single" w:color="auto" w:sz="4" w:space="0"/>
              <w:right w:val="single" w:color="auto" w:sz="4" w:space="0"/>
            </w:tcBorders>
          </w:tcPr>
          <w:p>
            <w:pPr>
              <w:ind w:firstLine="7" w:firstLineChars="3"/>
              <w:jc w:val="center"/>
              <w:rPr>
                <w:rFonts w:ascii="仿宋_GB2312" w:hAnsi="仿宋" w:eastAsia="仿宋_GB2312"/>
                <w:sz w:val="24"/>
                <w:szCs w:val="24"/>
              </w:rPr>
            </w:pPr>
            <w:r>
              <w:rPr>
                <w:rFonts w:hint="eastAsia" w:ascii="仿宋_GB2312" w:hAnsi="仿宋" w:eastAsia="仿宋_GB2312"/>
                <w:sz w:val="24"/>
                <w:szCs w:val="24"/>
              </w:rPr>
              <w:t>28%</w:t>
            </w:r>
          </w:p>
        </w:tc>
      </w:tr>
    </w:tbl>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项目拆除重建范围涉及多个改造类型或多个分级地区的，配建比例根据附表1明确的方法加权平均确定</w:t>
      </w:r>
      <w:r>
        <w:rPr>
          <w:rFonts w:hint="eastAsia" w:ascii="仿宋_GB2312" w:hAnsi="仿宋" w:eastAsia="仿宋_GB2312"/>
          <w:color w:val="000000"/>
          <w:sz w:val="32"/>
          <w:szCs w:val="32"/>
        </w:rPr>
        <w:t>。</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第五条 </w:t>
      </w:r>
      <w:r>
        <w:rPr>
          <w:rFonts w:hint="eastAsia" w:ascii="仿宋_GB2312" w:hAnsi="仿宋" w:eastAsia="仿宋_GB2312"/>
          <w:bCs/>
          <w:sz w:val="32"/>
          <w:szCs w:val="32"/>
        </w:rPr>
        <w:t>在城市更新单元规划容积率测算时，</w:t>
      </w:r>
      <w:r>
        <w:rPr>
          <w:rFonts w:hint="eastAsia" w:ascii="仿宋_GB2312" w:hAnsi="仿宋" w:eastAsia="仿宋_GB2312"/>
          <w:sz w:val="32"/>
          <w:szCs w:val="32"/>
        </w:rPr>
        <w:t>城中村（旧屋村）、商业及其他旧区改造为住宅的，规划批准住宅建筑面积的4%对应的保障性住房配建面积计入基础容积；旧住宅区改造为住宅的，规划批准住宅建筑面积的6%对应的保障性住房配建面积计入基础容积；旧工业区、仓储区或城市基础设施及公共服务设施改造为住宅的，规划批准住宅建筑面积的7.5%对应的保障性住房配建面积计入基础容积。涉及多个改造类型的，计入基础容积的比例根据附表1中情形一明确的方法加权平均确定</w:t>
      </w:r>
      <w:r>
        <w:rPr>
          <w:rFonts w:hint="eastAsia" w:ascii="仿宋_GB2312" w:hAnsi="仿宋" w:eastAsia="仿宋_GB2312"/>
          <w:color w:val="000000"/>
          <w:sz w:val="32"/>
          <w:szCs w:val="32"/>
        </w:rPr>
        <w:t>。</w:t>
      </w:r>
    </w:p>
    <w:p>
      <w:pPr>
        <w:ind w:firstLine="642" w:firstLineChars="200"/>
        <w:rPr>
          <w:rFonts w:ascii="仿宋_GB2312" w:hAnsi="仿宋" w:eastAsia="仿宋_GB2312"/>
          <w:sz w:val="32"/>
          <w:szCs w:val="32"/>
        </w:rPr>
      </w:pPr>
      <w:r>
        <w:rPr>
          <w:rFonts w:hint="eastAsia" w:ascii="仿宋_GB2312" w:hAnsi="仿宋" w:eastAsia="仿宋_GB2312"/>
          <w:b/>
          <w:sz w:val="32"/>
          <w:szCs w:val="32"/>
        </w:rPr>
        <w:t>第六条</w:t>
      </w:r>
      <w:r>
        <w:rPr>
          <w:rFonts w:hint="eastAsia" w:ascii="仿宋_GB2312" w:hAnsi="仿宋" w:eastAsia="仿宋_GB2312"/>
          <w:sz w:val="32"/>
          <w:szCs w:val="32"/>
        </w:rPr>
        <w:t xml:space="preserve"> 配建类型为共有产权房的，实施主体应额外无偿移交部分搬迁安置用房，搬迁安置用房建筑面积按照规划配建的共有产权房建筑面积的15%确定。</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第七条 </w:t>
      </w:r>
      <w:r>
        <w:rPr>
          <w:rFonts w:hint="eastAsia" w:ascii="仿宋_GB2312" w:hAnsi="仿宋" w:eastAsia="仿宋_GB2312"/>
          <w:sz w:val="32"/>
          <w:szCs w:val="32"/>
        </w:rPr>
        <w:t>改造方向为新型产业用地的项目，在综合考虑其产业发展需要、职住平衡需求、项目区位条件、公共设施及交通市政承载能力的情况下，结合城市更新单元规划地块划分，可在开发建设用地内，规划不少于开发建设用地面积15%且不超过20%的独立的保障性住房用地。具体建设规模由区城市更新主管部门商区住房建设主管部门另行确定。</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第八条 </w:t>
      </w:r>
      <w:r>
        <w:rPr>
          <w:rFonts w:hint="eastAsia" w:ascii="仿宋_GB2312" w:hAnsi="仿宋" w:eastAsia="仿宋_GB2312"/>
          <w:sz w:val="32"/>
          <w:szCs w:val="32"/>
        </w:rPr>
        <w:t>在公共配套条件支撑的情况下，规划为工业的旧工业区同时符合以下条件的，可申请按照保障性住房简易程序调整法定图则用地功能，通过城市更新建设保障性住房，促进产城融合与职住平衡。</w:t>
      </w:r>
    </w:p>
    <w:p>
      <w:pPr>
        <w:ind w:firstLine="640" w:firstLineChars="200"/>
        <w:rPr>
          <w:rFonts w:ascii="仿宋_GB2312" w:hAnsi="仿宋" w:eastAsia="仿宋_GB2312"/>
          <w:sz w:val="32"/>
          <w:szCs w:val="32"/>
        </w:rPr>
      </w:pPr>
      <w:r>
        <w:rPr>
          <w:rFonts w:hint="eastAsia" w:ascii="仿宋_GB2312" w:hAnsi="仿宋" w:eastAsia="仿宋_GB2312"/>
          <w:sz w:val="32"/>
          <w:szCs w:val="32"/>
        </w:rPr>
        <w:t>1．位于规划保留的成片产业园区范围外。</w:t>
      </w:r>
    </w:p>
    <w:p>
      <w:pPr>
        <w:ind w:firstLine="640" w:firstLineChars="200"/>
        <w:rPr>
          <w:rFonts w:ascii="仿宋_GB2312" w:hAnsi="仿宋" w:eastAsia="仿宋_GB2312"/>
          <w:sz w:val="32"/>
          <w:szCs w:val="32"/>
        </w:rPr>
      </w:pPr>
      <w:r>
        <w:rPr>
          <w:rFonts w:hint="eastAsia" w:ascii="仿宋_GB2312" w:hAnsi="仿宋" w:eastAsia="仿宋_GB2312"/>
          <w:sz w:val="32"/>
          <w:szCs w:val="32"/>
        </w:rPr>
        <w:t>2．位于已建成或近期规划建设的轨道站点500米范围内。</w:t>
      </w:r>
    </w:p>
    <w:p>
      <w:pPr>
        <w:ind w:firstLine="640" w:firstLineChars="200"/>
        <w:rPr>
          <w:rFonts w:ascii="仿宋_GB2312" w:hAnsi="仿宋" w:eastAsia="仿宋_GB2312"/>
          <w:sz w:val="32"/>
          <w:szCs w:val="32"/>
        </w:rPr>
      </w:pPr>
      <w:r>
        <w:rPr>
          <w:rFonts w:hint="eastAsia" w:ascii="仿宋_GB2312" w:hAnsi="仿宋" w:eastAsia="仿宋_GB2312"/>
          <w:sz w:val="32"/>
          <w:szCs w:val="32"/>
        </w:rPr>
        <w:t>3．位于原特区内的，用地面积不小于3000平方米；位于原特区外的，用地面积不小于10000平方米。</w:t>
      </w:r>
    </w:p>
    <w:p>
      <w:pPr>
        <w:ind w:firstLine="640" w:firstLineChars="200"/>
        <w:rPr>
          <w:rFonts w:ascii="仿宋_GB2312" w:hAnsi="仿宋" w:eastAsia="仿宋_GB2312"/>
          <w:sz w:val="32"/>
          <w:szCs w:val="32"/>
        </w:rPr>
      </w:pPr>
      <w:r>
        <w:rPr>
          <w:rFonts w:hint="eastAsia" w:ascii="仿宋_GB2312" w:hAnsi="仿宋" w:eastAsia="仿宋_GB2312"/>
          <w:sz w:val="32"/>
          <w:szCs w:val="32"/>
        </w:rPr>
        <w:t>保障性住房为公租房或保障性租赁住房的，实施主体可取得不超过项目总建筑面积45%的商品性质建筑面积；保障性住房为共有产权房的，实施主体可取得不超过项目总建筑面积25%的商品性质建筑面积。实施主体取得的商品性质建筑面积中住宅的套型建筑面积应控制在90平方米以下。</w:t>
      </w:r>
    </w:p>
    <w:p>
      <w:pPr>
        <w:ind w:firstLine="642" w:firstLineChars="200"/>
        <w:rPr>
          <w:rFonts w:ascii="仿宋_GB2312" w:hAnsi="仿宋" w:eastAsia="仿宋_GB2312"/>
          <w:sz w:val="32"/>
          <w:szCs w:val="32"/>
        </w:rPr>
      </w:pPr>
      <w:r>
        <w:rPr>
          <w:rFonts w:hint="eastAsia" w:ascii="仿宋_GB2312" w:hAnsi="仿宋" w:eastAsia="仿宋_GB2312"/>
          <w:b/>
          <w:sz w:val="32"/>
          <w:szCs w:val="32"/>
        </w:rPr>
        <w:t>第九条</w:t>
      </w:r>
      <w:r>
        <w:rPr>
          <w:rFonts w:hint="eastAsia" w:ascii="仿宋_GB2312" w:hAnsi="仿宋" w:eastAsia="仿宋_GB2312"/>
          <w:sz w:val="32"/>
          <w:szCs w:val="32"/>
        </w:rPr>
        <w:t xml:space="preserve"> 城市更新项目配建的保障性住房应集中布局。项目分期建设的，保障性住房原则上应安排在首期。</w:t>
      </w:r>
    </w:p>
    <w:p>
      <w:pPr>
        <w:ind w:firstLine="640" w:firstLineChars="200"/>
        <w:rPr>
          <w:rFonts w:ascii="仿宋_GB2312" w:hAnsi="仿宋" w:eastAsia="仿宋_GB2312"/>
          <w:sz w:val="32"/>
          <w:szCs w:val="32"/>
        </w:rPr>
      </w:pPr>
      <w:r>
        <w:rPr>
          <w:rFonts w:hint="eastAsia" w:ascii="仿宋_GB2312" w:hAnsi="仿宋" w:eastAsia="仿宋_GB2312"/>
          <w:sz w:val="32"/>
          <w:szCs w:val="32"/>
        </w:rPr>
        <w:t>经核算后，项目配建的保障性住房建筑面积超过30000平方米的，宜在单元范围内安排一定的集中用地进行建设。</w:t>
      </w:r>
    </w:p>
    <w:p>
      <w:pPr>
        <w:ind w:firstLine="640" w:firstLineChars="200"/>
        <w:rPr>
          <w:rFonts w:ascii="仿宋_GB2312" w:hAnsi="仿宋" w:eastAsia="仿宋_GB2312"/>
          <w:sz w:val="32"/>
          <w:szCs w:val="32"/>
        </w:rPr>
      </w:pPr>
      <w:r>
        <w:rPr>
          <w:rFonts w:hint="eastAsia" w:ascii="仿宋_GB2312" w:hAnsi="仿宋" w:eastAsia="仿宋_GB2312"/>
          <w:sz w:val="32"/>
          <w:szCs w:val="32"/>
        </w:rPr>
        <w:t>项目配建的保障性住房建筑面积不足3000平方米的，为便于规划设计和管理，配建类型原则上应为共有产权房，且无需依照第六条规定移交搬迁安置用房。</w:t>
      </w:r>
    </w:p>
    <w:p>
      <w:pPr>
        <w:ind w:firstLine="642" w:firstLineChars="200"/>
        <w:rPr>
          <w:rFonts w:ascii="仿宋_GB2312" w:hAnsi="仿宋" w:eastAsia="仿宋_GB2312"/>
          <w:strike/>
          <w:sz w:val="32"/>
          <w:szCs w:val="32"/>
        </w:rPr>
      </w:pPr>
      <w:r>
        <w:rPr>
          <w:rFonts w:hint="eastAsia" w:ascii="仿宋_GB2312" w:hAnsi="仿宋" w:eastAsia="仿宋_GB2312"/>
          <w:b/>
          <w:sz w:val="32"/>
          <w:szCs w:val="32"/>
        </w:rPr>
        <w:t>第十条</w:t>
      </w:r>
      <w:r>
        <w:rPr>
          <w:rFonts w:hint="eastAsia" w:ascii="仿宋_GB2312" w:hAnsi="仿宋" w:eastAsia="仿宋_GB2312"/>
          <w:sz w:val="32"/>
          <w:szCs w:val="32"/>
        </w:rPr>
        <w:t xml:space="preserve"> 城市更新单元中规划的公共服务设施应充分满足保障性住房的需求。</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第十一条 </w:t>
      </w:r>
      <w:r>
        <w:rPr>
          <w:rFonts w:hint="eastAsia" w:ascii="仿宋_GB2312" w:hAnsi="仿宋" w:eastAsia="仿宋_GB2312"/>
          <w:sz w:val="32"/>
          <w:szCs w:val="32"/>
        </w:rPr>
        <w:t>配建及建设的保障性住房原则上由城市更新项目实施主体在实施过程中一并建设。</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第十二条 </w:t>
      </w:r>
      <w:r>
        <w:rPr>
          <w:rFonts w:hint="eastAsia" w:ascii="仿宋_GB2312" w:hAnsi="仿宋" w:eastAsia="仿宋_GB2312"/>
          <w:sz w:val="32"/>
          <w:szCs w:val="32"/>
        </w:rPr>
        <w:t>配建及建设的公租房、保障性租赁住房及搬迁安置用房，免缴地价，建成后移交政府。其中，公租房和保障性租赁住房由政府回购后移交，回购价格及程序等按照我市有关政策执行。移交后，由区住房建设主管部门负责公租房和保障性租赁住房配租，由区土地整备主管部门负责搬迁安置用房分配。</w:t>
      </w:r>
    </w:p>
    <w:p>
      <w:pPr>
        <w:ind w:firstLine="640" w:firstLineChars="200"/>
        <w:rPr>
          <w:rFonts w:ascii="仿宋_GB2312" w:hAnsi="仿宋" w:eastAsia="仿宋_GB2312"/>
          <w:sz w:val="32"/>
          <w:szCs w:val="32"/>
        </w:rPr>
      </w:pPr>
      <w:r>
        <w:rPr>
          <w:rFonts w:hint="eastAsia" w:ascii="仿宋_GB2312" w:hAnsi="仿宋" w:eastAsia="仿宋_GB2312"/>
          <w:sz w:val="32"/>
          <w:szCs w:val="32"/>
        </w:rPr>
        <w:t>配建及建设的共有产权房，地价依据我市地价测算有关政策计收，管理按照市住房建设主管部门有关要求执行。</w:t>
      </w:r>
    </w:p>
    <w:p>
      <w:pPr>
        <w:ind w:firstLine="642" w:firstLineChars="200"/>
        <w:rPr>
          <w:rFonts w:ascii="仿宋_GB2312" w:hAnsi="仿宋" w:eastAsia="仿宋_GB2312"/>
          <w:sz w:val="32"/>
          <w:szCs w:val="32"/>
        </w:rPr>
      </w:pPr>
      <w:r>
        <w:rPr>
          <w:rFonts w:hint="eastAsia" w:ascii="仿宋_GB2312" w:hAnsi="仿宋" w:eastAsia="仿宋_GB2312"/>
          <w:b/>
          <w:sz w:val="32"/>
          <w:szCs w:val="32"/>
        </w:rPr>
        <w:t>第十三条</w:t>
      </w:r>
      <w:r>
        <w:rPr>
          <w:rFonts w:hint="eastAsia" w:ascii="仿宋_GB2312" w:hAnsi="仿宋" w:eastAsia="仿宋_GB2312"/>
          <w:sz w:val="32"/>
          <w:szCs w:val="32"/>
        </w:rPr>
        <w:t xml:space="preserve"> 配建及建设保障性住房的城市更新项目应由项目实施主体按照要求与区住房建设主管部门签订保障性住房建设监管协议书，载明保障性住房类型、配建比例、规模及布局；保障性住房的建设标准（含户型、面积、装修等）、交付时间以及相关违约责任等内容；涉及回购的，还应载明回购主体、回购价格的测算规则等。项目取得工程规划许可后，实施主体可向回购主体申请核定回购价格。</w:t>
      </w:r>
    </w:p>
    <w:p>
      <w:pPr>
        <w:ind w:firstLine="642" w:firstLineChars="200"/>
        <w:rPr>
          <w:rFonts w:ascii="仿宋_GB2312" w:hAnsi="仿宋" w:eastAsia="仿宋_GB2312"/>
          <w:sz w:val="32"/>
          <w:szCs w:val="32"/>
        </w:rPr>
      </w:pPr>
      <w:r>
        <w:rPr>
          <w:rFonts w:hint="eastAsia" w:ascii="仿宋_GB2312" w:hAnsi="仿宋" w:eastAsia="仿宋_GB2312"/>
          <w:b/>
          <w:sz w:val="32"/>
          <w:szCs w:val="32"/>
        </w:rPr>
        <w:t xml:space="preserve">第十四条 </w:t>
      </w:r>
      <w:r>
        <w:rPr>
          <w:rFonts w:hint="eastAsia" w:ascii="仿宋_GB2312" w:hAnsi="仿宋" w:eastAsia="仿宋_GB2312"/>
          <w:sz w:val="32"/>
          <w:szCs w:val="32"/>
        </w:rPr>
        <w:t>建立保障性住房配建空间范围图动态修订机制。市城市更新主管部门可根据城市发展需要及住房保障发展需要，对空间范围图进行修订，报市政府备案并公布后施行。</w:t>
      </w:r>
    </w:p>
    <w:p>
      <w:pPr>
        <w:ind w:firstLine="642" w:firstLineChars="200"/>
        <w:rPr>
          <w:rFonts w:ascii="仿宋_GB2312" w:hAnsi="仿宋" w:eastAsia="仿宋_GB2312"/>
          <w:b/>
          <w:sz w:val="32"/>
          <w:szCs w:val="32"/>
        </w:rPr>
      </w:pPr>
      <w:r>
        <w:rPr>
          <w:rFonts w:hint="eastAsia" w:ascii="仿宋_GB2312" w:hAnsi="仿宋" w:eastAsia="仿宋_GB2312"/>
          <w:b/>
          <w:sz w:val="32"/>
          <w:szCs w:val="32"/>
        </w:rPr>
        <w:t xml:space="preserve">第十五条 </w:t>
      </w:r>
      <w:r>
        <w:rPr>
          <w:rFonts w:hint="eastAsia" w:ascii="仿宋_GB2312" w:hAnsi="仿宋" w:eastAsia="仿宋_GB2312"/>
          <w:sz w:val="32"/>
          <w:szCs w:val="32"/>
        </w:rPr>
        <w:t>市政府对城中村改造项目保障性住房配建要求另有规定的，从其规定。</w:t>
      </w:r>
    </w:p>
    <w:p>
      <w:pPr>
        <w:ind w:firstLine="642" w:firstLineChars="200"/>
        <w:rPr>
          <w:rFonts w:ascii="仿宋_GB2312" w:hAnsi="仿宋" w:eastAsia="仿宋_GB2312"/>
          <w:sz w:val="32"/>
          <w:szCs w:val="32"/>
        </w:rPr>
      </w:pPr>
      <w:r>
        <w:rPr>
          <w:rFonts w:hint="eastAsia" w:ascii="仿宋_GB2312" w:hAnsi="仿宋" w:eastAsia="仿宋_GB2312"/>
          <w:b/>
          <w:sz w:val="32"/>
          <w:szCs w:val="32"/>
        </w:rPr>
        <w:t>第十六条</w:t>
      </w:r>
      <w:r>
        <w:rPr>
          <w:rFonts w:hint="eastAsia" w:ascii="仿宋_GB2312" w:hAnsi="仿宋" w:eastAsia="仿宋_GB2312"/>
          <w:sz w:val="32"/>
          <w:szCs w:val="32"/>
        </w:rPr>
        <w:t xml:space="preserve"> 本规定自发布之日起施行，有效期五年，本规定的解释权归市城市更新主管部门所有。本规定施行前市政府规范性文件有关内容与本规定不一致的，以本规定为准。</w:t>
      </w:r>
    </w:p>
    <w:p>
      <w:pPr>
        <w:ind w:firstLine="640" w:firstLineChars="200"/>
        <w:rPr>
          <w:rFonts w:ascii="仿宋_GB2312" w:hAnsi="仿宋" w:eastAsia="仿宋_GB2312"/>
          <w:sz w:val="32"/>
          <w:szCs w:val="32"/>
        </w:rPr>
      </w:pPr>
      <w:r>
        <w:rPr>
          <w:rFonts w:hint="eastAsia" w:ascii="仿宋_GB2312" w:hAnsi="仿宋" w:eastAsia="仿宋_GB2312"/>
          <w:sz w:val="32"/>
          <w:szCs w:val="32"/>
        </w:rPr>
        <w:t>本规定施行前列入城市更新单元计划的项目，在本规定施行之日起三年内城市更新单元规划经区政府或图则委审批通过的，可依照原有规定执行。</w:t>
      </w:r>
    </w:p>
    <w:p>
      <w:pPr>
        <w:ind w:firstLine="640" w:firstLineChars="200"/>
        <w:rPr>
          <w:rFonts w:ascii="仿宋_GB2312" w:hAnsi="仿宋" w:eastAsia="仿宋_GB2312"/>
          <w:sz w:val="32"/>
          <w:szCs w:val="32"/>
        </w:rPr>
        <w:sectPr>
          <w:pgSz w:w="11906" w:h="16838"/>
          <w:pgMar w:top="1440" w:right="1800" w:bottom="1440" w:left="1800" w:header="851" w:footer="992" w:gutter="0"/>
          <w:cols w:space="425" w:num="1"/>
          <w:docGrid w:type="lines" w:linePitch="312" w:charSpace="0"/>
        </w:sectPr>
      </w:pPr>
      <w:r>
        <w:rPr>
          <w:rFonts w:hint="eastAsia" w:ascii="仿宋_GB2312" w:hAnsi="仿宋" w:eastAsia="仿宋_GB2312"/>
          <w:sz w:val="32"/>
          <w:szCs w:val="32"/>
        </w:rPr>
        <w:t>本规定施行前列入城市更新单元计划但在</w:t>
      </w:r>
      <w:bookmarkStart w:id="0" w:name="_Hlk114588920"/>
      <w:r>
        <w:rPr>
          <w:rFonts w:hint="eastAsia" w:ascii="仿宋_GB2312" w:hAnsi="仿宋" w:eastAsia="仿宋_GB2312"/>
          <w:sz w:val="32"/>
          <w:szCs w:val="32"/>
        </w:rPr>
        <w:t>本规定施行之</w:t>
      </w:r>
      <w:bookmarkEnd w:id="0"/>
      <w:r>
        <w:rPr>
          <w:rFonts w:hint="eastAsia" w:ascii="仿宋_GB2312" w:hAnsi="仿宋" w:eastAsia="仿宋_GB2312"/>
          <w:sz w:val="32"/>
          <w:szCs w:val="32"/>
        </w:rPr>
        <w:t>日起三年内城市更新单元规划未经区政府或图则委审批通过的，以及本规定施行后列入城市更新单元计划的项目，依照本规定执行。</w:t>
      </w:r>
    </w:p>
    <w:p>
      <w:pPr>
        <w:rPr>
          <w:rFonts w:ascii="仿宋_GB2312" w:hAnsi="仿宋" w:eastAsia="仿宋_GB2312"/>
          <w:b/>
          <w:sz w:val="24"/>
          <w:szCs w:val="32"/>
        </w:rPr>
      </w:pPr>
      <w:r>
        <w:rPr>
          <w:rFonts w:hint="eastAsia" w:ascii="仿宋_GB2312" w:hAnsi="仿宋" w:eastAsia="仿宋_GB2312"/>
          <w:b/>
          <w:sz w:val="24"/>
          <w:szCs w:val="32"/>
        </w:rPr>
        <w:t>附表1：加权平均计算方法一览表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4504"/>
        <w:gridCol w:w="2991"/>
        <w:gridCol w:w="5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pPr>
              <w:jc w:val="center"/>
              <w:rPr>
                <w:rFonts w:ascii="仿宋_GB2312" w:hAnsi="仿宋" w:eastAsia="仿宋_GB2312"/>
                <w:b/>
                <w:szCs w:val="32"/>
              </w:rPr>
            </w:pPr>
            <w:r>
              <w:rPr>
                <w:rFonts w:hint="eastAsia" w:ascii="仿宋_GB2312" w:hAnsi="仿宋" w:eastAsia="仿宋_GB2312"/>
                <w:b/>
                <w:szCs w:val="32"/>
              </w:rPr>
              <w:t>情形</w:t>
            </w:r>
          </w:p>
        </w:tc>
        <w:tc>
          <w:tcPr>
            <w:tcW w:w="1589" w:type="pct"/>
          </w:tcPr>
          <w:p>
            <w:pPr>
              <w:jc w:val="center"/>
              <w:rPr>
                <w:rFonts w:ascii="仿宋_GB2312" w:hAnsi="仿宋" w:eastAsia="仿宋_GB2312"/>
                <w:b/>
                <w:szCs w:val="32"/>
              </w:rPr>
            </w:pPr>
            <w:r>
              <w:rPr>
                <w:rFonts w:hint="eastAsia" w:ascii="仿宋_GB2312" w:hAnsi="仿宋" w:eastAsia="仿宋_GB2312"/>
                <w:b/>
                <w:szCs w:val="32"/>
              </w:rPr>
              <w:t>计算方法说明</w:t>
            </w:r>
          </w:p>
        </w:tc>
        <w:tc>
          <w:tcPr>
            <w:tcW w:w="1055" w:type="pct"/>
          </w:tcPr>
          <w:p>
            <w:pPr>
              <w:jc w:val="center"/>
              <w:rPr>
                <w:rFonts w:ascii="仿宋_GB2312" w:hAnsi="仿宋" w:eastAsia="仿宋_GB2312"/>
                <w:b/>
                <w:szCs w:val="32"/>
              </w:rPr>
            </w:pPr>
            <w:r>
              <w:rPr>
                <w:rFonts w:hint="eastAsia" w:ascii="仿宋_GB2312" w:hAnsi="仿宋" w:eastAsia="仿宋_GB2312"/>
                <w:b/>
                <w:szCs w:val="32"/>
              </w:rPr>
              <w:t>计算公式</w:t>
            </w:r>
          </w:p>
        </w:tc>
        <w:tc>
          <w:tcPr>
            <w:tcW w:w="1799" w:type="pct"/>
          </w:tcPr>
          <w:p>
            <w:pPr>
              <w:jc w:val="center"/>
              <w:rPr>
                <w:rFonts w:ascii="仿宋_GB2312" w:hAnsi="仿宋" w:eastAsia="仿宋_GB2312"/>
                <w:b/>
                <w:szCs w:val="32"/>
              </w:rPr>
            </w:pPr>
            <w:r>
              <w:rPr>
                <w:rFonts w:hint="eastAsia" w:ascii="仿宋_GB2312" w:hAnsi="仿宋" w:eastAsia="仿宋_GB2312"/>
                <w:b/>
                <w:szCs w:val="32"/>
              </w:rPr>
              <w:t>参数说明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557" w:type="pct"/>
            <w:vAlign w:val="center"/>
          </w:tcPr>
          <w:p>
            <w:pPr>
              <w:jc w:val="center"/>
              <w:rPr>
                <w:rFonts w:ascii="仿宋_GB2312" w:hAnsi="仿宋" w:eastAsia="仿宋_GB2312"/>
                <w:szCs w:val="32"/>
              </w:rPr>
            </w:pPr>
            <w:r>
              <w:rPr>
                <w:rFonts w:hint="eastAsia" w:ascii="仿宋_GB2312" w:hAnsi="仿宋" w:eastAsia="仿宋_GB2312"/>
                <w:szCs w:val="32"/>
              </w:rPr>
              <w:t>情形一：</w:t>
            </w:r>
          </w:p>
          <w:p>
            <w:pPr>
              <w:jc w:val="center"/>
              <w:rPr>
                <w:rFonts w:ascii="仿宋_GB2312" w:hAnsi="仿宋" w:eastAsia="仿宋_GB2312"/>
                <w:szCs w:val="32"/>
              </w:rPr>
            </w:pPr>
            <w:r>
              <w:rPr>
                <w:rFonts w:hint="eastAsia" w:ascii="仿宋_GB2312" w:hAnsi="仿宋" w:eastAsia="仿宋_GB2312"/>
                <w:szCs w:val="32"/>
              </w:rPr>
              <w:t>涉及多个改造类型时</w:t>
            </w:r>
          </w:p>
        </w:tc>
        <w:tc>
          <w:tcPr>
            <w:tcW w:w="1589" w:type="pct"/>
            <w:vAlign w:val="center"/>
          </w:tcPr>
          <w:p>
            <w:pPr>
              <w:rPr>
                <w:rFonts w:ascii="仿宋_GB2312" w:hAnsi="仿宋" w:eastAsia="仿宋_GB2312" w:cs="Times New Roman"/>
                <w:color w:val="000000"/>
                <w:szCs w:val="32"/>
              </w:rPr>
            </w:pPr>
            <w:r>
              <w:rPr>
                <w:rFonts w:hint="eastAsia" w:ascii="仿宋_GB2312" w:hAnsi="仿宋" w:eastAsia="仿宋_GB2312"/>
                <w:color w:val="000000"/>
                <w:szCs w:val="32"/>
              </w:rPr>
              <w:t>按表1中改造类型从左至右的顺序，依次以各改造类型用地面积与开发建设用地总面积之比作为权重，对相应的测算比例进行加权平均；当前几类用地之和大于开发建设用地面积时，超出的用地不再参与加权计算。</w:t>
            </w:r>
          </w:p>
        </w:tc>
        <w:tc>
          <w:tcPr>
            <w:tcW w:w="1055" w:type="pct"/>
            <w:vAlign w:val="center"/>
          </w:tcPr>
          <w:p>
            <w:pPr>
              <w:rPr>
                <w:rFonts w:ascii="仿宋_GB2312" w:hAnsi="仿宋" w:eastAsia="仿宋_GB2312"/>
                <w:color w:val="000000"/>
                <w:szCs w:val="32"/>
              </w:rPr>
            </w:pPr>
            <m:oMathPara>
              <m:oMath>
                <m:sSub>
                  <m:sSubPr>
                    <m:ctrlPr>
                      <w:rPr>
                        <w:rFonts w:hint="eastAsia" w:ascii="Cambria Math" w:hAnsi="Cambria Math" w:eastAsia="仿宋_GB2312"/>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color w:val="000000"/>
                        <w:szCs w:val="32"/>
                      </w:rPr>
                    </m:ctrlPr>
                  </m:e>
                  <m:sub>
                    <m:r>
                      <m:rPr>
                        <m:sty m:val="p"/>
                      </m:rPr>
                      <w:rPr>
                        <w:rFonts w:hint="eastAsia" w:ascii="Cambria Math" w:hAnsi="Cambria Math" w:eastAsia="仿宋_GB2312"/>
                        <w:color w:val="000000"/>
                        <w:szCs w:val="32"/>
                      </w:rPr>
                      <m:t>混型</m:t>
                    </m:r>
                    <m:ctrlPr>
                      <w:rPr>
                        <w:rFonts w:hint="eastAsia" w:ascii="Cambria Math" w:hAnsi="Cambria Math" w:eastAsia="仿宋_GB2312"/>
                        <w:color w:val="000000"/>
                        <w:szCs w:val="32"/>
                      </w:rPr>
                    </m:ctrlPr>
                  </m:sub>
                </m:sSub>
                <m:r>
                  <m:rPr>
                    <m:sty m:val="p"/>
                  </m:rPr>
                  <w:rPr>
                    <w:rFonts w:hint="eastAsia" w:ascii="Cambria Math" w:hAnsi="Cambria Math" w:eastAsia="仿宋_GB2312"/>
                    <w:color w:val="000000"/>
                    <w:szCs w:val="32"/>
                  </w:rPr>
                  <m:t>=</m:t>
                </m:r>
                <m:nary>
                  <m:naryPr>
                    <m:chr m:val="∑"/>
                    <m:grow m:val="1"/>
                    <m:ctrlPr>
                      <w:rPr>
                        <w:rFonts w:hint="eastAsia" w:ascii="Cambria Math" w:hAnsi="Cambria Math" w:eastAsia="仿宋_GB2312"/>
                        <w:color w:val="000000"/>
                        <w:szCs w:val="32"/>
                      </w:rPr>
                    </m:ctrlPr>
                  </m:naryPr>
                  <m:sub>
                    <m:r>
                      <m:rPr/>
                      <w:rPr>
                        <w:rFonts w:hint="eastAsia" w:ascii="Cambria Math" w:hAnsi="Cambria Math" w:eastAsia="仿宋_GB2312"/>
                        <w:color w:val="000000"/>
                        <w:szCs w:val="32"/>
                      </w:rPr>
                      <m:t>i</m:t>
                    </m:r>
                    <m:r>
                      <m:rPr>
                        <m:sty m:val="p"/>
                      </m:rPr>
                      <w:rPr>
                        <w:rFonts w:hint="eastAsia" w:ascii="Cambria Math" w:hAnsi="Cambria Math" w:eastAsia="仿宋_GB2312"/>
                        <w:color w:val="000000"/>
                        <w:szCs w:val="32"/>
                      </w:rPr>
                      <m:t>=1</m:t>
                    </m:r>
                    <m:ctrlPr>
                      <w:rPr>
                        <w:rFonts w:hint="eastAsia" w:ascii="Cambria Math" w:hAnsi="Cambria Math" w:eastAsia="仿宋_GB2312"/>
                        <w:color w:val="000000"/>
                        <w:szCs w:val="32"/>
                      </w:rPr>
                    </m:ctrlPr>
                  </m:sub>
                  <m:sup>
                    <m:r>
                      <m:rPr/>
                      <w:rPr>
                        <w:rFonts w:hint="eastAsia" w:ascii="Cambria Math" w:hAnsi="Cambria Math" w:eastAsia="仿宋_GB2312"/>
                        <w:color w:val="000000"/>
                        <w:szCs w:val="32"/>
                      </w:rPr>
                      <m:t>n</m:t>
                    </m:r>
                    <m:ctrlPr>
                      <w:rPr>
                        <w:rFonts w:hint="eastAsia" w:ascii="Cambria Math" w:hAnsi="Cambria Math" w:eastAsia="仿宋_GB2312"/>
                        <w:color w:val="000000"/>
                        <w:szCs w:val="32"/>
                      </w:rPr>
                    </m:ctrlPr>
                  </m:sup>
                  <m:e>
                    <m:sSub>
                      <m:sSubPr>
                        <m:ctrlPr>
                          <w:rPr>
                            <w:rFonts w:hint="eastAsia" w:ascii="Cambria Math" w:hAnsi="Cambria Math" w:eastAsia="仿宋_GB2312"/>
                            <w:color w:val="000000"/>
                            <w:szCs w:val="32"/>
                          </w:rPr>
                        </m:ctrlPr>
                      </m:sSubPr>
                      <m:e>
                        <m:r>
                          <m:rPr/>
                          <w:rPr>
                            <w:rFonts w:hint="eastAsia" w:ascii="Cambria Math" w:hAnsi="Cambria Math" w:eastAsia="仿宋_GB2312"/>
                            <w:color w:val="000000"/>
                            <w:szCs w:val="32"/>
                          </w:rPr>
                          <m:t>S</m:t>
                        </m:r>
                        <m:ctrlPr>
                          <w:rPr>
                            <w:rFonts w:hint="eastAsia" w:ascii="Cambria Math" w:hAnsi="Cambria Math" w:eastAsia="仿宋_GB2312"/>
                            <w:color w:val="000000"/>
                            <w:szCs w:val="32"/>
                          </w:rPr>
                        </m:ctrlPr>
                      </m:e>
                      <m:sub>
                        <m:r>
                          <m:rPr/>
                          <w:rPr>
                            <w:rFonts w:hint="eastAsia" w:ascii="Cambria Math" w:hAnsi="Cambria Math" w:eastAsia="仿宋_GB2312"/>
                            <w:color w:val="000000"/>
                            <w:szCs w:val="32"/>
                          </w:rPr>
                          <m:t>i</m:t>
                        </m:r>
                        <m:ctrlPr>
                          <w:rPr>
                            <w:rFonts w:hint="eastAsia" w:ascii="Cambria Math" w:hAnsi="Cambria Math" w:eastAsia="仿宋_GB2312"/>
                            <w:color w:val="000000"/>
                            <w:szCs w:val="32"/>
                          </w:rPr>
                        </m:ctrlPr>
                      </m:sub>
                    </m:sSub>
                    <m:r>
                      <m:rPr>
                        <m:sty m:val="p"/>
                      </m:rPr>
                      <w:rPr>
                        <w:rFonts w:hint="eastAsia" w:ascii="Cambria Math" w:hAnsi="Cambria Math" w:eastAsia="仿宋_GB2312"/>
                        <w:color w:val="000000"/>
                        <w:szCs w:val="32"/>
                      </w:rPr>
                      <m:t>/</m:t>
                    </m:r>
                    <m:r>
                      <m:rPr/>
                      <w:rPr>
                        <w:rFonts w:hint="eastAsia" w:ascii="Cambria Math" w:hAnsi="Cambria Math" w:eastAsia="仿宋_GB2312"/>
                        <w:color w:val="000000"/>
                        <w:szCs w:val="32"/>
                      </w:rPr>
                      <m:t>S</m:t>
                    </m:r>
                    <m:r>
                      <m:rPr>
                        <m:sty m:val="p"/>
                      </m:rPr>
                      <w:rPr>
                        <w:rFonts w:hint="eastAsia" w:ascii="MS Gothic" w:hAnsi="MS Gothic" w:eastAsia="MS Gothic" w:cs="MS Gothic"/>
                        <w:color w:val="000000"/>
                        <w:szCs w:val="32"/>
                      </w:rPr>
                      <m:t>∗</m:t>
                    </m:r>
                    <m:sSub>
                      <m:sSubPr>
                        <m:ctrlPr>
                          <w:rPr>
                            <w:rFonts w:hint="eastAsia" w:ascii="Cambria Math" w:hAnsi="Cambria Math" w:eastAsia="仿宋_GB2312"/>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color w:val="000000"/>
                            <w:szCs w:val="32"/>
                          </w:rPr>
                        </m:ctrlPr>
                      </m:e>
                      <m:sub>
                        <m:r>
                          <m:rPr/>
                          <w:rPr>
                            <w:rFonts w:hint="eastAsia" w:ascii="Cambria Math" w:hAnsi="Cambria Math" w:eastAsia="仿宋_GB2312"/>
                            <w:color w:val="000000"/>
                            <w:szCs w:val="32"/>
                          </w:rPr>
                          <m:t>i</m:t>
                        </m:r>
                        <m:ctrlPr>
                          <w:rPr>
                            <w:rFonts w:hint="eastAsia" w:ascii="Cambria Math" w:hAnsi="Cambria Math" w:eastAsia="仿宋_GB2312"/>
                            <w:color w:val="000000"/>
                            <w:szCs w:val="32"/>
                          </w:rPr>
                        </m:ctrlPr>
                      </m:sub>
                    </m:sSub>
                    <m:ctrlPr>
                      <w:rPr>
                        <w:rFonts w:hint="eastAsia" w:ascii="Cambria Math" w:hAnsi="Cambria Math" w:eastAsia="仿宋_GB2312"/>
                        <w:color w:val="000000"/>
                        <w:szCs w:val="32"/>
                      </w:rPr>
                    </m:ctrlPr>
                  </m:e>
                </m:nary>
              </m:oMath>
            </m:oMathPara>
          </w:p>
        </w:tc>
        <w:tc>
          <w:tcPr>
            <w:tcW w:w="1799" w:type="pct"/>
            <w:vAlign w:val="center"/>
          </w:tcPr>
          <w:p>
            <w:pPr>
              <w:rPr>
                <w:rFonts w:ascii="仿宋_GB2312" w:hAnsi="仿宋" w:eastAsia="仿宋_GB2312"/>
                <w:color w:val="000000"/>
                <w:szCs w:val="32"/>
              </w:rPr>
            </w:pPr>
            <w:r>
              <w:rPr>
                <w:rFonts w:hint="eastAsia" w:ascii="仿宋_GB2312" w:hAnsi="仿宋" w:eastAsia="仿宋_GB2312"/>
                <w:color w:val="000000"/>
                <w:szCs w:val="32"/>
              </w:rPr>
              <w:t>n：涉及的改造类型数，下同；</w:t>
            </w:r>
          </w:p>
          <w:p>
            <w:pPr>
              <w:rPr>
                <w:rFonts w:ascii="仿宋_GB2312" w:hAnsi="仿宋" w:eastAsia="仿宋_GB2312"/>
                <w:color w:val="000000"/>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i</w:t>
            </w:r>
            <w:r>
              <w:rPr>
                <w:rFonts w:hint="eastAsia" w:ascii="仿宋_GB2312" w:hAnsi="仿宋" w:eastAsia="仿宋_GB2312"/>
                <w:color w:val="000000"/>
                <w:szCs w:val="32"/>
              </w:rPr>
              <w:t>：第i个改造类型的测算比例；</w:t>
            </w:r>
          </w:p>
          <w:p>
            <w:pPr>
              <w:rPr>
                <w:rFonts w:ascii="仿宋_GB2312" w:hAnsi="仿宋" w:eastAsia="仿宋_GB2312"/>
                <w:color w:val="000000"/>
                <w:szCs w:val="32"/>
              </w:rPr>
            </w:pPr>
            <w:r>
              <w:rPr>
                <w:rFonts w:hint="eastAsia" w:ascii="仿宋_GB2312" w:hAnsi="仿宋" w:eastAsia="仿宋_GB2312"/>
                <w:color w:val="000000"/>
                <w:szCs w:val="32"/>
              </w:rPr>
              <w:t>S</w:t>
            </w:r>
            <w:r>
              <w:rPr>
                <w:rFonts w:hint="eastAsia" w:ascii="仿宋_GB2312" w:hAnsi="仿宋" w:eastAsia="仿宋_GB2312"/>
                <w:color w:val="000000"/>
                <w:szCs w:val="32"/>
                <w:vertAlign w:val="subscript"/>
              </w:rPr>
              <w:t>i</w:t>
            </w:r>
            <w:r>
              <w:rPr>
                <w:rFonts w:hint="eastAsia" w:ascii="仿宋_GB2312" w:hAnsi="仿宋" w:eastAsia="仿宋_GB2312"/>
                <w:color w:val="000000"/>
                <w:szCs w:val="32"/>
              </w:rPr>
              <w:t>：第i个改造类型用地面积，下同；</w:t>
            </w:r>
          </w:p>
          <w:p>
            <w:pPr>
              <w:rPr>
                <w:rFonts w:ascii="仿宋_GB2312" w:hAnsi="仿宋" w:eastAsia="仿宋_GB2312"/>
                <w:color w:val="000000"/>
                <w:szCs w:val="32"/>
              </w:rPr>
            </w:pPr>
            <w:r>
              <w:rPr>
                <w:rFonts w:hint="eastAsia" w:ascii="仿宋_GB2312" w:hAnsi="仿宋" w:eastAsia="仿宋_GB2312"/>
                <w:color w:val="000000"/>
                <w:szCs w:val="32"/>
              </w:rPr>
              <w:t>S：开发建设用地总面积，包含按规定纳入的国有未出让零星用地面积，下同；</w:t>
            </w:r>
          </w:p>
          <w:p>
            <w:pPr>
              <w:rPr>
                <w:rFonts w:ascii="仿宋_GB2312" w:hAnsi="仿宋" w:eastAsia="仿宋_GB2312"/>
                <w:color w:val="000000"/>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混型</w:t>
            </w:r>
            <w:r>
              <w:rPr>
                <w:rFonts w:hint="eastAsia" w:ascii="仿宋_GB2312" w:hAnsi="仿宋" w:eastAsia="仿宋_GB2312"/>
                <w:color w:val="000000"/>
                <w:szCs w:val="32"/>
              </w:rPr>
              <w:t>：混合多个类型改造的比例。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557" w:type="pct"/>
            <w:vAlign w:val="center"/>
          </w:tcPr>
          <w:p>
            <w:pPr>
              <w:jc w:val="center"/>
              <w:rPr>
                <w:rFonts w:ascii="仿宋_GB2312" w:hAnsi="仿宋" w:eastAsia="仿宋_GB2312"/>
                <w:szCs w:val="32"/>
              </w:rPr>
            </w:pPr>
            <w:r>
              <w:rPr>
                <w:rFonts w:hint="eastAsia" w:ascii="仿宋_GB2312" w:hAnsi="仿宋" w:eastAsia="仿宋_GB2312"/>
                <w:szCs w:val="32"/>
              </w:rPr>
              <w:t>情形二：</w:t>
            </w:r>
          </w:p>
          <w:p>
            <w:pPr>
              <w:jc w:val="center"/>
              <w:rPr>
                <w:rFonts w:ascii="仿宋_GB2312" w:hAnsi="仿宋" w:eastAsia="仿宋_GB2312"/>
                <w:szCs w:val="32"/>
              </w:rPr>
            </w:pPr>
            <w:r>
              <w:rPr>
                <w:rFonts w:hint="eastAsia" w:ascii="仿宋_GB2312" w:hAnsi="仿宋" w:eastAsia="仿宋_GB2312"/>
                <w:szCs w:val="32"/>
              </w:rPr>
              <w:t>涉及多个分级地区时</w:t>
            </w:r>
          </w:p>
        </w:tc>
        <w:tc>
          <w:tcPr>
            <w:tcW w:w="1589" w:type="pct"/>
            <w:vAlign w:val="center"/>
          </w:tcPr>
          <w:p>
            <w:pPr>
              <w:rPr>
                <w:rFonts w:ascii="仿宋_GB2312" w:hAnsi="仿宋" w:eastAsia="仿宋_GB2312" w:cs="Times New Roman"/>
                <w:color w:val="000000"/>
                <w:szCs w:val="32"/>
              </w:rPr>
            </w:pPr>
            <w:r>
              <w:rPr>
                <w:rFonts w:hint="eastAsia" w:ascii="仿宋_GB2312" w:hAnsi="仿宋" w:eastAsia="仿宋_GB2312"/>
                <w:szCs w:val="32"/>
              </w:rPr>
              <w:t>以各分级地区内的开发建设用地面积占开发建设用地总面积之比作为权重，对相应的测算比例进行加权平均。</w:t>
            </w:r>
          </w:p>
        </w:tc>
        <w:tc>
          <w:tcPr>
            <w:tcW w:w="1055" w:type="pct"/>
            <w:vAlign w:val="center"/>
          </w:tcPr>
          <w:p>
            <w:pPr>
              <w:ind w:firstLine="420" w:firstLineChars="200"/>
              <w:rPr>
                <w:rFonts w:ascii="仿宋_GB2312" w:hAnsi="仿宋" w:eastAsia="仿宋_GB2312"/>
                <w:color w:val="000000"/>
                <w:szCs w:val="32"/>
              </w:rPr>
            </w:pPr>
            <m:oMathPara>
              <m:oMath>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跨区</m:t>
                    </m:r>
                    <m:ctrlPr>
                      <w:rPr>
                        <w:rFonts w:hint="eastAsia" w:ascii="Cambria Math" w:hAnsi="Cambria Math" w:eastAsia="仿宋_GB2312"/>
                        <w:i/>
                        <w:color w:val="000000"/>
                        <w:szCs w:val="32"/>
                      </w:rPr>
                    </m:ctrlPr>
                  </m:sub>
                </m:sSub>
                <m:r>
                  <m:rPr/>
                  <w:rPr>
                    <w:rFonts w:hint="eastAsia" w:ascii="Cambria Math" w:hAnsi="Cambria Math" w:eastAsia="仿宋_GB2312"/>
                    <w:color w:val="000000"/>
                    <w:szCs w:val="32"/>
                  </w:rPr>
                  <m:t>=</m:t>
                </m:r>
                <m:nary>
                  <m:naryPr>
                    <m:chr m:val="∑"/>
                    <m:grow m:val="1"/>
                    <m:ctrlPr>
                      <w:rPr>
                        <w:rFonts w:hint="eastAsia" w:ascii="Cambria Math" w:hAnsi="Cambria Math" w:eastAsia="仿宋_GB2312"/>
                        <w:color w:val="000000"/>
                        <w:szCs w:val="32"/>
                      </w:rPr>
                    </m:ctrlPr>
                  </m:naryPr>
                  <m:sub>
                    <m:r>
                      <m:rPr/>
                      <w:rPr>
                        <w:rFonts w:hint="eastAsia" w:ascii="Cambria Math" w:hAnsi="Cambria Math" w:eastAsia="仿宋_GB2312"/>
                        <w:color w:val="000000"/>
                        <w:szCs w:val="32"/>
                      </w:rPr>
                      <m:t>j=1</m:t>
                    </m:r>
                    <m:ctrlPr>
                      <w:rPr>
                        <w:rFonts w:hint="eastAsia" w:ascii="Cambria Math" w:hAnsi="Cambria Math" w:eastAsia="仿宋_GB2312"/>
                        <w:color w:val="000000"/>
                        <w:szCs w:val="32"/>
                      </w:rPr>
                    </m:ctrlPr>
                  </m:sub>
                  <m:sup>
                    <m:r>
                      <m:rPr/>
                      <w:rPr>
                        <w:rFonts w:hint="eastAsia" w:ascii="Cambria Math" w:hAnsi="Cambria Math" w:eastAsia="仿宋_GB2312"/>
                        <w:color w:val="000000"/>
                        <w:szCs w:val="32"/>
                      </w:rPr>
                      <m:t>m</m:t>
                    </m:r>
                    <m:ctrlPr>
                      <w:rPr>
                        <w:rFonts w:hint="eastAsia" w:ascii="Cambria Math" w:hAnsi="Cambria Math" w:eastAsia="仿宋_GB2312"/>
                        <w:color w:val="000000"/>
                        <w:szCs w:val="32"/>
                      </w:rPr>
                    </m:ctrlPr>
                  </m:sup>
                  <m:e>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S</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j</m:t>
                        </m:r>
                        <m:ctrlPr>
                          <w:rPr>
                            <w:rFonts w:hint="eastAsia" w:ascii="Cambria Math" w:hAnsi="Cambria Math" w:eastAsia="仿宋_GB2312"/>
                            <w:i/>
                            <w:color w:val="000000"/>
                            <w:szCs w:val="32"/>
                          </w:rPr>
                        </m:ctrlPr>
                      </m:sub>
                    </m:sSub>
                    <m:r>
                      <m:rPr/>
                      <w:rPr>
                        <w:rFonts w:hint="eastAsia" w:ascii="Cambria Math" w:hAnsi="Cambria Math" w:eastAsia="仿宋_GB2312"/>
                        <w:color w:val="000000"/>
                        <w:szCs w:val="32"/>
                      </w:rPr>
                      <m:t>/S</m:t>
                    </m:r>
                    <m:r>
                      <m:rPr/>
                      <w:rPr>
                        <w:rFonts w:hint="eastAsia" w:ascii="MS Gothic" w:hAnsi="MS Gothic" w:eastAsia="MS Gothic" w:cs="MS Gothic"/>
                        <w:color w:val="000000"/>
                        <w:szCs w:val="32"/>
                      </w:rPr>
                      <m:t>∗</m:t>
                    </m:r>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j</m:t>
                        </m:r>
                        <m:ctrlPr>
                          <w:rPr>
                            <w:rFonts w:hint="eastAsia" w:ascii="Cambria Math" w:hAnsi="Cambria Math" w:eastAsia="仿宋_GB2312"/>
                            <w:i/>
                            <w:color w:val="000000"/>
                            <w:szCs w:val="32"/>
                          </w:rPr>
                        </m:ctrlPr>
                      </m:sub>
                    </m:sSub>
                    <m:ctrlPr>
                      <w:rPr>
                        <w:rFonts w:hint="eastAsia" w:ascii="Cambria Math" w:hAnsi="Cambria Math" w:eastAsia="仿宋_GB2312"/>
                        <w:color w:val="000000"/>
                        <w:szCs w:val="32"/>
                      </w:rPr>
                    </m:ctrlPr>
                  </m:e>
                </m:nary>
              </m:oMath>
            </m:oMathPara>
          </w:p>
        </w:tc>
        <w:tc>
          <w:tcPr>
            <w:tcW w:w="1799" w:type="pct"/>
            <w:vAlign w:val="center"/>
          </w:tcPr>
          <w:p>
            <w:pPr>
              <w:rPr>
                <w:rFonts w:ascii="仿宋_GB2312" w:hAnsi="仿宋" w:eastAsia="仿宋_GB2312"/>
                <w:color w:val="000000"/>
                <w:szCs w:val="32"/>
              </w:rPr>
            </w:pPr>
            <w:r>
              <w:rPr>
                <w:rFonts w:hint="eastAsia" w:ascii="仿宋_GB2312" w:hAnsi="仿宋" w:eastAsia="仿宋_GB2312"/>
                <w:color w:val="000000"/>
                <w:szCs w:val="32"/>
              </w:rPr>
              <w:t>m：涉及的分级地区数，下同；</w:t>
            </w:r>
          </w:p>
          <w:p>
            <w:pPr>
              <w:rPr>
                <w:rFonts w:ascii="仿宋_GB2312" w:hAnsi="仿宋" w:eastAsia="仿宋_GB2312"/>
                <w:color w:val="000000"/>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j</w:t>
            </w:r>
            <w:r>
              <w:rPr>
                <w:rFonts w:hint="eastAsia" w:ascii="仿宋_GB2312" w:hAnsi="仿宋" w:eastAsia="仿宋_GB2312"/>
                <w:color w:val="000000"/>
                <w:szCs w:val="32"/>
              </w:rPr>
              <w:t>：第j个分级地区的测算比例；</w:t>
            </w:r>
          </w:p>
          <w:p>
            <w:pPr>
              <w:rPr>
                <w:rFonts w:ascii="仿宋_GB2312" w:hAnsi="仿宋" w:eastAsia="仿宋_GB2312"/>
                <w:color w:val="000000"/>
                <w:szCs w:val="32"/>
              </w:rPr>
            </w:pPr>
            <w:r>
              <w:rPr>
                <w:rFonts w:hint="eastAsia" w:ascii="仿宋_GB2312" w:hAnsi="仿宋" w:eastAsia="仿宋_GB2312"/>
                <w:color w:val="000000"/>
                <w:szCs w:val="32"/>
              </w:rPr>
              <w:t>S</w:t>
            </w:r>
            <w:r>
              <w:rPr>
                <w:rFonts w:hint="eastAsia" w:ascii="仿宋_GB2312" w:hAnsi="仿宋" w:eastAsia="仿宋_GB2312"/>
                <w:color w:val="000000"/>
                <w:szCs w:val="32"/>
                <w:vertAlign w:val="subscript"/>
              </w:rPr>
              <w:t>j</w:t>
            </w:r>
            <w:r>
              <w:rPr>
                <w:rFonts w:hint="eastAsia" w:ascii="仿宋_GB2312" w:hAnsi="仿宋" w:eastAsia="仿宋_GB2312"/>
                <w:color w:val="000000"/>
                <w:szCs w:val="32"/>
              </w:rPr>
              <w:t>：第j个分级地区内的开发建设用地面积，下同；</w:t>
            </w:r>
          </w:p>
          <w:p>
            <w:pPr>
              <w:rPr>
                <w:rFonts w:ascii="仿宋_GB2312" w:hAnsi="仿宋" w:eastAsia="仿宋_GB2312"/>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跨区</w:t>
            </w:r>
            <w:r>
              <w:rPr>
                <w:rFonts w:hint="eastAsia" w:ascii="仿宋_GB2312" w:hAnsi="仿宋" w:eastAsia="仿宋_GB2312"/>
                <w:color w:val="000000"/>
                <w:szCs w:val="32"/>
              </w:rPr>
              <w:t>：跨多个分级地区改造的比例。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557" w:type="pct"/>
            <w:vAlign w:val="center"/>
          </w:tcPr>
          <w:p>
            <w:pPr>
              <w:jc w:val="center"/>
              <w:rPr>
                <w:rFonts w:ascii="仿宋_GB2312" w:hAnsi="仿宋" w:eastAsia="仿宋_GB2312"/>
                <w:szCs w:val="32"/>
              </w:rPr>
            </w:pPr>
            <w:r>
              <w:rPr>
                <w:rFonts w:hint="eastAsia" w:ascii="仿宋_GB2312" w:hAnsi="仿宋" w:eastAsia="仿宋_GB2312"/>
                <w:szCs w:val="32"/>
              </w:rPr>
              <w:t>情形三：</w:t>
            </w:r>
          </w:p>
          <w:p>
            <w:pPr>
              <w:jc w:val="center"/>
              <w:rPr>
                <w:rFonts w:ascii="仿宋_GB2312" w:hAnsi="仿宋" w:eastAsia="仿宋_GB2312"/>
                <w:szCs w:val="32"/>
              </w:rPr>
            </w:pPr>
            <w:r>
              <w:rPr>
                <w:rFonts w:hint="eastAsia" w:ascii="仿宋_GB2312" w:hAnsi="仿宋" w:eastAsia="仿宋_GB2312"/>
                <w:szCs w:val="32"/>
              </w:rPr>
              <w:t>涉及多个改造类型与多个分级地区时</w:t>
            </w:r>
          </w:p>
        </w:tc>
        <w:tc>
          <w:tcPr>
            <w:tcW w:w="1589" w:type="pct"/>
            <w:vAlign w:val="center"/>
          </w:tcPr>
          <w:p>
            <w:pPr>
              <w:rPr>
                <w:rFonts w:ascii="仿宋_GB2312" w:hAnsi="仿宋" w:eastAsia="仿宋_GB2312" w:cs="Times New Roman"/>
                <w:color w:val="000000"/>
                <w:szCs w:val="32"/>
              </w:rPr>
            </w:pPr>
            <w:r>
              <w:rPr>
                <w:rFonts w:hint="eastAsia" w:ascii="仿宋_GB2312" w:hAnsi="仿宋" w:eastAsia="仿宋_GB2312"/>
                <w:szCs w:val="32"/>
              </w:rPr>
              <w:t>先</w:t>
            </w:r>
            <w:r>
              <w:rPr>
                <w:rFonts w:hint="eastAsia" w:ascii="仿宋_GB2312" w:hAnsi="仿宋" w:eastAsia="仿宋_GB2312"/>
                <w:color w:val="000000"/>
                <w:szCs w:val="32"/>
              </w:rPr>
              <w:t>按表1中改造类型从左至右的顺序，依次以各改造类型用地面积与开发建设用地总面积之比作为权重，进行改造类型</w:t>
            </w:r>
            <w:r>
              <w:rPr>
                <w:rFonts w:hint="eastAsia" w:ascii="仿宋_GB2312" w:hAnsi="仿宋" w:eastAsia="仿宋_GB2312"/>
                <w:szCs w:val="32"/>
              </w:rPr>
              <w:t>加权平均，计算出各分级地区的混合类型测算比例；再以各分级地区内的开发建设用地面积占开发建设用地总面积之比作为权重，对各分级地区的混合类型测算比例进行加权平均。</w:t>
            </w:r>
          </w:p>
        </w:tc>
        <w:tc>
          <w:tcPr>
            <w:tcW w:w="1055" w:type="pct"/>
            <w:vAlign w:val="center"/>
          </w:tcPr>
          <w:p>
            <w:pPr>
              <w:ind w:firstLine="420" w:firstLineChars="200"/>
              <w:rPr>
                <w:rFonts w:ascii="仿宋_GB2312" w:hAnsi="仿宋" w:eastAsia="仿宋_GB2312"/>
                <w:color w:val="000000"/>
                <w:szCs w:val="32"/>
              </w:rPr>
            </w:pPr>
            <m:oMathPara>
              <m:oMath>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j</m:t>
                    </m:r>
                    <m:ctrlPr>
                      <w:rPr>
                        <w:rFonts w:hint="eastAsia" w:ascii="Cambria Math" w:hAnsi="Cambria Math" w:eastAsia="仿宋_GB2312"/>
                        <w:i/>
                        <w:color w:val="000000"/>
                        <w:szCs w:val="32"/>
                      </w:rPr>
                    </m:ctrlPr>
                  </m:sub>
                </m:sSub>
                <m:r>
                  <m:rPr/>
                  <w:rPr>
                    <w:rFonts w:hint="eastAsia" w:ascii="Cambria Math" w:hAnsi="Cambria Math" w:eastAsia="仿宋_GB2312"/>
                    <w:color w:val="000000"/>
                    <w:szCs w:val="32"/>
                  </w:rPr>
                  <m:t>=</m:t>
                </m:r>
                <m:nary>
                  <m:naryPr>
                    <m:chr m:val="∑"/>
                    <m:grow m:val="1"/>
                    <m:ctrlPr>
                      <w:rPr>
                        <w:rFonts w:hint="eastAsia" w:ascii="Cambria Math" w:hAnsi="Cambria Math" w:eastAsia="仿宋_GB2312"/>
                        <w:color w:val="000000"/>
                        <w:szCs w:val="32"/>
                      </w:rPr>
                    </m:ctrlPr>
                  </m:naryPr>
                  <m:sub>
                    <m:r>
                      <m:rPr/>
                      <w:rPr>
                        <w:rFonts w:hint="eastAsia" w:ascii="Cambria Math" w:hAnsi="Cambria Math" w:eastAsia="仿宋_GB2312"/>
                        <w:color w:val="000000"/>
                        <w:szCs w:val="32"/>
                      </w:rPr>
                      <m:t>i=1</m:t>
                    </m:r>
                    <m:ctrlPr>
                      <w:rPr>
                        <w:rFonts w:hint="eastAsia" w:ascii="Cambria Math" w:hAnsi="Cambria Math" w:eastAsia="仿宋_GB2312"/>
                        <w:color w:val="000000"/>
                        <w:szCs w:val="32"/>
                      </w:rPr>
                    </m:ctrlPr>
                  </m:sub>
                  <m:sup>
                    <m:r>
                      <m:rPr/>
                      <w:rPr>
                        <w:rFonts w:hint="eastAsia" w:ascii="Cambria Math" w:hAnsi="Cambria Math" w:eastAsia="仿宋_GB2312"/>
                        <w:color w:val="000000"/>
                        <w:szCs w:val="32"/>
                      </w:rPr>
                      <m:t>n</m:t>
                    </m:r>
                    <m:ctrlPr>
                      <w:rPr>
                        <w:rFonts w:hint="eastAsia" w:ascii="Cambria Math" w:hAnsi="Cambria Math" w:eastAsia="仿宋_GB2312"/>
                        <w:color w:val="000000"/>
                        <w:szCs w:val="32"/>
                      </w:rPr>
                    </m:ctrlPr>
                  </m:sup>
                  <m:e>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S</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i</m:t>
                        </m:r>
                        <m:ctrlPr>
                          <w:rPr>
                            <w:rFonts w:hint="eastAsia" w:ascii="Cambria Math" w:hAnsi="Cambria Math" w:eastAsia="仿宋_GB2312"/>
                            <w:i/>
                            <w:color w:val="000000"/>
                            <w:szCs w:val="32"/>
                          </w:rPr>
                        </m:ctrlPr>
                      </m:sub>
                    </m:sSub>
                    <m:r>
                      <m:rPr/>
                      <w:rPr>
                        <w:rFonts w:hint="eastAsia" w:ascii="Cambria Math" w:hAnsi="Cambria Math" w:eastAsia="仿宋_GB2312"/>
                        <w:color w:val="000000"/>
                        <w:szCs w:val="32"/>
                      </w:rPr>
                      <m:t>/S</m:t>
                    </m:r>
                    <m:r>
                      <m:rPr/>
                      <w:rPr>
                        <w:rFonts w:hint="eastAsia" w:ascii="MS Gothic" w:hAnsi="MS Gothic" w:eastAsia="MS Gothic" w:cs="MS Gothic"/>
                        <w:color w:val="000000"/>
                        <w:szCs w:val="32"/>
                      </w:rPr>
                      <m:t>∗</m:t>
                    </m:r>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ij</m:t>
                        </m:r>
                        <m:ctrlPr>
                          <w:rPr>
                            <w:rFonts w:hint="eastAsia" w:ascii="Cambria Math" w:hAnsi="Cambria Math" w:eastAsia="仿宋_GB2312"/>
                            <w:i/>
                            <w:color w:val="000000"/>
                            <w:szCs w:val="32"/>
                          </w:rPr>
                        </m:ctrlPr>
                      </m:sub>
                    </m:sSub>
                    <m:ctrlPr>
                      <w:rPr>
                        <w:rFonts w:hint="eastAsia" w:ascii="Cambria Math" w:hAnsi="Cambria Math" w:eastAsia="仿宋_GB2312"/>
                        <w:color w:val="000000"/>
                        <w:szCs w:val="32"/>
                      </w:rPr>
                    </m:ctrlPr>
                  </m:e>
                </m:nary>
              </m:oMath>
            </m:oMathPara>
          </w:p>
          <w:p>
            <w:pPr>
              <w:ind w:firstLine="420" w:firstLineChars="200"/>
              <w:rPr>
                <w:rFonts w:ascii="仿宋_GB2312" w:hAnsi="仿宋" w:eastAsia="仿宋_GB2312"/>
                <w:color w:val="000000"/>
                <w:szCs w:val="32"/>
              </w:rPr>
            </w:pPr>
            <m:oMathPara>
              <m:oMath>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混跨</m:t>
                    </m:r>
                    <m:ctrlPr>
                      <w:rPr>
                        <w:rFonts w:hint="eastAsia" w:ascii="Cambria Math" w:hAnsi="Cambria Math" w:eastAsia="仿宋_GB2312"/>
                        <w:i/>
                        <w:color w:val="000000"/>
                        <w:szCs w:val="32"/>
                      </w:rPr>
                    </m:ctrlPr>
                  </m:sub>
                </m:sSub>
                <m:r>
                  <m:rPr/>
                  <w:rPr>
                    <w:rFonts w:hint="eastAsia" w:ascii="Cambria Math" w:hAnsi="Cambria Math" w:eastAsia="仿宋_GB2312"/>
                    <w:color w:val="000000"/>
                    <w:szCs w:val="32"/>
                  </w:rPr>
                  <m:t>=</m:t>
                </m:r>
                <m:nary>
                  <m:naryPr>
                    <m:chr m:val="∑"/>
                    <m:grow m:val="1"/>
                    <m:ctrlPr>
                      <w:rPr>
                        <w:rFonts w:hint="eastAsia" w:ascii="Cambria Math" w:hAnsi="Cambria Math" w:eastAsia="仿宋_GB2312"/>
                        <w:color w:val="000000"/>
                        <w:szCs w:val="32"/>
                      </w:rPr>
                    </m:ctrlPr>
                  </m:naryPr>
                  <m:sub>
                    <m:r>
                      <m:rPr/>
                      <w:rPr>
                        <w:rFonts w:hint="eastAsia" w:ascii="Cambria Math" w:hAnsi="Cambria Math" w:eastAsia="仿宋_GB2312"/>
                        <w:color w:val="000000"/>
                        <w:szCs w:val="32"/>
                      </w:rPr>
                      <m:t>j=1</m:t>
                    </m:r>
                    <m:ctrlPr>
                      <w:rPr>
                        <w:rFonts w:hint="eastAsia" w:ascii="Cambria Math" w:hAnsi="Cambria Math" w:eastAsia="仿宋_GB2312"/>
                        <w:color w:val="000000"/>
                        <w:szCs w:val="32"/>
                      </w:rPr>
                    </m:ctrlPr>
                  </m:sub>
                  <m:sup>
                    <m:r>
                      <m:rPr/>
                      <w:rPr>
                        <w:rFonts w:hint="eastAsia" w:ascii="Cambria Math" w:hAnsi="Cambria Math" w:eastAsia="仿宋_GB2312"/>
                        <w:color w:val="000000"/>
                        <w:szCs w:val="32"/>
                      </w:rPr>
                      <m:t>m</m:t>
                    </m:r>
                    <m:ctrlPr>
                      <w:rPr>
                        <w:rFonts w:hint="eastAsia" w:ascii="Cambria Math" w:hAnsi="Cambria Math" w:eastAsia="仿宋_GB2312"/>
                        <w:color w:val="000000"/>
                        <w:szCs w:val="32"/>
                      </w:rPr>
                    </m:ctrlPr>
                  </m:sup>
                  <m:e>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S</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j</m:t>
                        </m:r>
                        <m:ctrlPr>
                          <w:rPr>
                            <w:rFonts w:hint="eastAsia" w:ascii="Cambria Math" w:hAnsi="Cambria Math" w:eastAsia="仿宋_GB2312"/>
                            <w:i/>
                            <w:color w:val="000000"/>
                            <w:szCs w:val="32"/>
                          </w:rPr>
                        </m:ctrlPr>
                      </m:sub>
                    </m:sSub>
                    <m:r>
                      <m:rPr/>
                      <w:rPr>
                        <w:rFonts w:hint="eastAsia" w:ascii="Cambria Math" w:hAnsi="Cambria Math" w:eastAsia="仿宋_GB2312"/>
                        <w:color w:val="000000"/>
                        <w:szCs w:val="32"/>
                      </w:rPr>
                      <m:t>/S</m:t>
                    </m:r>
                    <m:r>
                      <m:rPr/>
                      <w:rPr>
                        <w:rFonts w:hint="eastAsia" w:ascii="MS Gothic" w:hAnsi="MS Gothic" w:eastAsia="MS Gothic" w:cs="MS Gothic"/>
                        <w:color w:val="000000"/>
                        <w:szCs w:val="32"/>
                      </w:rPr>
                      <m:t>∗</m:t>
                    </m:r>
                    <m:sSub>
                      <m:sSubPr>
                        <m:ctrlPr>
                          <w:rPr>
                            <w:rFonts w:hint="eastAsia" w:ascii="Cambria Math" w:hAnsi="Cambria Math" w:eastAsia="仿宋_GB2312"/>
                            <w:i/>
                            <w:color w:val="000000"/>
                            <w:szCs w:val="32"/>
                          </w:rPr>
                        </m:ctrlPr>
                      </m:sSubPr>
                      <m:e>
                        <m:r>
                          <m:rPr/>
                          <w:rPr>
                            <w:rFonts w:hint="eastAsia" w:ascii="Cambria Math" w:hAnsi="Cambria Math" w:eastAsia="仿宋_GB2312"/>
                            <w:color w:val="000000"/>
                            <w:szCs w:val="32"/>
                          </w:rPr>
                          <m:t>R</m:t>
                        </m:r>
                        <m:ctrlPr>
                          <w:rPr>
                            <w:rFonts w:hint="eastAsia" w:ascii="Cambria Math" w:hAnsi="Cambria Math" w:eastAsia="仿宋_GB2312"/>
                            <w:i/>
                            <w:color w:val="000000"/>
                            <w:szCs w:val="32"/>
                          </w:rPr>
                        </m:ctrlPr>
                      </m:e>
                      <m:sub>
                        <m:r>
                          <m:rPr/>
                          <w:rPr>
                            <w:rFonts w:hint="eastAsia" w:ascii="Cambria Math" w:hAnsi="Cambria Math" w:eastAsia="仿宋_GB2312"/>
                            <w:color w:val="000000"/>
                            <w:szCs w:val="32"/>
                          </w:rPr>
                          <m:t>j</m:t>
                        </m:r>
                        <m:ctrlPr>
                          <w:rPr>
                            <w:rFonts w:hint="eastAsia" w:ascii="Cambria Math" w:hAnsi="Cambria Math" w:eastAsia="仿宋_GB2312"/>
                            <w:i/>
                            <w:color w:val="000000"/>
                            <w:szCs w:val="32"/>
                          </w:rPr>
                        </m:ctrlPr>
                      </m:sub>
                    </m:sSub>
                    <m:ctrlPr>
                      <w:rPr>
                        <w:rFonts w:hint="eastAsia" w:ascii="Cambria Math" w:hAnsi="Cambria Math" w:eastAsia="仿宋_GB2312"/>
                        <w:color w:val="000000"/>
                        <w:szCs w:val="32"/>
                      </w:rPr>
                    </m:ctrlPr>
                  </m:e>
                </m:nary>
              </m:oMath>
            </m:oMathPara>
          </w:p>
        </w:tc>
        <w:tc>
          <w:tcPr>
            <w:tcW w:w="1799" w:type="pct"/>
            <w:vAlign w:val="center"/>
          </w:tcPr>
          <w:p>
            <w:pPr>
              <w:rPr>
                <w:rFonts w:ascii="仿宋_GB2312" w:hAnsi="仿宋" w:eastAsia="仿宋_GB2312"/>
                <w:color w:val="000000"/>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ij</w:t>
            </w:r>
            <w:r>
              <w:rPr>
                <w:rFonts w:hint="eastAsia" w:ascii="仿宋_GB2312" w:hAnsi="仿宋" w:eastAsia="仿宋_GB2312"/>
                <w:color w:val="000000"/>
                <w:szCs w:val="32"/>
              </w:rPr>
              <w:t>：第i个改造类型在第j个分级地区的测算比例；</w:t>
            </w:r>
          </w:p>
          <w:p>
            <w:pPr>
              <w:rPr>
                <w:rFonts w:ascii="仿宋_GB2312" w:hAnsi="仿宋" w:eastAsia="仿宋_GB2312"/>
                <w:color w:val="000000"/>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j</w:t>
            </w:r>
            <w:r>
              <w:rPr>
                <w:rFonts w:hint="eastAsia" w:ascii="仿宋_GB2312" w:hAnsi="仿宋" w:eastAsia="仿宋_GB2312"/>
                <w:color w:val="000000"/>
                <w:szCs w:val="32"/>
              </w:rPr>
              <w:t>:第j个分级地区的混合类型测算比例。</w:t>
            </w:r>
          </w:p>
          <w:p>
            <w:pPr>
              <w:rPr>
                <w:rFonts w:ascii="仿宋_GB2312" w:hAnsi="仿宋" w:eastAsia="仿宋_GB2312"/>
                <w:szCs w:val="32"/>
              </w:rPr>
            </w:pPr>
            <w:r>
              <w:rPr>
                <w:rFonts w:hint="eastAsia" w:ascii="仿宋_GB2312" w:hAnsi="仿宋" w:eastAsia="仿宋_GB2312"/>
                <w:color w:val="000000"/>
                <w:szCs w:val="32"/>
              </w:rPr>
              <w:t>R</w:t>
            </w:r>
            <w:r>
              <w:rPr>
                <w:rFonts w:hint="eastAsia" w:ascii="仿宋_GB2312" w:hAnsi="仿宋" w:eastAsia="仿宋_GB2312"/>
                <w:color w:val="000000"/>
                <w:szCs w:val="32"/>
                <w:vertAlign w:val="subscript"/>
              </w:rPr>
              <w:t>混跨</w:t>
            </w:r>
            <w:r>
              <w:rPr>
                <w:rFonts w:hint="eastAsia" w:ascii="仿宋_GB2312" w:hAnsi="仿宋" w:eastAsia="仿宋_GB2312"/>
                <w:color w:val="000000"/>
                <w:szCs w:val="32"/>
              </w:rPr>
              <w:t>：混合多个类型同时跨多个分级地区改造的比例。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000" w:type="pct"/>
            <w:gridSpan w:val="4"/>
          </w:tcPr>
          <w:p>
            <w:pPr>
              <w:rPr>
                <w:rFonts w:ascii="仿宋_GB2312" w:hAnsi="仿宋" w:eastAsia="仿宋_GB2312"/>
                <w:szCs w:val="32"/>
              </w:rPr>
            </w:pPr>
            <w:r>
              <w:rPr>
                <w:rFonts w:hint="eastAsia" w:ascii="仿宋_GB2312" w:hAnsi="仿宋" w:eastAsia="仿宋_GB2312"/>
                <w:szCs w:val="32"/>
              </w:rPr>
              <w:t>注：城中村（旧屋村）改造是指城中村用地、旧屋村用地的改造；旧住宅区改造是指国有已批住宅用地的改造；旧工业区、仓储区或城市基础设施及公共服务设施改造是指国有已批工业用地、仓储用地、物流用地和城市基础设施及公共服务设施用地的改造；商业及其他旧区改造是指前述类型用地以外的其他权属清晰的用地（含历史用地处置后的用地）的改造。</w:t>
            </w:r>
          </w:p>
        </w:tc>
      </w:tr>
    </w:tbl>
    <w:p>
      <w:pPr>
        <w:rPr>
          <w:rFonts w:ascii="仿宋_GB2312" w:hAnsi="仿宋" w:eastAsia="仿宋_GB2312"/>
          <w:sz w:val="32"/>
          <w:szCs w:val="32"/>
        </w:rPr>
        <w:sectPr>
          <w:pgSz w:w="16838" w:h="11906" w:orient="landscape"/>
          <w:pgMar w:top="1800" w:right="1440" w:bottom="1800" w:left="1440" w:header="851" w:footer="992" w:gutter="0"/>
          <w:cols w:space="425" w:num="1"/>
          <w:docGrid w:type="lines" w:linePitch="312" w:charSpace="0"/>
        </w:sectPr>
      </w:pPr>
    </w:p>
    <w:p>
      <w:pPr>
        <w:ind w:firstLine="420" w:firstLineChars="200"/>
        <w:rPr>
          <w:rFonts w:ascii="仿宋_GB2312" w:eastAsia="仿宋_GB2312"/>
          <w:sz w:val="32"/>
          <w:szCs w:val="32"/>
        </w:rPr>
      </w:pPr>
      <w:r>
        <w:rPr>
          <w:rFonts w:hint="eastAsia" w:ascii="仿宋_GB2312" w:eastAsia="仿宋_GB2312"/>
        </w:rPr>
        <w:drawing>
          <wp:anchor distT="0" distB="0" distL="114300" distR="114300" simplePos="0" relativeHeight="251659264" behindDoc="0" locked="0" layoutInCell="1" allowOverlap="1">
            <wp:simplePos x="0" y="0"/>
            <wp:positionH relativeFrom="page">
              <wp:posOffset>24130</wp:posOffset>
            </wp:positionH>
            <wp:positionV relativeFrom="paragraph">
              <wp:posOffset>-1135380</wp:posOffset>
            </wp:positionV>
            <wp:extent cx="10664825" cy="7540625"/>
            <wp:effectExtent l="0" t="0" r="3175"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64897" cy="7540499"/>
                    </a:xfrm>
                    <a:prstGeom prst="rect">
                      <a:avLst/>
                    </a:prstGeom>
                    <a:noFill/>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华文仿宋"/>
    <w:panose1 w:val="00000000000000000000"/>
    <w:charset w:val="86"/>
    <w:family w:val="auto"/>
    <w:pitch w:val="default"/>
    <w:sig w:usb0="00000000" w:usb1="00000000" w:usb2="00000000" w:usb3="00000000" w:csb0="00000000" w:csb1="00000000"/>
  </w:font>
  <w:font w:name="等线">
    <w:altName w:val="C059"/>
    <w:panose1 w:val="00000000000000000000"/>
    <w:charset w:val="00"/>
    <w:family w:val="auto"/>
    <w:pitch w:val="default"/>
    <w:sig w:usb0="00000000" w:usb1="00000000" w:usb2="00000000" w:usb3="00000000" w:csb0="00000000" w:csb1="00000000"/>
  </w:font>
  <w:font w:name="仿宋_GB2312">
    <w:altName w:val="方正仿宋_GBK"/>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mbria Math">
    <w:altName w:val="DejaVu Math TeX Gyre"/>
    <w:panose1 w:val="02040503050406030204"/>
    <w:charset w:val="00"/>
    <w:family w:val="roman"/>
    <w:pitch w:val="default"/>
    <w:sig w:usb0="00000000" w:usb1="00000000" w:usb2="02000000" w:usb3="00000000" w:csb0="0000019F" w:csb1="00000000"/>
  </w:font>
  <w:font w:name="MS Gothic">
    <w:altName w:val="C059"/>
    <w:panose1 w:val="020B0609070205080204"/>
    <w:charset w:val="80"/>
    <w:family w:val="modern"/>
    <w:pitch w:val="default"/>
    <w:sig w:usb0="00000000" w:usb1="00000000" w:usb2="08000012" w:usb3="00000000" w:csb0="0002009F" w:csb1="00000000"/>
  </w:font>
  <w:font w:name="C059">
    <w:panose1 w:val="000005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A71"/>
    <w:rsid w:val="000007C4"/>
    <w:rsid w:val="00006ACC"/>
    <w:rsid w:val="00023833"/>
    <w:rsid w:val="00026339"/>
    <w:rsid w:val="00030491"/>
    <w:rsid w:val="00042CC2"/>
    <w:rsid w:val="00046F13"/>
    <w:rsid w:val="0005084B"/>
    <w:rsid w:val="0005295F"/>
    <w:rsid w:val="000600C8"/>
    <w:rsid w:val="00063051"/>
    <w:rsid w:val="00085C43"/>
    <w:rsid w:val="000C3775"/>
    <w:rsid w:val="000C763D"/>
    <w:rsid w:val="000D0265"/>
    <w:rsid w:val="000D6E0A"/>
    <w:rsid w:val="000E70A9"/>
    <w:rsid w:val="00101A5B"/>
    <w:rsid w:val="00116CFE"/>
    <w:rsid w:val="00122952"/>
    <w:rsid w:val="00143E5C"/>
    <w:rsid w:val="0015339C"/>
    <w:rsid w:val="00153AF7"/>
    <w:rsid w:val="0017736E"/>
    <w:rsid w:val="00183C5E"/>
    <w:rsid w:val="00187A71"/>
    <w:rsid w:val="001928C6"/>
    <w:rsid w:val="001A589C"/>
    <w:rsid w:val="001B141A"/>
    <w:rsid w:val="001C1F70"/>
    <w:rsid w:val="001C73F7"/>
    <w:rsid w:val="001D65B8"/>
    <w:rsid w:val="00234DAB"/>
    <w:rsid w:val="00253A70"/>
    <w:rsid w:val="002540BD"/>
    <w:rsid w:val="00255C75"/>
    <w:rsid w:val="0026204A"/>
    <w:rsid w:val="002628C9"/>
    <w:rsid w:val="0026325A"/>
    <w:rsid w:val="00263A70"/>
    <w:rsid w:val="00291575"/>
    <w:rsid w:val="002A72B5"/>
    <w:rsid w:val="002B0D68"/>
    <w:rsid w:val="002B6BAE"/>
    <w:rsid w:val="002B6F4C"/>
    <w:rsid w:val="002D131D"/>
    <w:rsid w:val="002E6F9C"/>
    <w:rsid w:val="002F137B"/>
    <w:rsid w:val="002F19FD"/>
    <w:rsid w:val="00304F95"/>
    <w:rsid w:val="00317E94"/>
    <w:rsid w:val="00321B6B"/>
    <w:rsid w:val="00324690"/>
    <w:rsid w:val="00340F30"/>
    <w:rsid w:val="00345041"/>
    <w:rsid w:val="003534D3"/>
    <w:rsid w:val="003537C3"/>
    <w:rsid w:val="0035642D"/>
    <w:rsid w:val="003571DC"/>
    <w:rsid w:val="003745A7"/>
    <w:rsid w:val="00374B85"/>
    <w:rsid w:val="00380082"/>
    <w:rsid w:val="003A177B"/>
    <w:rsid w:val="003B0DD0"/>
    <w:rsid w:val="003E5B2E"/>
    <w:rsid w:val="003F0281"/>
    <w:rsid w:val="003F54CC"/>
    <w:rsid w:val="00400A3A"/>
    <w:rsid w:val="00402EE1"/>
    <w:rsid w:val="00403B04"/>
    <w:rsid w:val="00421A8D"/>
    <w:rsid w:val="004244DE"/>
    <w:rsid w:val="00431160"/>
    <w:rsid w:val="0043349C"/>
    <w:rsid w:val="0044233D"/>
    <w:rsid w:val="004434CF"/>
    <w:rsid w:val="0044732A"/>
    <w:rsid w:val="00460235"/>
    <w:rsid w:val="004606A3"/>
    <w:rsid w:val="0046647F"/>
    <w:rsid w:val="00467B28"/>
    <w:rsid w:val="00473030"/>
    <w:rsid w:val="00473CDE"/>
    <w:rsid w:val="004762C3"/>
    <w:rsid w:val="004777FE"/>
    <w:rsid w:val="00480DAA"/>
    <w:rsid w:val="00481A0F"/>
    <w:rsid w:val="004822FE"/>
    <w:rsid w:val="004826CE"/>
    <w:rsid w:val="004835C0"/>
    <w:rsid w:val="004846E4"/>
    <w:rsid w:val="004A3FA4"/>
    <w:rsid w:val="004C4E3C"/>
    <w:rsid w:val="004C5F37"/>
    <w:rsid w:val="004D67BD"/>
    <w:rsid w:val="004E42F8"/>
    <w:rsid w:val="004E43F2"/>
    <w:rsid w:val="004F0F7A"/>
    <w:rsid w:val="004F3C90"/>
    <w:rsid w:val="005126E8"/>
    <w:rsid w:val="00516757"/>
    <w:rsid w:val="00522827"/>
    <w:rsid w:val="0052644C"/>
    <w:rsid w:val="00530097"/>
    <w:rsid w:val="00536C09"/>
    <w:rsid w:val="00554EDD"/>
    <w:rsid w:val="00565388"/>
    <w:rsid w:val="00572763"/>
    <w:rsid w:val="00586BC1"/>
    <w:rsid w:val="005A6C81"/>
    <w:rsid w:val="005C112B"/>
    <w:rsid w:val="005C7037"/>
    <w:rsid w:val="005E17C6"/>
    <w:rsid w:val="005F1FEF"/>
    <w:rsid w:val="005F4B41"/>
    <w:rsid w:val="006006B6"/>
    <w:rsid w:val="00607BAE"/>
    <w:rsid w:val="00666BDA"/>
    <w:rsid w:val="0067715E"/>
    <w:rsid w:val="00691C95"/>
    <w:rsid w:val="006A2CD8"/>
    <w:rsid w:val="006A6C13"/>
    <w:rsid w:val="006C130B"/>
    <w:rsid w:val="006D05DA"/>
    <w:rsid w:val="006D4319"/>
    <w:rsid w:val="006D52C8"/>
    <w:rsid w:val="006E384F"/>
    <w:rsid w:val="006E742E"/>
    <w:rsid w:val="006F7837"/>
    <w:rsid w:val="0070193C"/>
    <w:rsid w:val="0071144F"/>
    <w:rsid w:val="0071342C"/>
    <w:rsid w:val="00717747"/>
    <w:rsid w:val="00746EF7"/>
    <w:rsid w:val="007519C2"/>
    <w:rsid w:val="00767DE9"/>
    <w:rsid w:val="00775F1C"/>
    <w:rsid w:val="00795AFD"/>
    <w:rsid w:val="007A2B4F"/>
    <w:rsid w:val="007A32B8"/>
    <w:rsid w:val="007A6A61"/>
    <w:rsid w:val="007A759D"/>
    <w:rsid w:val="007B066E"/>
    <w:rsid w:val="007B6346"/>
    <w:rsid w:val="007B70EA"/>
    <w:rsid w:val="007D0E8D"/>
    <w:rsid w:val="007E2A01"/>
    <w:rsid w:val="007E5F5C"/>
    <w:rsid w:val="007F2BD3"/>
    <w:rsid w:val="00800126"/>
    <w:rsid w:val="008009CB"/>
    <w:rsid w:val="00800CE0"/>
    <w:rsid w:val="008068CD"/>
    <w:rsid w:val="008305AA"/>
    <w:rsid w:val="00832722"/>
    <w:rsid w:val="00836318"/>
    <w:rsid w:val="008372B0"/>
    <w:rsid w:val="00842DAA"/>
    <w:rsid w:val="00853293"/>
    <w:rsid w:val="008554DD"/>
    <w:rsid w:val="00856FA9"/>
    <w:rsid w:val="00862018"/>
    <w:rsid w:val="00872166"/>
    <w:rsid w:val="008728B1"/>
    <w:rsid w:val="008775BF"/>
    <w:rsid w:val="00883FB5"/>
    <w:rsid w:val="00891641"/>
    <w:rsid w:val="00893DF8"/>
    <w:rsid w:val="008B760F"/>
    <w:rsid w:val="008C2E1F"/>
    <w:rsid w:val="008C4C1F"/>
    <w:rsid w:val="008D7666"/>
    <w:rsid w:val="008F2781"/>
    <w:rsid w:val="00901FA7"/>
    <w:rsid w:val="00910C1A"/>
    <w:rsid w:val="00925954"/>
    <w:rsid w:val="009260EA"/>
    <w:rsid w:val="00941BF0"/>
    <w:rsid w:val="009437DB"/>
    <w:rsid w:val="0098185A"/>
    <w:rsid w:val="009B57FD"/>
    <w:rsid w:val="009C5BAB"/>
    <w:rsid w:val="009E538C"/>
    <w:rsid w:val="009E6568"/>
    <w:rsid w:val="009F2CDB"/>
    <w:rsid w:val="00A062A3"/>
    <w:rsid w:val="00A07D67"/>
    <w:rsid w:val="00A10890"/>
    <w:rsid w:val="00A139C9"/>
    <w:rsid w:val="00A1444C"/>
    <w:rsid w:val="00A25590"/>
    <w:rsid w:val="00A368D1"/>
    <w:rsid w:val="00A528A5"/>
    <w:rsid w:val="00A56D5F"/>
    <w:rsid w:val="00A65810"/>
    <w:rsid w:val="00A70606"/>
    <w:rsid w:val="00A73F84"/>
    <w:rsid w:val="00A80913"/>
    <w:rsid w:val="00A87F98"/>
    <w:rsid w:val="00A93811"/>
    <w:rsid w:val="00A93C4F"/>
    <w:rsid w:val="00A95F3E"/>
    <w:rsid w:val="00AA0402"/>
    <w:rsid w:val="00AA6547"/>
    <w:rsid w:val="00AB3E3B"/>
    <w:rsid w:val="00AC7099"/>
    <w:rsid w:val="00AE1979"/>
    <w:rsid w:val="00AE1B61"/>
    <w:rsid w:val="00AE64C6"/>
    <w:rsid w:val="00AF4543"/>
    <w:rsid w:val="00AF5652"/>
    <w:rsid w:val="00B02F22"/>
    <w:rsid w:val="00B0509A"/>
    <w:rsid w:val="00B232D8"/>
    <w:rsid w:val="00B26C4F"/>
    <w:rsid w:val="00B56E99"/>
    <w:rsid w:val="00B574F4"/>
    <w:rsid w:val="00B610E7"/>
    <w:rsid w:val="00B63475"/>
    <w:rsid w:val="00B757BE"/>
    <w:rsid w:val="00B82DC6"/>
    <w:rsid w:val="00B83E8D"/>
    <w:rsid w:val="00B84E8D"/>
    <w:rsid w:val="00B95F46"/>
    <w:rsid w:val="00BA00AE"/>
    <w:rsid w:val="00BA7E17"/>
    <w:rsid w:val="00BB0500"/>
    <w:rsid w:val="00BC6228"/>
    <w:rsid w:val="00BD5AD3"/>
    <w:rsid w:val="00BE39D6"/>
    <w:rsid w:val="00BE64C2"/>
    <w:rsid w:val="00C2660E"/>
    <w:rsid w:val="00C27B2F"/>
    <w:rsid w:val="00C3265B"/>
    <w:rsid w:val="00C42E7C"/>
    <w:rsid w:val="00C617CD"/>
    <w:rsid w:val="00C66C7B"/>
    <w:rsid w:val="00C7713C"/>
    <w:rsid w:val="00C818D6"/>
    <w:rsid w:val="00C9122C"/>
    <w:rsid w:val="00C97D9B"/>
    <w:rsid w:val="00CC0635"/>
    <w:rsid w:val="00CC3887"/>
    <w:rsid w:val="00CC7B46"/>
    <w:rsid w:val="00CD74DC"/>
    <w:rsid w:val="00CE0194"/>
    <w:rsid w:val="00D04F20"/>
    <w:rsid w:val="00D07A38"/>
    <w:rsid w:val="00D12CFB"/>
    <w:rsid w:val="00D15E8C"/>
    <w:rsid w:val="00D26624"/>
    <w:rsid w:val="00D319CB"/>
    <w:rsid w:val="00D45166"/>
    <w:rsid w:val="00D4712E"/>
    <w:rsid w:val="00D74B33"/>
    <w:rsid w:val="00DA0734"/>
    <w:rsid w:val="00DA3F63"/>
    <w:rsid w:val="00DA7F07"/>
    <w:rsid w:val="00DB6428"/>
    <w:rsid w:val="00DC3875"/>
    <w:rsid w:val="00DF0EAB"/>
    <w:rsid w:val="00DF6A0C"/>
    <w:rsid w:val="00E06703"/>
    <w:rsid w:val="00E07196"/>
    <w:rsid w:val="00E24DC8"/>
    <w:rsid w:val="00E40B46"/>
    <w:rsid w:val="00E44CD2"/>
    <w:rsid w:val="00E514AD"/>
    <w:rsid w:val="00E549C2"/>
    <w:rsid w:val="00E61473"/>
    <w:rsid w:val="00E6775D"/>
    <w:rsid w:val="00E77185"/>
    <w:rsid w:val="00E83469"/>
    <w:rsid w:val="00EC394B"/>
    <w:rsid w:val="00EE1765"/>
    <w:rsid w:val="00EE5182"/>
    <w:rsid w:val="00EE7226"/>
    <w:rsid w:val="00EF36E0"/>
    <w:rsid w:val="00F120DF"/>
    <w:rsid w:val="00F171CF"/>
    <w:rsid w:val="00F35F9D"/>
    <w:rsid w:val="00F47550"/>
    <w:rsid w:val="00F605F1"/>
    <w:rsid w:val="00F77CEE"/>
    <w:rsid w:val="00FB01A4"/>
    <w:rsid w:val="00FB422C"/>
    <w:rsid w:val="00FC52EC"/>
    <w:rsid w:val="00FD02D6"/>
    <w:rsid w:val="77FC2E9B"/>
    <w:rsid w:val="F5EF2614"/>
    <w:rsid w:val="F7A16729"/>
    <w:rsid w:val="FFDB3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paragraph" w:styleId="10">
    <w:name w:val="List Paragraph"/>
    <w:basedOn w:val="1"/>
    <w:qFormat/>
    <w:uiPriority w:val="34"/>
    <w:pPr>
      <w:ind w:firstLine="420" w:firstLineChars="200"/>
    </w:pPr>
  </w:style>
  <w:style w:type="paragraph" w:customStyle="1" w:styleId="11">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2">
    <w:name w:val="批注框文本 字符"/>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505</Words>
  <Characters>2879</Characters>
  <Lines>23</Lines>
  <Paragraphs>6</Paragraphs>
  <TotalTime>0</TotalTime>
  <ScaleCrop>false</ScaleCrop>
  <LinksUpToDate>false</LinksUpToDate>
  <CharactersWithSpaces>3378</CharactersWithSpaces>
  <Application>WPS Office_11.8.2.10681_F1E327BC-269C-435d-A152-05C5408002CA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2022-09-27T14:33:00Z</dcterms:created>
  <dc:creator>朱旭佳</dc:creator>
  <cp:lastModifiedBy>zcl</cp:lastModifiedBy>
  <cp:lastPrinted>2022-09-26T17:13:00Z</cp:lastPrinted>
  <dcterms:modified xsi:type="dcterms:W3CDTF">2022-09-29T13:39:03Z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ies>
</file>