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宋体" w:eastAsia="黑体"/>
          <w:spacing w:val="20"/>
          <w:sz w:val="32"/>
          <w:szCs w:val="32"/>
        </w:rPr>
      </w:pPr>
      <w:r>
        <w:rPr>
          <w:rFonts w:hint="eastAsia" w:ascii="黑体" w:hAnsi="宋体" w:eastAsia="黑体"/>
          <w:spacing w:val="20"/>
          <w:sz w:val="32"/>
          <w:szCs w:val="32"/>
        </w:rPr>
        <w:t>附件2</w:t>
      </w:r>
    </w:p>
    <w:p>
      <w:pPr>
        <w:spacing w:line="580" w:lineRule="exact"/>
        <w:jc w:val="left"/>
        <w:rPr>
          <w:rFonts w:ascii="黑体" w:hAnsi="宋体" w:eastAsia="黑体"/>
          <w:spacing w:val="20"/>
          <w:sz w:val="32"/>
          <w:szCs w:val="32"/>
        </w:rPr>
      </w:pPr>
    </w:p>
    <w:p>
      <w:pPr>
        <w:spacing w:line="580" w:lineRule="exact"/>
        <w:ind w:firstLine="601"/>
        <w:jc w:val="center"/>
        <w:rPr>
          <w:rFonts w:ascii="方正小标宋简体" w:hAnsi="宋体" w:eastAsia="方正小标宋简体"/>
          <w:spacing w:val="20"/>
          <w:sz w:val="44"/>
          <w:szCs w:val="44"/>
        </w:rPr>
      </w:pPr>
      <w:r>
        <w:rPr>
          <w:rFonts w:hint="eastAsia" w:ascii="方正小标宋简体" w:hAnsi="宋体" w:eastAsia="方正小标宋简体"/>
          <w:spacing w:val="20"/>
          <w:sz w:val="44"/>
          <w:szCs w:val="44"/>
        </w:rPr>
        <w:t>关于《深圳市城市更新项目保障性住房配建规定》的修订说明</w:t>
      </w:r>
    </w:p>
    <w:p>
      <w:pPr>
        <w:spacing w:line="580" w:lineRule="exact"/>
        <w:rPr>
          <w:rFonts w:ascii="方正小标宋简体" w:hAnsi="宋体" w:eastAsia="方正小标宋简体"/>
          <w:spacing w:val="20"/>
          <w:sz w:val="44"/>
          <w:szCs w:val="44"/>
        </w:rPr>
      </w:pPr>
    </w:p>
    <w:p>
      <w:pPr>
        <w:widowControl w:val="0"/>
        <w:spacing w:line="580" w:lineRule="exact"/>
        <w:ind w:firstLine="640" w:firstLineChars="200"/>
        <w:outlineLvl w:val="0"/>
        <w:rPr>
          <w:rFonts w:ascii="黑体" w:hAnsi="宋体" w:eastAsia="黑体"/>
          <w:kern w:val="2"/>
          <w:sz w:val="32"/>
          <w:szCs w:val="32"/>
        </w:rPr>
      </w:pPr>
      <w:r>
        <w:rPr>
          <w:rFonts w:hint="eastAsia" w:ascii="黑体" w:hAnsi="宋体" w:eastAsia="黑体"/>
          <w:kern w:val="2"/>
          <w:sz w:val="32"/>
          <w:szCs w:val="32"/>
        </w:rPr>
        <w:t>一、修订背景和必要性</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sz w:val="32"/>
          <w:szCs w:val="32"/>
        </w:rPr>
        <w:t>为落实我市保障性住房建设要求，2010年底，原深圳市规划和国土资源委员会印发了《深圳市城市更新项目保障性住房配建比例暂行规定》（深规土〔2010〕843号）（以下简称《暂行规定》），并于2016年正式印发《深圳市城市更新项目保障性住房配建规定》（深规土〔2016〕11号）（以下简称《配建规定》）。自2010年《暂行规定》实施以来，截至2021年底，全市通过城市更新规划配建的保障性住房面积达904万平方米，城市更新已成为保障性住房建设的重要途径之一。</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近年来，国家和我市住房保障工作提出新要求，全市重点发展区域、轨道交通规划与建设等发展条件发生了较大变化。现行城市更新保障性住房配建的主体政策《配建规定》已于2021年1月到期。为全面贯彻落实习近平总书记系列</w:t>
      </w:r>
      <w:r>
        <w:rPr>
          <w:rFonts w:hint="eastAsia" w:ascii="仿宋_GB2312" w:hAnsi="仿宋" w:eastAsia="仿宋_GB2312"/>
          <w:color w:val="000000"/>
          <w:sz w:val="32"/>
          <w:szCs w:val="32"/>
          <w:lang w:eastAsia="zh-CN"/>
        </w:rPr>
        <w:t>重</w:t>
      </w:r>
      <w:bookmarkStart w:id="0" w:name="_GoBack"/>
      <w:bookmarkEnd w:id="0"/>
      <w:r>
        <w:rPr>
          <w:rFonts w:hint="eastAsia" w:ascii="仿宋_GB2312" w:hAnsi="仿宋" w:eastAsia="仿宋_GB2312"/>
          <w:color w:val="000000"/>
          <w:sz w:val="32"/>
          <w:szCs w:val="32"/>
          <w:lang w:eastAsia="zh-CN"/>
        </w:rPr>
        <w:t>要</w:t>
      </w:r>
      <w:r>
        <w:rPr>
          <w:rFonts w:hint="eastAsia" w:ascii="仿宋_GB2312" w:hAnsi="仿宋" w:eastAsia="仿宋_GB2312"/>
          <w:color w:val="000000"/>
          <w:sz w:val="32"/>
          <w:szCs w:val="32"/>
        </w:rPr>
        <w:t>讲话精神，落实我市住房制度改革相关工作要求，支撑多主体、多渠道供给保障性住房，助力实现让全体人民住有所居的目标，亟需结合相关要求，适应新形势新变化，对《配建规定》进行修订。</w:t>
      </w:r>
    </w:p>
    <w:p>
      <w:pPr>
        <w:jc w:val="left"/>
        <w:rPr>
          <w:rFonts w:ascii="仿宋_GB2312" w:hAnsi="仿宋" w:eastAsia="仿宋_GB2312"/>
          <w:color w:val="000000"/>
          <w:sz w:val="32"/>
          <w:szCs w:val="32"/>
        </w:rPr>
      </w:pPr>
      <w:r>
        <w:rPr>
          <w:rFonts w:ascii="仿宋_GB2312" w:hAnsi="仿宋" w:eastAsia="仿宋_GB2312"/>
          <w:color w:val="000000"/>
          <w:sz w:val="32"/>
          <w:szCs w:val="32"/>
        </w:rPr>
        <w:br w:type="page"/>
      </w:r>
    </w:p>
    <w:p>
      <w:pPr>
        <w:widowControl w:val="0"/>
        <w:spacing w:line="580" w:lineRule="exact"/>
        <w:ind w:firstLine="640" w:firstLineChars="200"/>
        <w:outlineLvl w:val="0"/>
        <w:rPr>
          <w:rFonts w:ascii="黑体" w:hAnsi="宋体" w:eastAsia="黑体"/>
          <w:kern w:val="2"/>
          <w:sz w:val="32"/>
          <w:szCs w:val="32"/>
        </w:rPr>
      </w:pPr>
      <w:r>
        <w:rPr>
          <w:rFonts w:hint="eastAsia" w:ascii="黑体" w:hAnsi="宋体" w:eastAsia="黑体"/>
          <w:kern w:val="2"/>
          <w:sz w:val="32"/>
          <w:szCs w:val="32"/>
        </w:rPr>
        <w:t>二、起草过程</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8月，《配建规定》修订工作正式启动。经过系统梳理国家和我市住房保障要求，全面分析我市城市更新保障性住房配建工作推进情况和我市城市建设发展新形势，深入调研南山、福田两区保障性住房的规划、管理和使用情况，充分衔接《深圳市城市更新和土地整备“十四五”规划》的保障性住房建设目标和市住房建设主管部门的最新工作要求，2022年7月形成了《配建规定》修订草案。经多次讨论修改后，2</w:t>
      </w:r>
      <w:r>
        <w:rPr>
          <w:rFonts w:ascii="仿宋_GB2312" w:hAnsi="仿宋" w:eastAsia="仿宋_GB2312"/>
          <w:color w:val="000000"/>
          <w:sz w:val="32"/>
          <w:szCs w:val="32"/>
        </w:rPr>
        <w:t>022</w:t>
      </w:r>
      <w:r>
        <w:rPr>
          <w:rFonts w:hint="eastAsia" w:ascii="仿宋_GB2312" w:hAnsi="仿宋" w:eastAsia="仿宋_GB2312"/>
          <w:color w:val="000000"/>
          <w:sz w:val="32"/>
          <w:szCs w:val="32"/>
        </w:rPr>
        <w:t>年9月形成了《配建规定》修订的征求意见稿。</w:t>
      </w:r>
    </w:p>
    <w:p>
      <w:pPr>
        <w:widowControl w:val="0"/>
        <w:spacing w:line="580" w:lineRule="exact"/>
        <w:ind w:firstLine="640" w:firstLineChars="200"/>
        <w:outlineLvl w:val="0"/>
        <w:rPr>
          <w:rFonts w:ascii="黑体" w:hAnsi="宋体" w:eastAsia="黑体"/>
          <w:kern w:val="2"/>
          <w:sz w:val="32"/>
          <w:szCs w:val="32"/>
        </w:rPr>
      </w:pPr>
      <w:r>
        <w:rPr>
          <w:rFonts w:hint="eastAsia" w:ascii="黑体" w:hAnsi="宋体" w:eastAsia="黑体"/>
          <w:kern w:val="2"/>
          <w:sz w:val="32"/>
          <w:szCs w:val="32"/>
        </w:rPr>
        <w:t>三、主要内容说明</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次修订主要围绕六个方面:一是全面对接国家住房保障体系，二是优化调整政策适用对象，三是整合不同政策中的配建比例要求，四是简化配建比例计算规则，五是建立统筹安排搬迁安置用房有关规则，六是衔接国土空间规划优化保障性住房配建空间范围图。</w:t>
      </w:r>
    </w:p>
    <w:p>
      <w:pPr>
        <w:spacing w:line="580" w:lineRule="exact"/>
        <w:ind w:firstLine="642"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（一）保障性住房类型全面对接国家住房保障体系</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2019年，国家明确了建立以公租房、保障性租赁住房和共有产权住房为主体的住房保障体系的总体要求。本次修订与国家住房保障体系全面衔接，明确本规定所称的保障性住房，是指公租房、保障性租赁住房和共有产权房。公租房主要面向符合收入财产限额的户籍住房困难家庭供应。共有产权住房对应我市原公共住房类型中出售的人才住房和安居型商品房，主要面向符合条件的户籍居民供应。保障性租赁住房主要解决新市民、青年人的阶段性住房困难，主要包含三种类型——我市原公共住房类型中出租的人才住房和安居型商品房、享受政府优惠政策且符合“小户型、低租金”的市场租赁住房和符合条件的产业园区配套宿舍，依本规定通过城市更新配建可筹集上述第一种类型。保障性住房类型在城市更新单元规划审查过程中由区城市更新主管部门商区住房建设主管部门确定。</w:t>
      </w:r>
    </w:p>
    <w:p>
      <w:pPr>
        <w:spacing w:line="580" w:lineRule="exact"/>
        <w:ind w:firstLine="642"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（二）优化调整政策适用对象</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次修订的政策适用对象包含了《配建规定》与《关于加强和改进城市更新实施工作的暂行措施》（深府办〔2016〕38号）（以下简称《暂行措施》）明确的城市更新配建或建设保障性住房的多种情形，包括按建筑面积的一定比例进行配建、在改造方向为新型产业用地的项目中安排部分保障性住房用地进行建设，以及符合条件的规划为工业的旧工业区，通过简易程序调整法定图则用地功能通过城市更新建设保障性住房。本次修订对配建与建设两种方式进行了区分，即保障性住房的配建是指在规划功能含住宅的各类城市更新项目中按建筑面积的一定比例进行配建，保障性住房的建设是指通过城市更新安排保障性住房用地进行建设。从而最终确定本规定适用对象为城市更新项目中保障性住房的配建及建设。</w:t>
      </w:r>
    </w:p>
    <w:p>
      <w:pPr>
        <w:spacing w:line="580" w:lineRule="exact"/>
        <w:ind w:firstLine="642"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（三）整合不同政策配建比例要求</w:t>
      </w:r>
      <w:r>
        <w:rPr>
          <w:rFonts w:hint="eastAsia" w:ascii="仿宋" w:hAnsi="仿宋" w:eastAsia="仿宋"/>
          <w:b/>
          <w:sz w:val="32"/>
          <w:szCs w:val="44"/>
        </w:rPr>
        <w:t>，避免政策叠加使用</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原城市更新项目保障性住房配建规则以《配建规定》为主体，经《暂行措施》对部分内容进行调整后确定。为避免城市更新项目保障性住房配建比例须同时依据</w:t>
      </w:r>
      <w:r>
        <w:rPr>
          <w:rFonts w:ascii="仿宋_GB2312" w:hAnsi="仿宋" w:eastAsia="仿宋_GB2312" w:cstheme="minorBidi"/>
          <w:color w:val="000000"/>
          <w:kern w:val="2"/>
          <w:sz w:val="32"/>
          <w:szCs w:val="32"/>
        </w:rPr>
        <w:t>《配建规定》和《暂行措施》</w:t>
      </w:r>
      <w:r>
        <w:rPr>
          <w:rFonts w:hint="eastAsia" w:ascii="仿宋_GB2312" w:hAnsi="仿宋" w:eastAsia="仿宋_GB2312"/>
          <w:color w:val="000000"/>
          <w:sz w:val="32"/>
          <w:szCs w:val="32"/>
        </w:rPr>
        <w:t>两套政策展开测算的情况，本次修订经过系统梳理各项政策条款逻辑，</w:t>
      </w:r>
      <w:r>
        <w:rPr>
          <w:rFonts w:hint="eastAsia" w:ascii="仿宋_GB2312" w:hAnsi="仿宋" w:eastAsia="仿宋_GB2312"/>
          <w:bCs/>
          <w:color w:val="000000"/>
          <w:sz w:val="32"/>
          <w:szCs w:val="32"/>
        </w:rPr>
        <w:t>采用“分级地区×改造类型”的配建比例表整合</w:t>
      </w:r>
      <w:r>
        <w:rPr>
          <w:rFonts w:hint="eastAsia" w:ascii="仿宋_GB2312" w:hAnsi="仿宋" w:eastAsia="仿宋_GB2312"/>
          <w:color w:val="000000"/>
          <w:sz w:val="32"/>
          <w:szCs w:val="32"/>
        </w:rPr>
        <w:t>原规则</w:t>
      </w:r>
      <w:r>
        <w:rPr>
          <w:rFonts w:hint="eastAsia" w:ascii="仿宋_GB2312" w:hAnsi="仿宋" w:eastAsia="仿宋_GB2312"/>
          <w:bCs/>
          <w:color w:val="000000"/>
          <w:sz w:val="32"/>
          <w:szCs w:val="32"/>
        </w:rPr>
        <w:t>中的基准比例、有关改造类型的核增核减规则和土地移交率核减规则等多项内容。</w:t>
      </w:r>
      <w:r>
        <w:rPr>
          <w:rFonts w:hint="eastAsia" w:ascii="仿宋_GB2312" w:hAnsi="仿宋" w:eastAsia="仿宋_GB2312"/>
          <w:color w:val="000000"/>
          <w:sz w:val="32"/>
          <w:szCs w:val="32"/>
        </w:rPr>
        <w:t>配建比例表中的配建比例主要为《配建规定》和《暂行措施》中明确的基准比例叠加有关改造类型的核增核减比例和土地移交率核减比例后所得。</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在此基础上，配建比例表有两方面微调。一是为避免出现一类地区配建比例低于二类地区的情况，一类地区城中村（旧屋村）改造配建比例最终确定为13%。二是为</w:t>
      </w:r>
      <w:r>
        <w:rPr>
          <w:rFonts w:hint="eastAsia" w:ascii="仿宋_GB2312" w:hAnsi="仿宋" w:eastAsia="仿宋_GB2312"/>
          <w:bCs/>
          <w:color w:val="000000"/>
          <w:sz w:val="32"/>
          <w:szCs w:val="32"/>
        </w:rPr>
        <w:t>贯彻落实《深圳经济特区城市更新条例》</w:t>
      </w:r>
      <w:r>
        <w:rPr>
          <w:rFonts w:hint="eastAsia" w:ascii="仿宋_GB2312" w:hAnsi="仿宋" w:eastAsia="仿宋_GB2312"/>
          <w:color w:val="000000"/>
          <w:sz w:val="32"/>
          <w:szCs w:val="32"/>
        </w:rPr>
        <w:t>明确的“旧住宅区拆除重建后优先用于公共租赁住房、安居型商品房和人才住房等公共住房建设”的精神，关于旧住宅区改造，本次修订以扣除回迁安置用房后剩余的住宅建筑面积中，保障性住房占比约50%</w:t>
      </w:r>
      <w:r>
        <w:rPr>
          <w:rFonts w:ascii="仿宋_GB2312" w:hAnsi="仿宋" w:eastAsia="仿宋_GB2312"/>
          <w:color w:val="000000"/>
          <w:sz w:val="32"/>
          <w:szCs w:val="32"/>
        </w:rPr>
        <w:t>-</w:t>
      </w:r>
      <w:r>
        <w:rPr>
          <w:rFonts w:hint="eastAsia" w:ascii="仿宋_GB2312" w:hAnsi="仿宋" w:eastAsia="仿宋_GB2312"/>
          <w:color w:val="000000"/>
          <w:sz w:val="32"/>
          <w:szCs w:val="32"/>
        </w:rPr>
        <w:t>60%为目标，确定旧住宅区改造配建比例为一类地区24%，二类地区22%，三类地区20%，较原配建水平有小幅提升。</w:t>
      </w:r>
    </w:p>
    <w:p>
      <w:pPr>
        <w:spacing w:line="580" w:lineRule="exact"/>
        <w:ind w:firstLine="642"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（四）简化配建比例计算规则</w:t>
      </w:r>
      <w:r>
        <w:rPr>
          <w:rFonts w:hint="eastAsia" w:ascii="仿宋" w:hAnsi="仿宋" w:eastAsia="仿宋"/>
          <w:b/>
          <w:sz w:val="32"/>
          <w:szCs w:val="44"/>
        </w:rPr>
        <w:t>，降低政策应用难度</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原规则由基准比例以及系列核增核减规则构成，核增核减条款较多，相应的计算过程较为复杂。为简化计算规则，降低政策应用的难度，本次修订在配建比例表明确的配建比例之外不再额外设置核增核减规则。考虑到保障性住房配建空间范围图修订可统筹解决在优势区位加强配建的内容，本规定不再设置有关轨道站点500米范围内核增的规则。</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次修订延续《暂行措施》的政策逻辑明确了计入基础容积的保障性住房建筑面积占规划批准住宅建筑面积的比例。同时延续原规则中有关混合改造的计算方法逻辑，确定了项目涉及多个改造类型或多个分级地区时，配建比例和计入基础容积的比例的加权平均计算方法。</w:t>
      </w:r>
    </w:p>
    <w:p>
      <w:pPr>
        <w:spacing w:line="580" w:lineRule="exact"/>
        <w:ind w:firstLine="642"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（五）建立统筹安排搬迁安置用房有关规则</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配建规定》实施以来，保障性住房配建针对不同配建类型采用同一比例，不同项目在同一配建比例下可因配建类型不同而存在利益差别。为进一步缩小因配建类型不同而产生的利益不平等，统筹解决土地整备筹集搬迁安置用房的迫切需求，本次修订建立了配建类型为共有产权房时，在配建共有产权房之外再无偿移交一部分搬迁安置用房的有关规则。通过多案例测算，最终确定移交的搬迁安置用房建筑面积为规划配建的共有产权房建筑面积的15%。</w:t>
      </w:r>
    </w:p>
    <w:p>
      <w:pPr>
        <w:spacing w:line="580" w:lineRule="exact"/>
        <w:ind w:firstLine="618" w:firstLineChars="200"/>
        <w:rPr>
          <w:rFonts w:ascii="仿宋_GB2312" w:hAnsi="仿宋" w:eastAsia="仿宋_GB2312"/>
          <w:b/>
          <w:color w:val="000000"/>
          <w:spacing w:val="-6"/>
          <w:sz w:val="32"/>
          <w:szCs w:val="32"/>
        </w:rPr>
      </w:pPr>
      <w:r>
        <w:rPr>
          <w:rFonts w:hint="eastAsia" w:ascii="仿宋_GB2312" w:hAnsi="仿宋" w:eastAsia="仿宋_GB2312"/>
          <w:b/>
          <w:color w:val="000000"/>
          <w:spacing w:val="-6"/>
          <w:sz w:val="32"/>
          <w:szCs w:val="32"/>
        </w:rPr>
        <w:t>（六）修订空间范围图，优化保障性住房建设空间引导</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本次修订依据在编的《深圳市国土空间总体规划（2020-2035）》（以下简称“国土空间规划”）的最新规划内容，对空间范围图进行了修订，主要涉及两方面：</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一是全面衔接城镇开发边界的集中建设区、弹性发展区，扩大空间范围图覆盖范围。本次修订后，空间范围图一、二、三类分级地区覆盖范围共1154平方公里，较修订之前增加了176平方公里。</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是衔接最新的轨道交通规划和我市国土空间总体规划有关内容，调整分级地区。调整原则为，位于国土空间总体规划确定的都市核心区、市级功能中心和重要的科技创新空间，且同时位于已建、在建以及国家发改委批复的近期建设的城际线和轨道站点1000米覆盖的地区，确定为一类地区。除一类地区之外的已建、在建以及国家发改委批复的近期建设的城际线和轨道站点1000米覆盖的地区和国土空间总体规划确定的都市核心区、市级功能中心、重要的科技创新空间及城市功能节点，确定为二类地区。位于一、二类地区之外城镇开发边界内的集中建设区、弹性发展区覆盖的所有地区，确定为三类地区。</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修订后的空间范围图，一类地区总面积421平方公里，占比36.5%；二类地区总面积294平方公里，占比25.5%；三类地区439平方公里，占比38</w:t>
      </w:r>
      <w:r>
        <w:rPr>
          <w:rFonts w:ascii="仿宋_GB2312" w:hAnsi="仿宋" w:eastAsia="仿宋_GB2312"/>
          <w:color w:val="000000"/>
          <w:sz w:val="32"/>
          <w:szCs w:val="32"/>
        </w:rPr>
        <w:t>.0</w:t>
      </w:r>
      <w:r>
        <w:rPr>
          <w:rFonts w:hint="eastAsia" w:ascii="仿宋_GB2312" w:hAnsi="仿宋" w:eastAsia="仿宋_GB2312"/>
          <w:color w:val="000000"/>
          <w:sz w:val="32"/>
          <w:szCs w:val="32"/>
        </w:rPr>
        <w:t>%。总体来看，修订后的空间范围图实现了城镇开发边界内的集中建设区、弹性发展区全覆盖，衔接了最新的轨道交通规划建设进展，并积极响应了国土空间总体规划确定的城市空间结构与中心体系、科技创新空间布局等规划内容。</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为了确保保障性住房配建空间范围图的合理性与时效性，本次修订延续了空间范围图的动态修订机制。</w:t>
      </w:r>
    </w:p>
    <w:p>
      <w:pPr>
        <w:spacing w:line="580" w:lineRule="exact"/>
        <w:ind w:firstLine="642"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（七）其他</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为确保新规定施行后，已有</w:t>
      </w:r>
      <w:r>
        <w:rPr>
          <w:rFonts w:hint="eastAsia" w:ascii="仿宋_GB2312" w:hAnsi="仿宋" w:eastAsia="仿宋_GB2312"/>
          <w:sz w:val="32"/>
          <w:szCs w:val="32"/>
        </w:rPr>
        <w:t>城市更新项目稳定过渡，本次修订明确本规定施行前列入城市更新单元计划的项目，在本规定施行之日起三年内更新单元规划经区政府或图则委审批通过的，可依照原有规定执行。本规定施行前列入城市更新单元计划但在本规定施行之日起三年内更新单元规划未经区政府或图则委审批通过的，以及本规定施行后列入城市更新单元计划的项目，依照本规定执行。同</w:t>
      </w:r>
      <w:r>
        <w:rPr>
          <w:rFonts w:hint="eastAsia" w:ascii="仿宋_GB2312" w:hAnsi="仿宋" w:eastAsia="仿宋_GB2312"/>
          <w:color w:val="000000"/>
          <w:sz w:val="32"/>
          <w:szCs w:val="32"/>
        </w:rPr>
        <w:t>时，为兼顾政策的时效性及稳定性，本次修订有效期为五年。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7</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57"/>
    <w:rsid w:val="0000617E"/>
    <w:rsid w:val="00006FCB"/>
    <w:rsid w:val="00007401"/>
    <w:rsid w:val="000124FE"/>
    <w:rsid w:val="00014348"/>
    <w:rsid w:val="00016531"/>
    <w:rsid w:val="0001695D"/>
    <w:rsid w:val="0002685C"/>
    <w:rsid w:val="00031C89"/>
    <w:rsid w:val="000339A5"/>
    <w:rsid w:val="0004123B"/>
    <w:rsid w:val="000419C4"/>
    <w:rsid w:val="000430A8"/>
    <w:rsid w:val="0004390C"/>
    <w:rsid w:val="0004583D"/>
    <w:rsid w:val="00062E4C"/>
    <w:rsid w:val="00064918"/>
    <w:rsid w:val="000702DB"/>
    <w:rsid w:val="00074455"/>
    <w:rsid w:val="00075D80"/>
    <w:rsid w:val="0007794D"/>
    <w:rsid w:val="0008047A"/>
    <w:rsid w:val="000829E1"/>
    <w:rsid w:val="000830FB"/>
    <w:rsid w:val="00085E4C"/>
    <w:rsid w:val="00090418"/>
    <w:rsid w:val="000944C8"/>
    <w:rsid w:val="00095297"/>
    <w:rsid w:val="000A0410"/>
    <w:rsid w:val="000A5DB1"/>
    <w:rsid w:val="000C2C09"/>
    <w:rsid w:val="000C6122"/>
    <w:rsid w:val="000D19A9"/>
    <w:rsid w:val="000D1FA3"/>
    <w:rsid w:val="000D53C7"/>
    <w:rsid w:val="000E09EF"/>
    <w:rsid w:val="000E2DDD"/>
    <w:rsid w:val="000E3C4B"/>
    <w:rsid w:val="000E5FF4"/>
    <w:rsid w:val="000F424B"/>
    <w:rsid w:val="000F7ADF"/>
    <w:rsid w:val="00105343"/>
    <w:rsid w:val="00106DF5"/>
    <w:rsid w:val="00110D61"/>
    <w:rsid w:val="001135AC"/>
    <w:rsid w:val="00114B04"/>
    <w:rsid w:val="00121B2E"/>
    <w:rsid w:val="0012230B"/>
    <w:rsid w:val="00132BB0"/>
    <w:rsid w:val="001337E2"/>
    <w:rsid w:val="00135B2B"/>
    <w:rsid w:val="00142E26"/>
    <w:rsid w:val="00146CAB"/>
    <w:rsid w:val="0015365E"/>
    <w:rsid w:val="001539C0"/>
    <w:rsid w:val="00155C5C"/>
    <w:rsid w:val="00163C00"/>
    <w:rsid w:val="001676A1"/>
    <w:rsid w:val="00172C67"/>
    <w:rsid w:val="00175BA1"/>
    <w:rsid w:val="00177EBB"/>
    <w:rsid w:val="0019217C"/>
    <w:rsid w:val="001943DF"/>
    <w:rsid w:val="001A2791"/>
    <w:rsid w:val="001A4EAC"/>
    <w:rsid w:val="001B0AFA"/>
    <w:rsid w:val="001B42BF"/>
    <w:rsid w:val="001B7D6A"/>
    <w:rsid w:val="001C0B99"/>
    <w:rsid w:val="001C32F4"/>
    <w:rsid w:val="001C460D"/>
    <w:rsid w:val="001C4CD3"/>
    <w:rsid w:val="001C7A26"/>
    <w:rsid w:val="001D1567"/>
    <w:rsid w:val="001D45AF"/>
    <w:rsid w:val="001D474D"/>
    <w:rsid w:val="001D4DB9"/>
    <w:rsid w:val="001E26FA"/>
    <w:rsid w:val="001E7738"/>
    <w:rsid w:val="001F2026"/>
    <w:rsid w:val="001F2FF7"/>
    <w:rsid w:val="001F5029"/>
    <w:rsid w:val="002009AA"/>
    <w:rsid w:val="00206D71"/>
    <w:rsid w:val="00207F4B"/>
    <w:rsid w:val="00216082"/>
    <w:rsid w:val="002172A3"/>
    <w:rsid w:val="00217336"/>
    <w:rsid w:val="0022026C"/>
    <w:rsid w:val="00222913"/>
    <w:rsid w:val="00225CCE"/>
    <w:rsid w:val="0022604D"/>
    <w:rsid w:val="00226A69"/>
    <w:rsid w:val="00230F32"/>
    <w:rsid w:val="002312C2"/>
    <w:rsid w:val="002335B2"/>
    <w:rsid w:val="00235EE2"/>
    <w:rsid w:val="00236DB2"/>
    <w:rsid w:val="002524D1"/>
    <w:rsid w:val="00253A08"/>
    <w:rsid w:val="0025528D"/>
    <w:rsid w:val="00256024"/>
    <w:rsid w:val="00256B01"/>
    <w:rsid w:val="0026057A"/>
    <w:rsid w:val="002615B3"/>
    <w:rsid w:val="00261738"/>
    <w:rsid w:val="00262546"/>
    <w:rsid w:val="00262F3C"/>
    <w:rsid w:val="00271209"/>
    <w:rsid w:val="00283A91"/>
    <w:rsid w:val="00283F4A"/>
    <w:rsid w:val="00286ABC"/>
    <w:rsid w:val="002926B1"/>
    <w:rsid w:val="002954C7"/>
    <w:rsid w:val="00296415"/>
    <w:rsid w:val="00297163"/>
    <w:rsid w:val="00297238"/>
    <w:rsid w:val="002A4606"/>
    <w:rsid w:val="002A4E2E"/>
    <w:rsid w:val="002C6415"/>
    <w:rsid w:val="002C7CDA"/>
    <w:rsid w:val="002D0AF2"/>
    <w:rsid w:val="002D1AA6"/>
    <w:rsid w:val="002E2CD0"/>
    <w:rsid w:val="002E3D29"/>
    <w:rsid w:val="002E441A"/>
    <w:rsid w:val="002E61AF"/>
    <w:rsid w:val="002E7616"/>
    <w:rsid w:val="002F1F9E"/>
    <w:rsid w:val="002F752C"/>
    <w:rsid w:val="0031544D"/>
    <w:rsid w:val="0031554F"/>
    <w:rsid w:val="00316A37"/>
    <w:rsid w:val="0032016E"/>
    <w:rsid w:val="003202CB"/>
    <w:rsid w:val="00321911"/>
    <w:rsid w:val="00327913"/>
    <w:rsid w:val="0033305B"/>
    <w:rsid w:val="003364C4"/>
    <w:rsid w:val="0034088B"/>
    <w:rsid w:val="00341CB2"/>
    <w:rsid w:val="00343405"/>
    <w:rsid w:val="00344003"/>
    <w:rsid w:val="0034530B"/>
    <w:rsid w:val="00345349"/>
    <w:rsid w:val="0034735B"/>
    <w:rsid w:val="003501F8"/>
    <w:rsid w:val="00352421"/>
    <w:rsid w:val="00352FD5"/>
    <w:rsid w:val="00355C0C"/>
    <w:rsid w:val="003571B5"/>
    <w:rsid w:val="00360EAC"/>
    <w:rsid w:val="00366469"/>
    <w:rsid w:val="0037030A"/>
    <w:rsid w:val="003713D2"/>
    <w:rsid w:val="0037151D"/>
    <w:rsid w:val="00374513"/>
    <w:rsid w:val="00375F6D"/>
    <w:rsid w:val="003771CF"/>
    <w:rsid w:val="003869DC"/>
    <w:rsid w:val="0039087A"/>
    <w:rsid w:val="00393631"/>
    <w:rsid w:val="003A1A89"/>
    <w:rsid w:val="003B7181"/>
    <w:rsid w:val="003C75DC"/>
    <w:rsid w:val="003F4F3B"/>
    <w:rsid w:val="004033EB"/>
    <w:rsid w:val="004041CA"/>
    <w:rsid w:val="00404DD6"/>
    <w:rsid w:val="00406A4F"/>
    <w:rsid w:val="00412D46"/>
    <w:rsid w:val="00415B25"/>
    <w:rsid w:val="00421D07"/>
    <w:rsid w:val="00421E0B"/>
    <w:rsid w:val="004256CB"/>
    <w:rsid w:val="00427A67"/>
    <w:rsid w:val="00435D18"/>
    <w:rsid w:val="004369AE"/>
    <w:rsid w:val="00436E2B"/>
    <w:rsid w:val="00444DE1"/>
    <w:rsid w:val="00445931"/>
    <w:rsid w:val="004464AB"/>
    <w:rsid w:val="00450DB1"/>
    <w:rsid w:val="00452DC3"/>
    <w:rsid w:val="00452EF2"/>
    <w:rsid w:val="00453DC6"/>
    <w:rsid w:val="0045533A"/>
    <w:rsid w:val="00460EE8"/>
    <w:rsid w:val="00461A8D"/>
    <w:rsid w:val="00476045"/>
    <w:rsid w:val="00480A81"/>
    <w:rsid w:val="004A4C7A"/>
    <w:rsid w:val="004A5035"/>
    <w:rsid w:val="004B1E67"/>
    <w:rsid w:val="004B2589"/>
    <w:rsid w:val="004B3E90"/>
    <w:rsid w:val="004C1863"/>
    <w:rsid w:val="004C45A4"/>
    <w:rsid w:val="004C5041"/>
    <w:rsid w:val="004E2F19"/>
    <w:rsid w:val="004E487F"/>
    <w:rsid w:val="004E6DEB"/>
    <w:rsid w:val="004F112C"/>
    <w:rsid w:val="00507770"/>
    <w:rsid w:val="00515DDA"/>
    <w:rsid w:val="005212F6"/>
    <w:rsid w:val="00527ECE"/>
    <w:rsid w:val="00531749"/>
    <w:rsid w:val="00533907"/>
    <w:rsid w:val="00544CF8"/>
    <w:rsid w:val="0054620E"/>
    <w:rsid w:val="00547EF4"/>
    <w:rsid w:val="00550BC8"/>
    <w:rsid w:val="0055170C"/>
    <w:rsid w:val="005545DF"/>
    <w:rsid w:val="00555975"/>
    <w:rsid w:val="00561AF6"/>
    <w:rsid w:val="005633FC"/>
    <w:rsid w:val="00567E1E"/>
    <w:rsid w:val="005733FA"/>
    <w:rsid w:val="00577D61"/>
    <w:rsid w:val="00581135"/>
    <w:rsid w:val="00582339"/>
    <w:rsid w:val="00585A94"/>
    <w:rsid w:val="00587933"/>
    <w:rsid w:val="0059308A"/>
    <w:rsid w:val="00597DD3"/>
    <w:rsid w:val="005A22E4"/>
    <w:rsid w:val="005A2AA1"/>
    <w:rsid w:val="005A3BA8"/>
    <w:rsid w:val="005B12C3"/>
    <w:rsid w:val="005B24C0"/>
    <w:rsid w:val="005B3815"/>
    <w:rsid w:val="005B460C"/>
    <w:rsid w:val="005B5416"/>
    <w:rsid w:val="005B59FF"/>
    <w:rsid w:val="005B600E"/>
    <w:rsid w:val="005C4BDB"/>
    <w:rsid w:val="005C7AC1"/>
    <w:rsid w:val="005D4171"/>
    <w:rsid w:val="005D64A8"/>
    <w:rsid w:val="005F04E6"/>
    <w:rsid w:val="005F0D49"/>
    <w:rsid w:val="005F2804"/>
    <w:rsid w:val="005F2C8D"/>
    <w:rsid w:val="005F2CE4"/>
    <w:rsid w:val="0060239B"/>
    <w:rsid w:val="006226A0"/>
    <w:rsid w:val="00627E97"/>
    <w:rsid w:val="00636423"/>
    <w:rsid w:val="0063791A"/>
    <w:rsid w:val="00652ABA"/>
    <w:rsid w:val="00654A21"/>
    <w:rsid w:val="00655A2A"/>
    <w:rsid w:val="0065603C"/>
    <w:rsid w:val="00662681"/>
    <w:rsid w:val="006641F8"/>
    <w:rsid w:val="006648FB"/>
    <w:rsid w:val="006677B2"/>
    <w:rsid w:val="00670B85"/>
    <w:rsid w:val="00671343"/>
    <w:rsid w:val="00673273"/>
    <w:rsid w:val="00674352"/>
    <w:rsid w:val="00674F84"/>
    <w:rsid w:val="0068457A"/>
    <w:rsid w:val="00684CB9"/>
    <w:rsid w:val="00685232"/>
    <w:rsid w:val="0068596D"/>
    <w:rsid w:val="0069186F"/>
    <w:rsid w:val="00692B79"/>
    <w:rsid w:val="006932A4"/>
    <w:rsid w:val="00696225"/>
    <w:rsid w:val="006A1252"/>
    <w:rsid w:val="006A4B67"/>
    <w:rsid w:val="006B1929"/>
    <w:rsid w:val="006B2494"/>
    <w:rsid w:val="006C2C0C"/>
    <w:rsid w:val="006C6626"/>
    <w:rsid w:val="006D2272"/>
    <w:rsid w:val="006D541D"/>
    <w:rsid w:val="006E1C13"/>
    <w:rsid w:val="006E582C"/>
    <w:rsid w:val="006E70FF"/>
    <w:rsid w:val="006F2CF4"/>
    <w:rsid w:val="006F4F43"/>
    <w:rsid w:val="007044A2"/>
    <w:rsid w:val="0070795E"/>
    <w:rsid w:val="00713BDF"/>
    <w:rsid w:val="007224C6"/>
    <w:rsid w:val="00727ECC"/>
    <w:rsid w:val="007305F9"/>
    <w:rsid w:val="00732A8F"/>
    <w:rsid w:val="00733377"/>
    <w:rsid w:val="00736F59"/>
    <w:rsid w:val="00741678"/>
    <w:rsid w:val="0074171B"/>
    <w:rsid w:val="0074397B"/>
    <w:rsid w:val="00746CF2"/>
    <w:rsid w:val="00757612"/>
    <w:rsid w:val="00772B57"/>
    <w:rsid w:val="00774DD2"/>
    <w:rsid w:val="00777D40"/>
    <w:rsid w:val="00780C7D"/>
    <w:rsid w:val="00782EEA"/>
    <w:rsid w:val="007842FC"/>
    <w:rsid w:val="00787FD4"/>
    <w:rsid w:val="007920D9"/>
    <w:rsid w:val="00795A04"/>
    <w:rsid w:val="007A08BA"/>
    <w:rsid w:val="007A2321"/>
    <w:rsid w:val="007A4D83"/>
    <w:rsid w:val="007B08FA"/>
    <w:rsid w:val="007B0AE0"/>
    <w:rsid w:val="007B3ED2"/>
    <w:rsid w:val="007B6B55"/>
    <w:rsid w:val="007C0E8C"/>
    <w:rsid w:val="007C1A14"/>
    <w:rsid w:val="007C3E4F"/>
    <w:rsid w:val="007C5544"/>
    <w:rsid w:val="007D0B90"/>
    <w:rsid w:val="007D2857"/>
    <w:rsid w:val="007D3234"/>
    <w:rsid w:val="007D3CD4"/>
    <w:rsid w:val="007D4AAD"/>
    <w:rsid w:val="007D4B00"/>
    <w:rsid w:val="007D4F46"/>
    <w:rsid w:val="007F3E09"/>
    <w:rsid w:val="007F6EA0"/>
    <w:rsid w:val="00816748"/>
    <w:rsid w:val="00820583"/>
    <w:rsid w:val="00832C92"/>
    <w:rsid w:val="008341FE"/>
    <w:rsid w:val="00836F83"/>
    <w:rsid w:val="008404E2"/>
    <w:rsid w:val="00840C18"/>
    <w:rsid w:val="008457E6"/>
    <w:rsid w:val="00850081"/>
    <w:rsid w:val="00860607"/>
    <w:rsid w:val="0086300E"/>
    <w:rsid w:val="00863D74"/>
    <w:rsid w:val="00864ECE"/>
    <w:rsid w:val="0086590A"/>
    <w:rsid w:val="00866297"/>
    <w:rsid w:val="00867382"/>
    <w:rsid w:val="00870038"/>
    <w:rsid w:val="00871C8B"/>
    <w:rsid w:val="00874E7C"/>
    <w:rsid w:val="00884BC7"/>
    <w:rsid w:val="008A0269"/>
    <w:rsid w:val="008A2984"/>
    <w:rsid w:val="008A2BF4"/>
    <w:rsid w:val="008A315A"/>
    <w:rsid w:val="008A42BF"/>
    <w:rsid w:val="008A47B4"/>
    <w:rsid w:val="008A5E99"/>
    <w:rsid w:val="008A6115"/>
    <w:rsid w:val="008A655F"/>
    <w:rsid w:val="008B0061"/>
    <w:rsid w:val="008C693C"/>
    <w:rsid w:val="008D0226"/>
    <w:rsid w:val="008D11EE"/>
    <w:rsid w:val="008D2896"/>
    <w:rsid w:val="008D411A"/>
    <w:rsid w:val="008D557D"/>
    <w:rsid w:val="008D683C"/>
    <w:rsid w:val="008D744C"/>
    <w:rsid w:val="008E44A5"/>
    <w:rsid w:val="008E564E"/>
    <w:rsid w:val="008F0B85"/>
    <w:rsid w:val="008F548E"/>
    <w:rsid w:val="0090015D"/>
    <w:rsid w:val="00905DEE"/>
    <w:rsid w:val="00906C60"/>
    <w:rsid w:val="00911647"/>
    <w:rsid w:val="00916BC3"/>
    <w:rsid w:val="00917B76"/>
    <w:rsid w:val="009244C5"/>
    <w:rsid w:val="00924601"/>
    <w:rsid w:val="00926EAF"/>
    <w:rsid w:val="00934530"/>
    <w:rsid w:val="009350E7"/>
    <w:rsid w:val="00935548"/>
    <w:rsid w:val="00954CEA"/>
    <w:rsid w:val="00962C10"/>
    <w:rsid w:val="00967377"/>
    <w:rsid w:val="00970006"/>
    <w:rsid w:val="00970D45"/>
    <w:rsid w:val="00973732"/>
    <w:rsid w:val="009870A0"/>
    <w:rsid w:val="0099095A"/>
    <w:rsid w:val="009973F0"/>
    <w:rsid w:val="009A261E"/>
    <w:rsid w:val="009A2B57"/>
    <w:rsid w:val="009A3955"/>
    <w:rsid w:val="009A5256"/>
    <w:rsid w:val="009B4BEB"/>
    <w:rsid w:val="009C2CAA"/>
    <w:rsid w:val="009C307A"/>
    <w:rsid w:val="009C506D"/>
    <w:rsid w:val="009D4980"/>
    <w:rsid w:val="009D5A04"/>
    <w:rsid w:val="009D706B"/>
    <w:rsid w:val="009E0681"/>
    <w:rsid w:val="009E3769"/>
    <w:rsid w:val="009F2208"/>
    <w:rsid w:val="009F65F7"/>
    <w:rsid w:val="009F7233"/>
    <w:rsid w:val="00A017E2"/>
    <w:rsid w:val="00A04F25"/>
    <w:rsid w:val="00A07FB2"/>
    <w:rsid w:val="00A15E4C"/>
    <w:rsid w:val="00A207D5"/>
    <w:rsid w:val="00A27728"/>
    <w:rsid w:val="00A3143F"/>
    <w:rsid w:val="00A31579"/>
    <w:rsid w:val="00A3253E"/>
    <w:rsid w:val="00A464CF"/>
    <w:rsid w:val="00A52E0D"/>
    <w:rsid w:val="00A57D98"/>
    <w:rsid w:val="00A62F85"/>
    <w:rsid w:val="00A67314"/>
    <w:rsid w:val="00A70429"/>
    <w:rsid w:val="00A7326D"/>
    <w:rsid w:val="00A744A6"/>
    <w:rsid w:val="00A75E40"/>
    <w:rsid w:val="00A812F1"/>
    <w:rsid w:val="00A96B0E"/>
    <w:rsid w:val="00AA0231"/>
    <w:rsid w:val="00AA3D79"/>
    <w:rsid w:val="00AA57E7"/>
    <w:rsid w:val="00AA608D"/>
    <w:rsid w:val="00AA761F"/>
    <w:rsid w:val="00AB18C1"/>
    <w:rsid w:val="00AB26B4"/>
    <w:rsid w:val="00AB33BF"/>
    <w:rsid w:val="00AB480C"/>
    <w:rsid w:val="00AB7A96"/>
    <w:rsid w:val="00AC4C69"/>
    <w:rsid w:val="00AC51A6"/>
    <w:rsid w:val="00AD2068"/>
    <w:rsid w:val="00AD7D58"/>
    <w:rsid w:val="00AE1000"/>
    <w:rsid w:val="00AE4F21"/>
    <w:rsid w:val="00AE5587"/>
    <w:rsid w:val="00AE7578"/>
    <w:rsid w:val="00AF0133"/>
    <w:rsid w:val="00AF3002"/>
    <w:rsid w:val="00AF55BB"/>
    <w:rsid w:val="00AF7D7D"/>
    <w:rsid w:val="00B005B1"/>
    <w:rsid w:val="00B00A87"/>
    <w:rsid w:val="00B01336"/>
    <w:rsid w:val="00B02A54"/>
    <w:rsid w:val="00B1409A"/>
    <w:rsid w:val="00B27A8F"/>
    <w:rsid w:val="00B344CB"/>
    <w:rsid w:val="00B36ACC"/>
    <w:rsid w:val="00B410AF"/>
    <w:rsid w:val="00B42B49"/>
    <w:rsid w:val="00B5340E"/>
    <w:rsid w:val="00B538AD"/>
    <w:rsid w:val="00B57BE8"/>
    <w:rsid w:val="00B61CCC"/>
    <w:rsid w:val="00B65677"/>
    <w:rsid w:val="00B669C7"/>
    <w:rsid w:val="00B716B6"/>
    <w:rsid w:val="00B80545"/>
    <w:rsid w:val="00B812AF"/>
    <w:rsid w:val="00B8255A"/>
    <w:rsid w:val="00B92251"/>
    <w:rsid w:val="00BA027C"/>
    <w:rsid w:val="00BA13DE"/>
    <w:rsid w:val="00BC39A1"/>
    <w:rsid w:val="00BC4593"/>
    <w:rsid w:val="00BC4F29"/>
    <w:rsid w:val="00BC4F5D"/>
    <w:rsid w:val="00BD305C"/>
    <w:rsid w:val="00BD5439"/>
    <w:rsid w:val="00BD5584"/>
    <w:rsid w:val="00BD75DE"/>
    <w:rsid w:val="00BD7F3F"/>
    <w:rsid w:val="00BE1772"/>
    <w:rsid w:val="00BE19FE"/>
    <w:rsid w:val="00BF20F8"/>
    <w:rsid w:val="00C00446"/>
    <w:rsid w:val="00C02E8B"/>
    <w:rsid w:val="00C0656F"/>
    <w:rsid w:val="00C14529"/>
    <w:rsid w:val="00C15B59"/>
    <w:rsid w:val="00C21AC9"/>
    <w:rsid w:val="00C2418A"/>
    <w:rsid w:val="00C27497"/>
    <w:rsid w:val="00C27CA7"/>
    <w:rsid w:val="00C360F8"/>
    <w:rsid w:val="00C42E0B"/>
    <w:rsid w:val="00C46F94"/>
    <w:rsid w:val="00C475B0"/>
    <w:rsid w:val="00C47CD4"/>
    <w:rsid w:val="00C56684"/>
    <w:rsid w:val="00C57468"/>
    <w:rsid w:val="00C57AB1"/>
    <w:rsid w:val="00C647EB"/>
    <w:rsid w:val="00C65946"/>
    <w:rsid w:val="00C74BFE"/>
    <w:rsid w:val="00C74D00"/>
    <w:rsid w:val="00C96FB0"/>
    <w:rsid w:val="00C97C2F"/>
    <w:rsid w:val="00CA0C8D"/>
    <w:rsid w:val="00CA342E"/>
    <w:rsid w:val="00CA60C1"/>
    <w:rsid w:val="00CB3665"/>
    <w:rsid w:val="00CB4D24"/>
    <w:rsid w:val="00CB67F9"/>
    <w:rsid w:val="00CC3390"/>
    <w:rsid w:val="00CC64AA"/>
    <w:rsid w:val="00CD0F68"/>
    <w:rsid w:val="00CE25C3"/>
    <w:rsid w:val="00CF6F51"/>
    <w:rsid w:val="00D00E6A"/>
    <w:rsid w:val="00D11630"/>
    <w:rsid w:val="00D1757B"/>
    <w:rsid w:val="00D26DAF"/>
    <w:rsid w:val="00D301DA"/>
    <w:rsid w:val="00D36A10"/>
    <w:rsid w:val="00D43C18"/>
    <w:rsid w:val="00D43EC6"/>
    <w:rsid w:val="00D5085F"/>
    <w:rsid w:val="00D50AC8"/>
    <w:rsid w:val="00D54AEF"/>
    <w:rsid w:val="00D61EF9"/>
    <w:rsid w:val="00D62599"/>
    <w:rsid w:val="00D75075"/>
    <w:rsid w:val="00D761E8"/>
    <w:rsid w:val="00D86B2F"/>
    <w:rsid w:val="00D870E1"/>
    <w:rsid w:val="00D909E9"/>
    <w:rsid w:val="00D9394A"/>
    <w:rsid w:val="00DA2F8F"/>
    <w:rsid w:val="00DA33F9"/>
    <w:rsid w:val="00DA3C5B"/>
    <w:rsid w:val="00DA4055"/>
    <w:rsid w:val="00DA6208"/>
    <w:rsid w:val="00DE2624"/>
    <w:rsid w:val="00DE2817"/>
    <w:rsid w:val="00DE4BEF"/>
    <w:rsid w:val="00DE56D8"/>
    <w:rsid w:val="00DE5AD3"/>
    <w:rsid w:val="00DE756B"/>
    <w:rsid w:val="00DF1017"/>
    <w:rsid w:val="00DF2C20"/>
    <w:rsid w:val="00E006F5"/>
    <w:rsid w:val="00E14A56"/>
    <w:rsid w:val="00E3082C"/>
    <w:rsid w:val="00E33420"/>
    <w:rsid w:val="00E3558F"/>
    <w:rsid w:val="00E37B7C"/>
    <w:rsid w:val="00E442BB"/>
    <w:rsid w:val="00E50A6E"/>
    <w:rsid w:val="00E53B8C"/>
    <w:rsid w:val="00E53CB0"/>
    <w:rsid w:val="00E54E07"/>
    <w:rsid w:val="00E55081"/>
    <w:rsid w:val="00E60B30"/>
    <w:rsid w:val="00E6491D"/>
    <w:rsid w:val="00E65CF4"/>
    <w:rsid w:val="00E70438"/>
    <w:rsid w:val="00E707E0"/>
    <w:rsid w:val="00E8374A"/>
    <w:rsid w:val="00E848AF"/>
    <w:rsid w:val="00E87ED1"/>
    <w:rsid w:val="00E95E00"/>
    <w:rsid w:val="00E95E0C"/>
    <w:rsid w:val="00E97624"/>
    <w:rsid w:val="00EB0D56"/>
    <w:rsid w:val="00EB4474"/>
    <w:rsid w:val="00EB72A3"/>
    <w:rsid w:val="00EC5A37"/>
    <w:rsid w:val="00EC6B45"/>
    <w:rsid w:val="00ED0882"/>
    <w:rsid w:val="00ED2656"/>
    <w:rsid w:val="00ED3D57"/>
    <w:rsid w:val="00EE03D1"/>
    <w:rsid w:val="00EE1592"/>
    <w:rsid w:val="00EE583F"/>
    <w:rsid w:val="00EE6D4C"/>
    <w:rsid w:val="00EF3048"/>
    <w:rsid w:val="00F05E4D"/>
    <w:rsid w:val="00F074A3"/>
    <w:rsid w:val="00F11EAE"/>
    <w:rsid w:val="00F21E38"/>
    <w:rsid w:val="00F224FE"/>
    <w:rsid w:val="00F253A5"/>
    <w:rsid w:val="00F31444"/>
    <w:rsid w:val="00F32BBA"/>
    <w:rsid w:val="00F3331F"/>
    <w:rsid w:val="00F4264D"/>
    <w:rsid w:val="00F525A0"/>
    <w:rsid w:val="00F60035"/>
    <w:rsid w:val="00F62555"/>
    <w:rsid w:val="00F76029"/>
    <w:rsid w:val="00F8715D"/>
    <w:rsid w:val="00F87DE1"/>
    <w:rsid w:val="00F9467F"/>
    <w:rsid w:val="00FA4064"/>
    <w:rsid w:val="00FA65E7"/>
    <w:rsid w:val="00FB0C9C"/>
    <w:rsid w:val="00FB0E89"/>
    <w:rsid w:val="00FB12E8"/>
    <w:rsid w:val="00FB6996"/>
    <w:rsid w:val="00FC1B6A"/>
    <w:rsid w:val="00FC1D5F"/>
    <w:rsid w:val="00FC6FD5"/>
    <w:rsid w:val="00FC762C"/>
    <w:rsid w:val="00FD04DC"/>
    <w:rsid w:val="00FD3EC7"/>
    <w:rsid w:val="00FD5CFD"/>
    <w:rsid w:val="00FE59A3"/>
    <w:rsid w:val="00FF0190"/>
    <w:rsid w:val="00FF4655"/>
    <w:rsid w:val="E6F50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widowControl w:val="0"/>
      <w:tabs>
        <w:tab w:val="center" w:pos="4153"/>
        <w:tab w:val="right" w:pos="8306"/>
      </w:tabs>
      <w:snapToGrid w:val="0"/>
      <w:jc w:val="left"/>
    </w:pPr>
    <w:rPr>
      <w:rFonts w:ascii="Calibri" w:hAnsi="Calibri"/>
      <w:kern w:val="2"/>
      <w:sz w:val="18"/>
      <w:szCs w:val="18"/>
    </w:rPr>
  </w:style>
  <w:style w:type="paragraph" w:styleId="6">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Calibri" w:hAnsi="Calibri"/>
      <w:kern w:val="2"/>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unhideWhenUsed/>
    <w:qFormat/>
    <w:uiPriority w:val="99"/>
    <w:rPr>
      <w:sz w:val="21"/>
      <w:szCs w:val="21"/>
    </w:rPr>
  </w:style>
  <w:style w:type="character" w:customStyle="1" w:styleId="12">
    <w:name w:val="页眉 字符"/>
    <w:link w:val="6"/>
    <w:qFormat/>
    <w:uiPriority w:val="99"/>
    <w:rPr>
      <w:sz w:val="18"/>
      <w:szCs w:val="18"/>
    </w:rPr>
  </w:style>
  <w:style w:type="character" w:customStyle="1" w:styleId="13">
    <w:name w:val="页脚 字符"/>
    <w:link w:val="5"/>
    <w:qFormat/>
    <w:uiPriority w:val="99"/>
    <w:rPr>
      <w:sz w:val="18"/>
      <w:szCs w:val="18"/>
    </w:rPr>
  </w:style>
  <w:style w:type="character" w:customStyle="1" w:styleId="14">
    <w:name w:val="批注框文本 字符"/>
    <w:link w:val="4"/>
    <w:semiHidden/>
    <w:qFormat/>
    <w:uiPriority w:val="99"/>
    <w:rPr>
      <w:rFonts w:ascii="Times New Roman" w:hAnsi="Times New Roman" w:eastAsia="宋体" w:cs="Times New Roman"/>
      <w:kern w:val="0"/>
      <w:sz w:val="18"/>
      <w:szCs w:val="18"/>
    </w:rPr>
  </w:style>
  <w:style w:type="character" w:customStyle="1" w:styleId="15">
    <w:name w:val="文档结构图 字符"/>
    <w:link w:val="2"/>
    <w:semiHidden/>
    <w:qFormat/>
    <w:uiPriority w:val="99"/>
    <w:rPr>
      <w:rFonts w:ascii="宋体" w:hAnsi="Times New Roman" w:eastAsia="宋体" w:cs="Times New Roman"/>
      <w:kern w:val="0"/>
      <w:sz w:val="18"/>
      <w:szCs w:val="18"/>
    </w:rPr>
  </w:style>
  <w:style w:type="character" w:customStyle="1" w:styleId="16">
    <w:name w:val="批注文字 字符"/>
    <w:link w:val="3"/>
    <w:semiHidden/>
    <w:qFormat/>
    <w:uiPriority w:val="99"/>
    <w:rPr>
      <w:rFonts w:ascii="Times New Roman" w:hAnsi="Times New Roman"/>
      <w:sz w:val="21"/>
      <w:szCs w:val="21"/>
    </w:rPr>
  </w:style>
  <w:style w:type="character" w:customStyle="1" w:styleId="17">
    <w:name w:val="批注主题 字符"/>
    <w:link w:val="7"/>
    <w:semiHidden/>
    <w:qFormat/>
    <w:uiPriority w:val="99"/>
    <w:rPr>
      <w:rFonts w:ascii="Times New Roman" w:hAnsi="Times New Roman"/>
      <w:b/>
      <w:bCs/>
      <w:sz w:val="21"/>
      <w:szCs w:val="21"/>
    </w:rPr>
  </w:style>
  <w:style w:type="paragraph" w:customStyle="1" w:styleId="18">
    <w:name w:val="Revision"/>
    <w:hidden/>
    <w:semiHidden/>
    <w:qFormat/>
    <w:uiPriority w:val="99"/>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SZGHGTW</Company>
  <Pages>7</Pages>
  <Words>511</Words>
  <Characters>2915</Characters>
  <Lines>24</Lines>
  <Paragraphs>6</Paragraphs>
  <TotalTime>259</TotalTime>
  <ScaleCrop>false</ScaleCrop>
  <LinksUpToDate>false</LinksUpToDate>
  <CharactersWithSpaces>3420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2022-09-22T15:38:00Z</dcterms:created>
  <dc:creator>赵秋月</dc:creator>
  <cp:lastModifiedBy>yt</cp:lastModifiedBy>
  <cp:lastPrinted>2022-09-22T16:47:00Z</cp:lastPrinted>
  <dcterms:modified xsi:type="dcterms:W3CDTF">2022-12-12T10:53:43Z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