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·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Toc2501"/>
      <w:bookmarkStart w:id="1" w:name="_Toc21883"/>
      <w:bookmarkStart w:id="2" w:name="_Toc15425"/>
      <w:bookmarkStart w:id="3" w:name="_Toc2683"/>
      <w:bookmarkStart w:id="4" w:name="_Toc23608"/>
      <w:bookmarkStart w:id="5" w:name="_Toc5560"/>
      <w:bookmarkStart w:id="6" w:name="_Toc5157"/>
      <w:bookmarkStart w:id="7" w:name="_Toc5149"/>
      <w:bookmarkStart w:id="8" w:name="_Toc109312235"/>
      <w:bookmarkStart w:id="9" w:name="_Toc5037"/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2021年盐田综合保税区运维管养类项目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绩效评价报告</w:t>
      </w: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bCs/>
          <w:sz w:val="44"/>
          <w:szCs w:val="44"/>
          <w:lang w:eastAsia="zh-Hans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bCs/>
          <w:sz w:val="44"/>
          <w:szCs w:val="44"/>
          <w:lang w:eastAsia="zh-Hans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深圳市盐田区财政局</w:t>
      </w: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  <w:t>为贯彻《中共中央</w:t>
      </w:r>
      <w:r>
        <w:rPr>
          <w:rFonts w:ascii="Times New Roman Regular" w:hAnsi="Times New Roman Regular" w:eastAsia="仿宋_GB2312" w:cs="Times New Roman Regular"/>
          <w:sz w:val="32"/>
          <w:szCs w:val="32"/>
          <w:lang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  <w:t>国务院关于全面实施预算绩效管理的意见》（中发〔</w:t>
      </w:r>
      <w:r>
        <w:rPr>
          <w:rFonts w:ascii="Times New Roman Regular" w:hAnsi="Times New Roman Regular" w:eastAsia="仿宋_GB2312" w:cs="Times New Roman Regular"/>
          <w:sz w:val="32"/>
          <w:szCs w:val="32"/>
          <w:lang w:bidi="ar"/>
        </w:rPr>
        <w:t>2018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  <w:t>〕</w:t>
      </w:r>
      <w:r>
        <w:rPr>
          <w:rFonts w:ascii="Times New Roman Regular" w:hAnsi="Times New Roman Regular" w:eastAsia="仿宋_GB2312" w:cs="Times New Roman Regular"/>
          <w:sz w:val="32"/>
          <w:szCs w:val="32"/>
          <w:lang w:bidi="ar"/>
        </w:rPr>
        <w:t>34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bidi="ar"/>
        </w:rPr>
        <w:t>号）文件精神，落实预算绩效管理主体责任，提高财政资金的使用效益，深圳市盐田区财政局组建评价小组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bidi="ar"/>
        </w:rPr>
        <w:t>对2021年盐田综合保税区运维管养类项目实施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了绩效评价。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10" w:name="_Toc8605"/>
      <w:bookmarkStart w:id="11" w:name="_Toc24781"/>
      <w:bookmarkStart w:id="12" w:name="_Toc9724"/>
      <w:bookmarkStart w:id="13" w:name="_Toc21900"/>
      <w:bookmarkStart w:id="14" w:name="_Toc23901"/>
      <w:bookmarkStart w:id="15" w:name="_Toc7867"/>
      <w:bookmarkStart w:id="16" w:name="_Toc31170"/>
      <w:bookmarkStart w:id="17" w:name="_Toc13439"/>
      <w:bookmarkStart w:id="18" w:name="_Toc109291570"/>
      <w:bookmarkStart w:id="19" w:name="_Toc7344"/>
      <w:bookmarkStart w:id="20" w:name="_Toc1263123849"/>
      <w:bookmarkStart w:id="21" w:name="_Toc9102"/>
      <w:bookmarkStart w:id="22" w:name="_Toc26553"/>
      <w:bookmarkStart w:id="23" w:name="_Toc109392625"/>
      <w:bookmarkStart w:id="24" w:name="_Toc23533"/>
      <w:bookmarkStart w:id="25" w:name="_Toc9164"/>
      <w:bookmarkStart w:id="26" w:name="_Toc593714168"/>
      <w:bookmarkStart w:id="27" w:name="_Toc5301"/>
      <w:bookmarkStart w:id="28" w:name="_Toc28054"/>
      <w:bookmarkStart w:id="29" w:name="_Toc1176431893"/>
      <w:bookmarkStart w:id="30" w:name="_Toc13344"/>
      <w:bookmarkStart w:id="31" w:name="_Toc17051"/>
      <w:bookmarkStart w:id="32" w:name="_Toc353"/>
      <w:bookmarkStart w:id="33" w:name="_Toc24665"/>
      <w:bookmarkStart w:id="34" w:name="_Toc120550274"/>
      <w:bookmarkStart w:id="35" w:name="_Toc22387"/>
      <w:bookmarkStart w:id="36" w:name="_Toc15812"/>
      <w:bookmarkStart w:id="37" w:name="_Toc12943"/>
      <w:bookmarkStart w:id="38" w:name="_Toc4054"/>
      <w:bookmarkStart w:id="39" w:name="_Toc14081"/>
      <w:bookmarkStart w:id="40" w:name="_Toc29361"/>
      <w:bookmarkStart w:id="41" w:name="_Toc17654"/>
      <w:bookmarkStart w:id="42" w:name="_Toc16426"/>
      <w:bookmarkStart w:id="43" w:name="_Toc23170"/>
      <w:bookmarkStart w:id="44" w:name="_Toc14717"/>
      <w:bookmarkStart w:id="45" w:name="_Toc24133"/>
      <w:bookmarkStart w:id="46" w:name="_Toc116591972"/>
      <w:bookmarkStart w:id="47" w:name="_Toc117595437"/>
      <w:bookmarkStart w:id="48" w:name="_Toc12929"/>
      <w:bookmarkStart w:id="49" w:name="_Toc25003"/>
      <w:bookmarkStart w:id="50" w:name="_Toc5936"/>
      <w:bookmarkStart w:id="51" w:name="_Toc120408352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一、基本情况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bookmarkStart w:id="52" w:name="_Toc19063"/>
      <w:bookmarkStart w:id="53" w:name="_Toc17738007"/>
      <w:bookmarkStart w:id="54" w:name="_Toc16984"/>
      <w:bookmarkStart w:id="55" w:name="_Toc19455"/>
      <w:bookmarkStart w:id="56" w:name="_Toc120550275"/>
      <w:bookmarkStart w:id="57" w:name="_Toc109291571"/>
      <w:bookmarkStart w:id="58" w:name="_Toc117595438"/>
      <w:bookmarkStart w:id="59" w:name="_Toc1446679548"/>
      <w:bookmarkStart w:id="60" w:name="_Toc14475"/>
      <w:bookmarkStart w:id="61" w:name="_Toc120408353"/>
      <w:bookmarkStart w:id="62" w:name="_Toc11439"/>
      <w:bookmarkStart w:id="63" w:name="_Toc9708"/>
      <w:bookmarkStart w:id="64" w:name="_Toc20735"/>
      <w:bookmarkStart w:id="65" w:name="_Toc4406"/>
      <w:bookmarkStart w:id="66" w:name="_Toc7188"/>
      <w:bookmarkStart w:id="67" w:name="_Toc15407"/>
      <w:bookmarkStart w:id="68" w:name="_Toc15855"/>
      <w:bookmarkStart w:id="69" w:name="_Toc1237642657"/>
      <w:bookmarkStart w:id="70" w:name="_Toc26294"/>
      <w:bookmarkStart w:id="71" w:name="_Toc7961"/>
      <w:bookmarkStart w:id="72" w:name="_Toc548"/>
      <w:bookmarkStart w:id="73" w:name="_Toc14132"/>
      <w:bookmarkStart w:id="74" w:name="_Toc23560"/>
      <w:bookmarkStart w:id="75" w:name="_Toc612"/>
      <w:bookmarkStart w:id="76" w:name="_Toc29602"/>
      <w:bookmarkStart w:id="77" w:name="_Toc13985"/>
      <w:bookmarkStart w:id="78" w:name="_Toc109392626"/>
      <w:bookmarkStart w:id="79" w:name="_Toc21524"/>
      <w:bookmarkStart w:id="80" w:name="_Toc1221"/>
      <w:bookmarkStart w:id="81" w:name="_Toc21222"/>
      <w:bookmarkStart w:id="82" w:name="_Toc19873338"/>
      <w:bookmarkStart w:id="83" w:name="_Toc28123"/>
      <w:bookmarkStart w:id="84" w:name="_Toc116591973"/>
      <w:bookmarkStart w:id="85" w:name="_Toc22268"/>
      <w:bookmarkStart w:id="86" w:name="_Toc9423"/>
      <w:bookmarkStart w:id="87" w:name="_Toc16581"/>
      <w:bookmarkStart w:id="88" w:name="_Toc28792"/>
      <w:bookmarkStart w:id="89" w:name="_Toc11473"/>
      <w:bookmarkStart w:id="90" w:name="_Toc29072"/>
      <w:bookmarkStart w:id="91" w:name="_Toc12669"/>
      <w:bookmarkStart w:id="92" w:name="_Toc827"/>
      <w:bookmarkStart w:id="93" w:name="_Toc1344997614"/>
      <w:bookmarkStart w:id="94" w:name="_Toc496973985"/>
      <w:bookmarkStart w:id="95" w:name="_Toc23386"/>
      <w:bookmarkStart w:id="96" w:name="_Toc1450"/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（一）综保区基本情况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盐田综合保税区（以下简称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“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综保区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”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）于2014年1月22日经国务院批准成立，规划面积2.17平方公里，由原深圳市沙头角保税区、盐田港保税物流园区、盐田港保税区整合而成。2016年1月15日，综保区（一期）1.24平方公里通过国家验收，包括盐田片区和沙头角片区，其中：盐田片区围网面积</w:t>
      </w:r>
      <w:r>
        <w:rPr>
          <w:rFonts w:ascii="Times New Roman Regular" w:hAnsi="Times New Roman Regular" w:eastAsia="仿宋_GB2312" w:cs="Times New Roman Regular"/>
          <w:kern w:val="0"/>
          <w:sz w:val="32"/>
          <w:szCs w:val="32"/>
        </w:rPr>
        <w:t>1.01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平方公里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，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沙头角片区围网面积0.23平方公里。2020年综保区规划调整，盐田片区围网面积调整为1.05万平方公里。2021年9月，沙头角片区退出综保区。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bookmarkStart w:id="97" w:name="_Toc117595439"/>
      <w:bookmarkStart w:id="98" w:name="_Toc14340"/>
      <w:bookmarkStart w:id="99" w:name="_Toc116591974"/>
      <w:bookmarkStart w:id="100" w:name="_Toc18247"/>
      <w:bookmarkStart w:id="101" w:name="_Toc11818"/>
      <w:bookmarkStart w:id="102" w:name="_Toc1202"/>
      <w:bookmarkStart w:id="103" w:name="_Toc30422"/>
      <w:bookmarkStart w:id="104" w:name="_Toc2878"/>
      <w:bookmarkStart w:id="105" w:name="_Toc16472"/>
      <w:bookmarkStart w:id="106" w:name="_Toc31772"/>
      <w:bookmarkStart w:id="107" w:name="_Toc1611001752"/>
      <w:bookmarkStart w:id="108" w:name="_Toc14488"/>
      <w:bookmarkStart w:id="109" w:name="_Toc2728"/>
      <w:bookmarkStart w:id="110" w:name="_Toc6598"/>
      <w:bookmarkStart w:id="111" w:name="_Toc29276"/>
      <w:bookmarkStart w:id="112" w:name="_Toc24793"/>
      <w:bookmarkStart w:id="113" w:name="_Toc4614"/>
      <w:bookmarkStart w:id="114" w:name="_Toc533"/>
      <w:bookmarkStart w:id="115" w:name="_Toc17521"/>
      <w:bookmarkStart w:id="116" w:name="_Toc1451"/>
      <w:bookmarkStart w:id="117" w:name="_Toc13543"/>
      <w:bookmarkStart w:id="118" w:name="_Toc5323"/>
      <w:bookmarkStart w:id="119" w:name="_Toc14692"/>
      <w:bookmarkStart w:id="120" w:name="_Toc120408354"/>
      <w:bookmarkStart w:id="121" w:name="_Toc5732"/>
      <w:bookmarkStart w:id="122" w:name="_Toc5400"/>
      <w:bookmarkStart w:id="123" w:name="_Toc120550276"/>
      <w:bookmarkStart w:id="124" w:name="_Toc533311902"/>
      <w:bookmarkStart w:id="125" w:name="_Toc962030176"/>
      <w:bookmarkStart w:id="126" w:name="_Toc11905"/>
      <w:bookmarkStart w:id="127" w:name="_Toc4071"/>
      <w:bookmarkStart w:id="128" w:name="_Toc15389"/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（二）管理机构及职责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2019年4月，根据《关于设立深圳盐田综合保税区经济发展服务中心的通知》（盐编委〔2019〕8号，以下简称《通知》），深圳盐田综合保税区经济发展服务中心（以下简称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“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中心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”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）正式设立，为深圳市盐田区人民政府直属事业单位，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承担综保区的维护管养职责、海关后勤保障服务和企业服务工作，以及完成区委、区政府和上级部门交待的其他任务等。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bookmarkStart w:id="129" w:name="_Toc21531"/>
      <w:bookmarkStart w:id="130" w:name="_Toc4584"/>
      <w:bookmarkStart w:id="131" w:name="_Toc24822"/>
      <w:bookmarkStart w:id="132" w:name="_Toc22676"/>
      <w:bookmarkStart w:id="133" w:name="_Toc2047"/>
      <w:bookmarkStart w:id="134" w:name="_Toc14432"/>
      <w:bookmarkStart w:id="135" w:name="_Toc1313"/>
      <w:bookmarkStart w:id="136" w:name="_Toc4713"/>
      <w:bookmarkStart w:id="137" w:name="_Toc19301"/>
      <w:bookmarkStart w:id="138" w:name="_Toc31391"/>
      <w:bookmarkStart w:id="139" w:name="_Toc12789"/>
      <w:bookmarkStart w:id="140" w:name="_Toc29750"/>
      <w:bookmarkStart w:id="141" w:name="_Toc120408355"/>
      <w:bookmarkStart w:id="142" w:name="_Toc120550277"/>
      <w:bookmarkStart w:id="143" w:name="_Toc24681"/>
      <w:bookmarkStart w:id="144" w:name="_Toc31251"/>
      <w:bookmarkStart w:id="145" w:name="_Toc1923877983"/>
      <w:bookmarkStart w:id="146" w:name="_Toc116591975"/>
      <w:bookmarkStart w:id="147" w:name="_Toc19442"/>
      <w:bookmarkStart w:id="148" w:name="_Toc20680"/>
      <w:bookmarkStart w:id="149" w:name="_Toc23485"/>
      <w:bookmarkStart w:id="150" w:name="_Toc117595440"/>
      <w:bookmarkStart w:id="151" w:name="_Toc7198"/>
      <w:bookmarkStart w:id="152" w:name="_Toc6091"/>
      <w:bookmarkStart w:id="153" w:name="_Toc7623"/>
      <w:bookmarkStart w:id="154" w:name="_Toc436789769"/>
      <w:bookmarkStart w:id="155" w:name="_Toc2055238569"/>
      <w:bookmarkStart w:id="156" w:name="_Toc4137"/>
      <w:bookmarkStart w:id="157" w:name="_Toc30188"/>
      <w:bookmarkStart w:id="158" w:name="_Toc18586"/>
      <w:bookmarkStart w:id="159" w:name="_Toc17729"/>
      <w:bookmarkStart w:id="160" w:name="_Toc22171"/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（三）运维管养工作范围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自2019年4月承接管理职责以来，中心将综保区涉及的运维管养工作内容，按照涉及领域分为园区基础设施管养类、人员类、海关智能化系统运维类等三类；在领域划分的基础上，按照涉及工作内容的性质，细分成九类项目并对应设立九个预算项目，列入中心部门预算安排作为经常性项目实施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，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 xml:space="preserve">各预算项目涉及工作内容见表1。  </w:t>
      </w:r>
    </w:p>
    <w:p>
      <w:pPr>
        <w:spacing w:line="560" w:lineRule="exact"/>
        <w:jc w:val="center"/>
        <w:rPr>
          <w:rFonts w:hint="eastAsia" w:ascii="Times New Roman Regular" w:hAnsi="Times New Roman Regular" w:eastAsia="仿宋_GB2312" w:cs="Times New Roman Regular"/>
          <w:b/>
          <w:bCs/>
          <w:color w:val="000000"/>
          <w:kern w:val="0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b/>
          <w:bCs/>
          <w:color w:val="000000"/>
          <w:kern w:val="0"/>
          <w:sz w:val="28"/>
          <w:szCs w:val="28"/>
        </w:rPr>
        <w:t>表1 综保区运维管养类预算项目工作内容情况表</w:t>
      </w:r>
    </w:p>
    <w:tbl>
      <w:tblPr>
        <w:tblStyle w:val="2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78"/>
        <w:gridCol w:w="2011"/>
        <w:gridCol w:w="2207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  <w:jc w:val="center"/>
        </w:trPr>
        <w:tc>
          <w:tcPr>
            <w:tcW w:w="356" w:type="pct"/>
            <w:shd w:val="clear" w:color="auto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0" w:type="pct"/>
            <w:shd w:val="clear" w:color="auto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10" w:type="pct"/>
            <w:shd w:val="clear" w:color="auto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18" w:type="pct"/>
            <w:shd w:val="clear" w:color="auto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665" w:type="pct"/>
            <w:shd w:val="clear" w:color="auto" w:fill="D8D8D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4"/>
                <w:szCs w:val="24"/>
              </w:rPr>
              <w:t>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35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1</w:t>
            </w:r>
          </w:p>
        </w:tc>
        <w:tc>
          <w:tcPr>
            <w:tcW w:w="650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园区基础设施管养类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盐田综合保税区（一期）盐田片区市政设施维护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维护综保区盐田片区市政设施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。</w:t>
            </w:r>
          </w:p>
        </w:tc>
        <w:tc>
          <w:tcPr>
            <w:tcW w:w="1665" w:type="pct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根据《通知》《备忘录》《综合保税区基础和监管设施设置规范》等有关文件规定，中心负责综保区内道路、绿化、环卫、供水、排水、供电、通讯管网、消防设施等市政设施管理维护工作，监管查验业务用房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35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2</w:t>
            </w: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盐田综合保税区（一期）盐田片区环境卫生管理维护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负责综保区盐田片区的绿化植物养护和环境卫生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维护。</w:t>
            </w:r>
          </w:p>
        </w:tc>
        <w:tc>
          <w:tcPr>
            <w:tcW w:w="1665" w:type="pct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35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3</w:t>
            </w: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盐田综合保税区（一期）盐田片区业务用房物业管理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负责综保区内公共业务用房的物业管理服务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。</w:t>
            </w:r>
          </w:p>
        </w:tc>
        <w:tc>
          <w:tcPr>
            <w:tcW w:w="1665" w:type="pct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4</w:t>
            </w: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盐田综合保税区（一期）沙头角片区环境和市政设施管理维护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维护综保区沙头角片区绿化植物养护、环境卫生以及市政设施维护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。</w:t>
            </w:r>
          </w:p>
        </w:tc>
        <w:tc>
          <w:tcPr>
            <w:tcW w:w="1665" w:type="pct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35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5</w:t>
            </w:r>
          </w:p>
        </w:tc>
        <w:tc>
          <w:tcPr>
            <w:tcW w:w="650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人员类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盐田综合保税区（一期）盐田片区保安服务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维护综保区盐田片区内安全和治安秩序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。</w:t>
            </w:r>
          </w:p>
        </w:tc>
        <w:tc>
          <w:tcPr>
            <w:tcW w:w="1665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根据《通知》《备忘录》《综合保税区基础和监管设施设置规范》等有关文件规定，中心负责综保区内安保工作。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35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6</w:t>
            </w: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盐田综合保税区海关协管员服务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缓解海关人力资源紧张问题，保障海关人员充足，监管工作能顺利开展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。</w:t>
            </w:r>
          </w:p>
        </w:tc>
        <w:tc>
          <w:tcPr>
            <w:tcW w:w="1665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根据《海关总署关于加强海关协管管理员指导工作的意见》（署人发〔2012〕57号）等有关文件规定，中心需做好海关协管员的统筹安排和保障工作。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5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7</w:t>
            </w:r>
          </w:p>
        </w:tc>
        <w:tc>
          <w:tcPr>
            <w:tcW w:w="650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海关智能化系统运维类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盐田综合保税区（一期）智能化系统工程一标段运营维护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保障智能化系统工程I标段设备设施的稳定运行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。</w:t>
            </w:r>
          </w:p>
        </w:tc>
        <w:tc>
          <w:tcPr>
            <w:tcW w:w="1665" w:type="pct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根据《通知》《备忘录》《综合保税区基础和监管设施设置规范》等有关文件规定，负责综保区内海关围网、监管查验业务用房、智能化设施系统管理维护服务工作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35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8</w:t>
            </w: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盐田综合保税区海关检验检疫智能化设施管理维护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保障智能化系统工程Ⅱ标段、Ⅲ标段设备设施的稳定运行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。</w:t>
            </w:r>
          </w:p>
        </w:tc>
        <w:tc>
          <w:tcPr>
            <w:tcW w:w="1665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9</w:t>
            </w: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 xml:space="preserve">盐田综合保税区（一期）临时围网监控设施维护  </w:t>
            </w:r>
          </w:p>
        </w:tc>
        <w:tc>
          <w:tcPr>
            <w:tcW w:w="1218" w:type="pct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维护综保区临时围网监控设施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  <w:t>。</w:t>
            </w:r>
          </w:p>
        </w:tc>
        <w:tc>
          <w:tcPr>
            <w:tcW w:w="1665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3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bookmarkStart w:id="161" w:name="_Toc12549"/>
      <w:bookmarkStart w:id="162" w:name="_Toc15649"/>
      <w:bookmarkStart w:id="163" w:name="_Toc109392628"/>
      <w:bookmarkStart w:id="164" w:name="_Toc26496"/>
      <w:bookmarkStart w:id="165" w:name="_Toc28293"/>
      <w:bookmarkStart w:id="166" w:name="_Toc17136"/>
      <w:bookmarkStart w:id="167" w:name="_Toc109291573"/>
      <w:bookmarkStart w:id="168" w:name="_Toc20082"/>
      <w:bookmarkStart w:id="169" w:name="_Toc18674"/>
      <w:bookmarkStart w:id="170" w:name="_Toc12069"/>
      <w:bookmarkStart w:id="171" w:name="_Toc19015"/>
      <w:bookmarkStart w:id="172" w:name="_Toc120550279"/>
      <w:bookmarkStart w:id="173" w:name="_Toc10615"/>
      <w:bookmarkStart w:id="174" w:name="_Toc3594"/>
      <w:bookmarkStart w:id="175" w:name="_Toc22884"/>
      <w:bookmarkStart w:id="176" w:name="_Toc2868"/>
      <w:bookmarkStart w:id="177" w:name="_Toc588"/>
      <w:bookmarkStart w:id="178" w:name="_Toc30064"/>
      <w:bookmarkStart w:id="179" w:name="_Toc332129258"/>
      <w:bookmarkStart w:id="180" w:name="_Toc8764"/>
      <w:bookmarkStart w:id="181" w:name="_Toc23858"/>
      <w:bookmarkStart w:id="182" w:name="_Toc120408357"/>
      <w:bookmarkStart w:id="183" w:name="_Toc14810"/>
      <w:bookmarkStart w:id="184" w:name="_Toc14365"/>
      <w:bookmarkStart w:id="185" w:name="_Toc2202"/>
      <w:bookmarkStart w:id="186" w:name="_Toc117595442"/>
      <w:bookmarkStart w:id="187" w:name="_Toc210076561"/>
      <w:bookmarkStart w:id="188" w:name="_Toc3189"/>
      <w:bookmarkStart w:id="189" w:name="_Toc25147"/>
      <w:bookmarkStart w:id="190" w:name="_Toc31869"/>
      <w:bookmarkStart w:id="191" w:name="_Toc116591977"/>
      <w:bookmarkStart w:id="192" w:name="_Toc10381"/>
      <w:bookmarkStart w:id="193" w:name="_Toc29261"/>
      <w:bookmarkStart w:id="194" w:name="_Toc2667"/>
      <w:bookmarkStart w:id="195" w:name="_Toc20206"/>
      <w:bookmarkStart w:id="196" w:name="_Toc1162123629"/>
      <w:bookmarkStart w:id="197" w:name="_Toc9143"/>
      <w:bookmarkStart w:id="198" w:name="_Toc15882"/>
      <w:bookmarkStart w:id="199" w:name="_Toc28483"/>
      <w:bookmarkStart w:id="200" w:name="_Toc194"/>
      <w:bookmarkStart w:id="201" w:name="_Toc17850"/>
      <w:bookmarkStart w:id="202" w:name="_Toc23078"/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（四）2021年运维管养类项目预算安排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及执行情况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2021年中心运维管养类项目共安排预算3,771.90万元，经调整后实际安排预算3,900.09万元，实际预算支出3,879.42万元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，预算执行率为99.47%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。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其中，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支付2020年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服务费用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322.47万元，支付2021年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服务费用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,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  <w:lang w:bidi="ar"/>
        </w:rPr>
        <w:t>556.95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 xml:space="preserve"> 万元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203" w:name="_Toc1076"/>
      <w:bookmarkStart w:id="204" w:name="_Toc4934"/>
      <w:bookmarkStart w:id="205" w:name="_Toc21374"/>
      <w:bookmarkStart w:id="206" w:name="_Toc109392631"/>
      <w:bookmarkStart w:id="207" w:name="_Toc469198420"/>
      <w:bookmarkStart w:id="208" w:name="_Toc22785"/>
      <w:bookmarkStart w:id="209" w:name="_Toc1802792921"/>
      <w:bookmarkStart w:id="210" w:name="_Toc11131"/>
      <w:bookmarkStart w:id="211" w:name="_Toc120550281"/>
      <w:bookmarkStart w:id="212" w:name="_Toc27100"/>
      <w:bookmarkStart w:id="213" w:name="_Toc3778"/>
      <w:bookmarkStart w:id="214" w:name="_Toc1599"/>
      <w:bookmarkStart w:id="215" w:name="_Toc109291576"/>
      <w:bookmarkStart w:id="216" w:name="_Toc17266"/>
      <w:bookmarkStart w:id="217" w:name="_Toc30566"/>
      <w:bookmarkStart w:id="218" w:name="_Toc5805"/>
      <w:bookmarkStart w:id="219" w:name="_Toc21511"/>
      <w:bookmarkStart w:id="220" w:name="_Toc29480"/>
      <w:bookmarkStart w:id="221" w:name="_Toc27292"/>
      <w:bookmarkStart w:id="222" w:name="_Toc116591983"/>
      <w:bookmarkStart w:id="223" w:name="_Toc26030"/>
      <w:bookmarkStart w:id="224" w:name="_Toc21436"/>
      <w:bookmarkStart w:id="225" w:name="_Toc29375"/>
      <w:bookmarkStart w:id="226" w:name="_Toc117595444"/>
      <w:bookmarkStart w:id="227" w:name="_Toc29834"/>
      <w:bookmarkStart w:id="228" w:name="_Toc3325"/>
      <w:bookmarkStart w:id="229" w:name="_Toc120408359"/>
      <w:bookmarkStart w:id="230" w:name="_Toc18595"/>
      <w:bookmarkStart w:id="231" w:name="_Toc23577"/>
      <w:bookmarkStart w:id="232" w:name="_Toc21605"/>
      <w:bookmarkStart w:id="233" w:name="_Toc27338"/>
      <w:bookmarkStart w:id="234" w:name="_Toc6241"/>
      <w:bookmarkStart w:id="235" w:name="_Toc17635"/>
      <w:bookmarkStart w:id="236" w:name="_Toc28417"/>
      <w:bookmarkStart w:id="237" w:name="_Toc18635"/>
      <w:bookmarkStart w:id="238" w:name="_Toc375085807"/>
      <w:bookmarkStart w:id="239" w:name="_Toc20872"/>
      <w:bookmarkStart w:id="240" w:name="_Toc27786"/>
      <w:bookmarkStart w:id="241" w:name="_Toc6691"/>
      <w:bookmarkStart w:id="242" w:name="_Toc4004"/>
      <w:bookmarkStart w:id="243" w:name="_Toc13466"/>
      <w:bookmarkStart w:id="244" w:name="_Toc16917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二、综合评价情况及评价结论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bookmarkStart w:id="245" w:name="_Toc3871"/>
      <w:bookmarkStart w:id="246" w:name="_Toc117595445"/>
      <w:bookmarkStart w:id="247" w:name="_Toc27712"/>
      <w:bookmarkStart w:id="248" w:name="_Toc6779"/>
      <w:bookmarkStart w:id="249" w:name="_Toc505433117"/>
      <w:bookmarkStart w:id="250" w:name="_Toc28010"/>
      <w:bookmarkStart w:id="251" w:name="_Toc20048"/>
      <w:bookmarkStart w:id="252" w:name="_Toc4843"/>
      <w:bookmarkStart w:id="253" w:name="_Toc12029"/>
      <w:bookmarkStart w:id="254" w:name="_Toc24594"/>
      <w:bookmarkStart w:id="255" w:name="_Toc109392632"/>
      <w:bookmarkStart w:id="256" w:name="_Toc2315"/>
      <w:bookmarkStart w:id="257" w:name="_Toc1212"/>
      <w:bookmarkStart w:id="258" w:name="_Toc24736"/>
      <w:bookmarkStart w:id="259" w:name="_Toc116591984"/>
      <w:bookmarkStart w:id="260" w:name="_Toc26683"/>
      <w:bookmarkStart w:id="261" w:name="_Toc25672"/>
      <w:bookmarkStart w:id="262" w:name="_Toc4999"/>
      <w:bookmarkStart w:id="263" w:name="_Toc12445"/>
      <w:bookmarkStart w:id="264" w:name="_Toc11345"/>
      <w:bookmarkStart w:id="265" w:name="_Toc10622"/>
      <w:bookmarkStart w:id="266" w:name="_Toc120408360"/>
      <w:bookmarkStart w:id="267" w:name="_Toc12705"/>
      <w:bookmarkStart w:id="268" w:name="_Toc20708"/>
      <w:bookmarkStart w:id="269" w:name="_Toc10127"/>
      <w:bookmarkStart w:id="270" w:name="_Toc14061"/>
      <w:bookmarkStart w:id="271" w:name="_Toc2382"/>
      <w:bookmarkStart w:id="272" w:name="_Toc26750"/>
      <w:bookmarkStart w:id="273" w:name="_Toc13248"/>
      <w:bookmarkStart w:id="274" w:name="_Toc25324"/>
      <w:bookmarkStart w:id="275" w:name="_Toc120550282"/>
      <w:bookmarkStart w:id="276" w:name="_Toc109291577"/>
      <w:bookmarkStart w:id="277" w:name="_Toc6428"/>
      <w:bookmarkStart w:id="278" w:name="_Toc6851"/>
      <w:bookmarkStart w:id="279" w:name="_Toc257893156"/>
      <w:bookmarkStart w:id="280" w:name="_Toc11102"/>
      <w:bookmarkStart w:id="281" w:name="_Toc15696"/>
      <w:bookmarkStart w:id="282" w:name="_Toc7613"/>
      <w:bookmarkStart w:id="283" w:name="_Toc14410"/>
      <w:bookmarkStart w:id="284" w:name="_Toc1202654304"/>
      <w:bookmarkStart w:id="285" w:name="_Toc18861"/>
      <w:bookmarkStart w:id="286" w:name="_Toc7255"/>
      <w:r>
        <w:rPr>
          <w:rFonts w:hint="eastAsia" w:ascii="Times New Roman" w:hAnsi="Times New Roman" w:eastAsia="仿宋_GB2312"/>
          <w:sz w:val="32"/>
          <w:szCs w:val="32"/>
          <w:lang w:val="en-GB"/>
        </w:rPr>
        <w:t>本次绩效评价采取现场调研、访谈、穿行测试、现场评价和非现场评价相结合、财务检查等工作方式，广泛收集评价所需的资料，并依据评价指标体系，结合相关佐证材料</w:t>
      </w:r>
      <w:r>
        <w:rPr>
          <w:rFonts w:hint="eastAsia" w:ascii="Times New Roman" w:hAnsi="Times New Roman" w:eastAsia="仿宋_GB2312"/>
          <w:sz w:val="32"/>
          <w:szCs w:val="32"/>
          <w:lang w:eastAsia="zh-Hans"/>
        </w:rPr>
        <w:t>对</w:t>
      </w:r>
      <w:r>
        <w:rPr>
          <w:rFonts w:hint="default" w:ascii="Times New Roman" w:hAnsi="Times New Roman" w:eastAsia="仿宋_GB2312"/>
          <w:sz w:val="32"/>
          <w:szCs w:val="32"/>
          <w:lang w:val="en" w:eastAsia="zh-Hans"/>
        </w:rPr>
        <w:t>2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bidi="ar"/>
        </w:rPr>
        <w:t>021年盐田综合保税区运维管养类项目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的绩效情况进行了绩效评分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，综合评定项目的绩效</w:t>
      </w:r>
      <w:r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  <w:t>评价得分为77.34分，绩效评级为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“</w:t>
      </w:r>
      <w:r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  <w:t>中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”</w:t>
      </w:r>
      <w:r>
        <w:rPr>
          <w:rStyle w:val="26"/>
          <w:rFonts w:ascii="Times New Roman Regular" w:hAnsi="Times New Roman Regular" w:eastAsia="仿宋_GB2312" w:cs="Times New Roman Regular"/>
          <w:color w:val="000000"/>
          <w:sz w:val="32"/>
          <w:szCs w:val="32"/>
        </w:rPr>
        <w:footnoteReference w:id="0"/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287" w:name="_Toc6148"/>
      <w:bookmarkStart w:id="288" w:name="_Toc18721"/>
      <w:bookmarkStart w:id="289" w:name="_Toc6131"/>
      <w:bookmarkStart w:id="290" w:name="_Toc693381396"/>
      <w:bookmarkStart w:id="291" w:name="_Toc30920"/>
      <w:bookmarkStart w:id="292" w:name="_Toc13557"/>
      <w:bookmarkStart w:id="293" w:name="_Toc814"/>
      <w:bookmarkStart w:id="294" w:name="_Toc1282784907"/>
      <w:bookmarkStart w:id="295" w:name="_Toc1799195759"/>
      <w:bookmarkStart w:id="296" w:name="_Toc15112"/>
      <w:bookmarkStart w:id="297" w:name="_Toc28360"/>
      <w:bookmarkStart w:id="298" w:name="_Toc5397"/>
      <w:bookmarkStart w:id="299" w:name="_Toc17455"/>
      <w:bookmarkStart w:id="300" w:name="_Toc20576"/>
      <w:bookmarkStart w:id="301" w:name="_Toc5779"/>
      <w:bookmarkStart w:id="302" w:name="_Toc117595451"/>
      <w:bookmarkStart w:id="303" w:name="_Toc120408366"/>
      <w:bookmarkStart w:id="304" w:name="_Toc6292"/>
      <w:bookmarkStart w:id="305" w:name="_Toc15774"/>
      <w:bookmarkStart w:id="306" w:name="_Toc116591990"/>
      <w:bookmarkStart w:id="307" w:name="_Toc30281"/>
      <w:bookmarkStart w:id="308" w:name="_Toc1737"/>
      <w:bookmarkStart w:id="309" w:name="_Toc16381"/>
      <w:bookmarkStart w:id="310" w:name="_Toc1370"/>
      <w:bookmarkStart w:id="311" w:name="_Toc28376"/>
      <w:bookmarkStart w:id="312" w:name="_Toc4957"/>
      <w:bookmarkStart w:id="313" w:name="_Toc6812"/>
      <w:bookmarkStart w:id="314" w:name="_Toc31472"/>
      <w:bookmarkStart w:id="315" w:name="_Toc3631"/>
      <w:bookmarkStart w:id="316" w:name="_Toc17085"/>
      <w:bookmarkStart w:id="317" w:name="_Toc120550288"/>
      <w:bookmarkStart w:id="318" w:name="_Toc1781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三、取得的主要成效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Start w:id="477" w:name="_GoBack"/>
      <w:bookmarkEnd w:id="477"/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评价认为资金取得的主要成效为：</w:t>
      </w:r>
      <w:bookmarkStart w:id="319" w:name="_Toc6443"/>
      <w:bookmarkStart w:id="320" w:name="_Toc18309"/>
      <w:bookmarkStart w:id="321" w:name="_Toc27877"/>
      <w:bookmarkStart w:id="322" w:name="_Toc7377"/>
      <w:bookmarkStart w:id="323" w:name="_Toc24998"/>
      <w:bookmarkStart w:id="324" w:name="_Toc15052"/>
      <w:bookmarkStart w:id="325" w:name="_Toc12522"/>
      <w:bookmarkStart w:id="326" w:name="_Toc26911"/>
      <w:bookmarkStart w:id="327" w:name="_Toc1299068268"/>
      <w:bookmarkStart w:id="328" w:name="_Toc10776"/>
      <w:bookmarkStart w:id="329" w:name="_Toc120408367"/>
      <w:bookmarkStart w:id="330" w:name="_Toc120550289"/>
      <w:bookmarkStart w:id="331" w:name="_Toc117595452"/>
      <w:bookmarkStart w:id="332" w:name="_Toc365888106"/>
      <w:bookmarkStart w:id="333" w:name="_Toc16292"/>
      <w:bookmarkStart w:id="334" w:name="_Toc28607"/>
      <w:bookmarkStart w:id="335" w:name="_Toc27368"/>
      <w:bookmarkStart w:id="336" w:name="_Toc6749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加强园区生产经营秩序管理，保障园区安全有序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Start w:id="337" w:name="_Toc709136060"/>
      <w:bookmarkStart w:id="338" w:name="_Toc24072"/>
      <w:bookmarkStart w:id="339" w:name="_Toc29474"/>
      <w:bookmarkStart w:id="340" w:name="_Toc10291"/>
      <w:bookmarkStart w:id="341" w:name="_Toc911"/>
      <w:bookmarkStart w:id="342" w:name="_Toc19399"/>
      <w:bookmarkStart w:id="343" w:name="_Toc27399"/>
      <w:bookmarkStart w:id="344" w:name="_Toc6960"/>
      <w:bookmarkStart w:id="345" w:name="_Toc117595453"/>
      <w:bookmarkStart w:id="346" w:name="_Toc120550290"/>
      <w:bookmarkStart w:id="347" w:name="_Toc23043"/>
      <w:bookmarkStart w:id="348" w:name="_Toc15601"/>
      <w:bookmarkStart w:id="349" w:name="_Toc116591992"/>
      <w:bookmarkStart w:id="350" w:name="_Toc120408368"/>
      <w:bookmarkStart w:id="351" w:name="_Toc22213"/>
      <w:bookmarkStart w:id="352" w:name="_Toc26631"/>
      <w:bookmarkStart w:id="353" w:name="_Toc28784"/>
      <w:bookmarkStart w:id="354" w:name="_Toc7127"/>
      <w:bookmarkStart w:id="355" w:name="_Toc25711"/>
      <w:bookmarkStart w:id="356" w:name="_Toc24516"/>
      <w:bookmarkStart w:id="357" w:name="_Toc30387"/>
      <w:bookmarkStart w:id="358" w:name="_Toc32737"/>
      <w:bookmarkStart w:id="359" w:name="_Toc20358"/>
      <w:bookmarkStart w:id="360" w:name="_Toc1235716181"/>
      <w:bookmarkStart w:id="361" w:name="_Toc1121807831"/>
      <w:bookmarkStart w:id="362" w:name="_Toc16106"/>
      <w:bookmarkStart w:id="363" w:name="_Toc16338"/>
      <w:bookmarkStart w:id="364" w:name="_Toc9523"/>
      <w:bookmarkStart w:id="365" w:name="_Toc25208"/>
      <w:bookmarkStart w:id="366" w:name="_Toc29612"/>
      <w:bookmarkStart w:id="367" w:name="_Toc31032"/>
      <w:bookmarkStart w:id="368" w:name="_Toc17414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；二是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加强园区设施设备日常维护及绿化保洁管理，保障园区环境干净整洁有序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</w:t>
      </w:r>
      <w:bookmarkStart w:id="369" w:name="_Toc120408369"/>
      <w:bookmarkStart w:id="370" w:name="_Toc8102"/>
      <w:bookmarkStart w:id="371" w:name="_Toc31423"/>
      <w:bookmarkStart w:id="372" w:name="_Toc25938"/>
      <w:bookmarkStart w:id="373" w:name="_Toc17055"/>
      <w:bookmarkStart w:id="374" w:name="_Toc15654"/>
      <w:bookmarkStart w:id="375" w:name="_Toc19449"/>
      <w:bookmarkStart w:id="376" w:name="_Toc31368"/>
      <w:bookmarkStart w:id="377" w:name="_Toc10799"/>
      <w:bookmarkStart w:id="378" w:name="_Toc28601"/>
      <w:bookmarkStart w:id="379" w:name="_Toc27380"/>
      <w:bookmarkStart w:id="380" w:name="_Toc367503930"/>
      <w:bookmarkStart w:id="381" w:name="_Toc17626"/>
      <w:bookmarkStart w:id="382" w:name="_Toc116591993"/>
      <w:bookmarkStart w:id="383" w:name="_Toc8497"/>
      <w:bookmarkStart w:id="384" w:name="_Toc17352"/>
      <w:bookmarkStart w:id="385" w:name="_Toc2063003217"/>
      <w:bookmarkStart w:id="386" w:name="_Toc26577"/>
      <w:bookmarkStart w:id="387" w:name="_Toc25556"/>
      <w:bookmarkStart w:id="388" w:name="_Toc548963720"/>
      <w:bookmarkStart w:id="389" w:name="_Toc117595454"/>
      <w:bookmarkStart w:id="390" w:name="_Toc13742"/>
      <w:bookmarkStart w:id="391" w:name="_Toc32109"/>
      <w:bookmarkStart w:id="392" w:name="_Toc13258"/>
      <w:bookmarkStart w:id="393" w:name="_Toc28442"/>
      <w:bookmarkStart w:id="394" w:name="_Toc120550291"/>
      <w:bookmarkStart w:id="395" w:name="_Toc29949"/>
      <w:bookmarkStart w:id="396" w:name="_Toc25395"/>
      <w:bookmarkStart w:id="397" w:name="_Toc6513"/>
      <w:bookmarkStart w:id="398" w:name="_Toc1664"/>
      <w:bookmarkStart w:id="399" w:name="_Toc31234"/>
      <w:bookmarkStart w:id="400" w:name="_Toc30684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加强海关智能化系统运维管理，保障系统正常运行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Start w:id="401" w:name="_Toc7121"/>
      <w:bookmarkStart w:id="402" w:name="_Toc475582738"/>
      <w:bookmarkStart w:id="403" w:name="_Toc29725"/>
      <w:bookmarkStart w:id="404" w:name="_Toc117595455"/>
      <w:bookmarkStart w:id="405" w:name="_Toc20168"/>
      <w:bookmarkStart w:id="406" w:name="_Toc8567"/>
      <w:bookmarkStart w:id="407" w:name="_Toc23667"/>
      <w:bookmarkStart w:id="408" w:name="_Toc120550292"/>
      <w:bookmarkStart w:id="409" w:name="_Toc9494"/>
      <w:bookmarkStart w:id="410" w:name="_Toc6526"/>
      <w:bookmarkStart w:id="411" w:name="_Toc26893"/>
      <w:bookmarkStart w:id="412" w:name="_Toc614773617"/>
      <w:bookmarkStart w:id="413" w:name="_Toc120408370"/>
      <w:bookmarkStart w:id="414" w:name="_Toc8658"/>
      <w:bookmarkStart w:id="415" w:name="_Toc20999"/>
      <w:bookmarkStart w:id="416" w:name="_Toc19557"/>
      <w:bookmarkStart w:id="417" w:name="_Toc18361"/>
      <w:bookmarkStart w:id="418" w:name="_Toc18750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；四是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做好海关协管服务，加强货物监管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419" w:name="_Toc14651"/>
      <w:bookmarkStart w:id="420" w:name="_Toc9873"/>
      <w:bookmarkStart w:id="421" w:name="_Toc12779"/>
      <w:bookmarkStart w:id="422" w:name="_Toc2427"/>
      <w:bookmarkStart w:id="423" w:name="_Toc11752"/>
      <w:bookmarkStart w:id="424" w:name="_Toc120408371"/>
      <w:bookmarkStart w:id="425" w:name="_Toc4098"/>
      <w:bookmarkStart w:id="426" w:name="_Toc1776"/>
      <w:bookmarkStart w:id="427" w:name="_Toc207052673"/>
      <w:bookmarkStart w:id="428" w:name="_Toc6888"/>
      <w:bookmarkStart w:id="429" w:name="_Toc30269"/>
      <w:bookmarkStart w:id="430" w:name="_Toc13"/>
      <w:bookmarkStart w:id="431" w:name="_Toc3626"/>
      <w:bookmarkStart w:id="432" w:name="_Toc31827"/>
      <w:bookmarkStart w:id="433" w:name="_Toc25088"/>
      <w:bookmarkStart w:id="434" w:name="_Toc116591995"/>
      <w:bookmarkStart w:id="435" w:name="_Toc1291113441"/>
      <w:bookmarkStart w:id="436" w:name="_Toc21158"/>
      <w:bookmarkStart w:id="437" w:name="_Toc21454"/>
      <w:bookmarkStart w:id="438" w:name="_Toc28392"/>
      <w:bookmarkStart w:id="439" w:name="_Toc117595456"/>
      <w:bookmarkStart w:id="440" w:name="_Toc12531"/>
      <w:bookmarkStart w:id="441" w:name="_Toc30075"/>
      <w:bookmarkStart w:id="442" w:name="_Toc120550293"/>
      <w:bookmarkStart w:id="443" w:name="_Toc26273"/>
      <w:bookmarkStart w:id="444" w:name="_Toc21202"/>
      <w:bookmarkStart w:id="445" w:name="_Toc5671"/>
      <w:bookmarkStart w:id="446" w:name="_Toc23543"/>
      <w:bookmarkStart w:id="447" w:name="_Toc12187"/>
      <w:bookmarkStart w:id="448" w:name="_Toc23689"/>
      <w:bookmarkStart w:id="449" w:name="_Toc184943432"/>
      <w:bookmarkStart w:id="450" w:name="_Toc4886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四、存在的主要问题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</w:p>
    <w:p>
      <w:pPr>
        <w:keepNext w:val="0"/>
        <w:keepLines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评价发现的问题主要为：一是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部分项目预算编制不合理，预算编制科学性不足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。二是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部分项目预算执行不规范，监督管理不充分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盐田片区业务用房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物业管理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项目和垃圾中转站运行项目的实施内容存在交叉重叠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垃圾中转站运行项目分包</w:t>
      </w:r>
      <w:r>
        <w:rPr>
          <w:rFonts w:hint="eastAsia" w:ascii="CESI仿宋-GB2312" w:hAnsi="CESI仿宋-GB2312" w:eastAsia="CESI仿宋-GB2312" w:cs="CESI仿宋-GB2312"/>
          <w:bCs w:val="0"/>
          <w:kern w:val="2"/>
          <w:sz w:val="32"/>
          <w:szCs w:val="32"/>
        </w:rPr>
        <w:t>未见申报审批手续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 w:val="0"/>
          <w:kern w:val="2"/>
          <w:sz w:val="32"/>
          <w:szCs w:val="32"/>
        </w:rPr>
        <w:t>部分项目实施过程监管不充分</w:t>
      </w:r>
      <w:r>
        <w:rPr>
          <w:rFonts w:hint="eastAsia" w:ascii="CESI仿宋-GB2312" w:hAnsi="CESI仿宋-GB2312" w:eastAsia="CESI仿宋-GB2312" w:cs="CESI仿宋-GB2312"/>
          <w:bCs w:val="0"/>
          <w:kern w:val="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资金使用经济性不足，业务运作模式可进一步优化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盐田片区业务用房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物业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管理项目当前业务运作模式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经济性不足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，可进一步优化改进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海关协管员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eastAsia="zh-CN"/>
        </w:rPr>
        <w:t>服务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项目未按照区政府议定的劳务派遣方式实施，财政资金使用经济性不足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部分项目实施内容可进一步优化整合，提高资金使用效益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四是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绩效目标不够科学合理，绩效目标约束力不足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451" w:name="_Toc9788"/>
      <w:bookmarkStart w:id="452" w:name="_Toc224"/>
      <w:bookmarkStart w:id="453" w:name="_Toc17551"/>
      <w:bookmarkStart w:id="454" w:name="_Toc66034732"/>
      <w:bookmarkStart w:id="455" w:name="_Toc32456"/>
      <w:bookmarkStart w:id="456" w:name="_Toc22059"/>
      <w:bookmarkStart w:id="457" w:name="_Toc116592012"/>
      <w:bookmarkStart w:id="458" w:name="_Toc19212"/>
      <w:bookmarkStart w:id="459" w:name="_Toc15801"/>
      <w:bookmarkStart w:id="460" w:name="_Toc69298907"/>
      <w:bookmarkStart w:id="461" w:name="_Toc117595462"/>
      <w:bookmarkStart w:id="462" w:name="_Toc1787"/>
      <w:bookmarkStart w:id="463" w:name="_Toc739089513"/>
      <w:bookmarkStart w:id="464" w:name="_Toc120408376"/>
      <w:bookmarkStart w:id="465" w:name="_Toc10566"/>
      <w:bookmarkStart w:id="466" w:name="_Toc31550"/>
      <w:bookmarkStart w:id="467" w:name="_Toc22692"/>
      <w:bookmarkStart w:id="468" w:name="_Toc13528"/>
      <w:bookmarkStart w:id="469" w:name="_Toc28289"/>
      <w:bookmarkStart w:id="470" w:name="_Toc6906"/>
      <w:bookmarkStart w:id="471" w:name="_Toc120550298"/>
      <w:bookmarkStart w:id="472" w:name="_Toc4034"/>
      <w:bookmarkStart w:id="473" w:name="_Toc8771"/>
      <w:bookmarkStart w:id="474" w:name="_Toc19397"/>
      <w:bookmarkStart w:id="475" w:name="_Toc7806"/>
      <w:bookmarkStart w:id="476" w:name="_Toc10197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Hans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、相关建议</w:t>
      </w:r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</w:p>
    <w:p>
      <w:pPr>
        <w:widowControl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提出的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相关建议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为：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编实编细项目预算，提高预算编制的科学性与准确性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；二是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进一步规范预算执行，加强项目监督管理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；三是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优化改进业务运作模式，充分发挥财政资金使用效益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四是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健全预算绩效管理机制，完善绩效目标管理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widowControl/>
        <w:overflowPunct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</w:p>
    <w:sectPr>
      <w:headerReference r:id="rId4" w:type="default"/>
      <w:footerReference r:id="rId5" w:type="default"/>
      <w:type w:val="continuous"/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Times New Roman Regular">
    <w:altName w:val="Nimbus Roman No9 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3550" cy="21907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35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anchorCtr="false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7.25pt;width:36.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IxdPN1AAAAAMBAAAPAAAAAAAAAAEAIAAAADgAAABk&#10;cnMvZG93bnJldi54bWxQSwECFAAUAAAACACHTuJA7GIG5bsBAABUAwAADgAAAAAAAAABACAAAAA5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6"/>
        <w:jc w:val="both"/>
        <w:rPr>
          <w:sz w:val="21"/>
          <w:szCs w:val="21"/>
        </w:rPr>
      </w:pPr>
      <w:r>
        <w:rPr>
          <w:rStyle w:val="26"/>
        </w:rPr>
        <w:footnoteRef/>
      </w:r>
      <w:r>
        <w:t xml:space="preserve"> </w:t>
      </w:r>
      <w:r>
        <w:rPr>
          <w:rFonts w:hint="eastAsia" w:ascii="宋体" w:hAnsi="宋体" w:eastAsia="宋体"/>
          <w:sz w:val="21"/>
          <w:szCs w:val="21"/>
        </w:rPr>
        <w:t>根据《项目支出绩效评价管理办法》（财预〔2020〕10号）第十八条规定：具体分值和等级可根据不同评价内容设定。总分一般设置为100分，等级一般划分为四档：90（含）-100分为优、80（含）-90分为良、60（含）-80分为中、60分以下为差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A2778"/>
    <w:multiLevelType w:val="multilevel"/>
    <w:tmpl w:val="430A2778"/>
    <w:lvl w:ilvl="0" w:tentative="0">
      <w:start w:val="1"/>
      <w:numFmt w:val="chineseCountingThousand"/>
      <w:suff w:val="nothing"/>
      <w:lvlText w:val="%1、"/>
      <w:lvlJc w:val="left"/>
      <w:pPr>
        <w:ind w:left="6521" w:firstLine="0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269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2" w:tentative="0">
      <w:start w:val="1"/>
      <w:numFmt w:val="decimal"/>
      <w:pStyle w:val="41"/>
      <w:suff w:val="space"/>
      <w:lvlText w:val="%3."/>
      <w:lvlJc w:val="left"/>
      <w:pPr>
        <w:ind w:left="708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NTc3MzhiODZmNTIzZjhjNTk4ZTJjZjVlNjI4NzEifQ=="/>
  </w:docVars>
  <w:rsids>
    <w:rsidRoot w:val="21ED2F1C"/>
    <w:rsid w:val="00001D38"/>
    <w:rsid w:val="00025966"/>
    <w:rsid w:val="0002787B"/>
    <w:rsid w:val="00027E7F"/>
    <w:rsid w:val="00032932"/>
    <w:rsid w:val="00041E96"/>
    <w:rsid w:val="00076D9E"/>
    <w:rsid w:val="00086D69"/>
    <w:rsid w:val="00087DE2"/>
    <w:rsid w:val="00094817"/>
    <w:rsid w:val="000B0DC3"/>
    <w:rsid w:val="000C48F6"/>
    <w:rsid w:val="000E2A8A"/>
    <w:rsid w:val="001017AE"/>
    <w:rsid w:val="00113EC9"/>
    <w:rsid w:val="00124C86"/>
    <w:rsid w:val="00130FF8"/>
    <w:rsid w:val="00144794"/>
    <w:rsid w:val="00147FE7"/>
    <w:rsid w:val="00150599"/>
    <w:rsid w:val="001513BA"/>
    <w:rsid w:val="00161F6A"/>
    <w:rsid w:val="0016303C"/>
    <w:rsid w:val="00180130"/>
    <w:rsid w:val="0018512B"/>
    <w:rsid w:val="001955DC"/>
    <w:rsid w:val="001A7EF6"/>
    <w:rsid w:val="001B03C4"/>
    <w:rsid w:val="001B0F5E"/>
    <w:rsid w:val="001D266C"/>
    <w:rsid w:val="001D383C"/>
    <w:rsid w:val="001F3E70"/>
    <w:rsid w:val="001F51AA"/>
    <w:rsid w:val="00201721"/>
    <w:rsid w:val="00204673"/>
    <w:rsid w:val="00206CFD"/>
    <w:rsid w:val="002109FA"/>
    <w:rsid w:val="002144D7"/>
    <w:rsid w:val="00230BD5"/>
    <w:rsid w:val="00235974"/>
    <w:rsid w:val="00235AE6"/>
    <w:rsid w:val="00244993"/>
    <w:rsid w:val="00245ECA"/>
    <w:rsid w:val="00245ED4"/>
    <w:rsid w:val="00256A85"/>
    <w:rsid w:val="0026408F"/>
    <w:rsid w:val="002B612B"/>
    <w:rsid w:val="002C54D1"/>
    <w:rsid w:val="002C6FB5"/>
    <w:rsid w:val="002E3F39"/>
    <w:rsid w:val="00300543"/>
    <w:rsid w:val="00330A9A"/>
    <w:rsid w:val="00331602"/>
    <w:rsid w:val="00333A87"/>
    <w:rsid w:val="00341E49"/>
    <w:rsid w:val="003551B7"/>
    <w:rsid w:val="00361EF3"/>
    <w:rsid w:val="003623C4"/>
    <w:rsid w:val="00364580"/>
    <w:rsid w:val="003743CE"/>
    <w:rsid w:val="003757BB"/>
    <w:rsid w:val="003819DB"/>
    <w:rsid w:val="00382C26"/>
    <w:rsid w:val="00387CF1"/>
    <w:rsid w:val="003A2208"/>
    <w:rsid w:val="003A3CB9"/>
    <w:rsid w:val="003A433B"/>
    <w:rsid w:val="003A70E0"/>
    <w:rsid w:val="003B6A5C"/>
    <w:rsid w:val="003C21F9"/>
    <w:rsid w:val="003C6A8E"/>
    <w:rsid w:val="003D7A4A"/>
    <w:rsid w:val="003E6503"/>
    <w:rsid w:val="003F0213"/>
    <w:rsid w:val="003F05F5"/>
    <w:rsid w:val="0042234A"/>
    <w:rsid w:val="00425D37"/>
    <w:rsid w:val="004339A1"/>
    <w:rsid w:val="004365A8"/>
    <w:rsid w:val="00442420"/>
    <w:rsid w:val="00444211"/>
    <w:rsid w:val="00451083"/>
    <w:rsid w:val="00454AA7"/>
    <w:rsid w:val="00467903"/>
    <w:rsid w:val="00485C6A"/>
    <w:rsid w:val="00491DB3"/>
    <w:rsid w:val="00493A6C"/>
    <w:rsid w:val="00495085"/>
    <w:rsid w:val="00495F0E"/>
    <w:rsid w:val="004A0BDC"/>
    <w:rsid w:val="004C65B5"/>
    <w:rsid w:val="00522423"/>
    <w:rsid w:val="0052474C"/>
    <w:rsid w:val="00533634"/>
    <w:rsid w:val="00540E6A"/>
    <w:rsid w:val="0054328E"/>
    <w:rsid w:val="00564D6C"/>
    <w:rsid w:val="00564EA9"/>
    <w:rsid w:val="005777B4"/>
    <w:rsid w:val="00586DED"/>
    <w:rsid w:val="00591A7A"/>
    <w:rsid w:val="005A4D16"/>
    <w:rsid w:val="005C2292"/>
    <w:rsid w:val="005D0160"/>
    <w:rsid w:val="005D24A2"/>
    <w:rsid w:val="005D3EFF"/>
    <w:rsid w:val="005D68B7"/>
    <w:rsid w:val="005D719A"/>
    <w:rsid w:val="005E44CB"/>
    <w:rsid w:val="005E65C1"/>
    <w:rsid w:val="00602261"/>
    <w:rsid w:val="00602956"/>
    <w:rsid w:val="00610C5A"/>
    <w:rsid w:val="00627282"/>
    <w:rsid w:val="00636970"/>
    <w:rsid w:val="00672A47"/>
    <w:rsid w:val="0067366A"/>
    <w:rsid w:val="006970F2"/>
    <w:rsid w:val="006A1B01"/>
    <w:rsid w:val="006A2BC3"/>
    <w:rsid w:val="006B6F41"/>
    <w:rsid w:val="006C24EF"/>
    <w:rsid w:val="006C30E3"/>
    <w:rsid w:val="006D4497"/>
    <w:rsid w:val="006E1E94"/>
    <w:rsid w:val="006E6D9F"/>
    <w:rsid w:val="006E7EB4"/>
    <w:rsid w:val="006F0B66"/>
    <w:rsid w:val="00723852"/>
    <w:rsid w:val="007267C6"/>
    <w:rsid w:val="007362C2"/>
    <w:rsid w:val="00740B16"/>
    <w:rsid w:val="00746801"/>
    <w:rsid w:val="007558DD"/>
    <w:rsid w:val="00763F08"/>
    <w:rsid w:val="00764712"/>
    <w:rsid w:val="00770D4F"/>
    <w:rsid w:val="0078730A"/>
    <w:rsid w:val="007B3D86"/>
    <w:rsid w:val="007C4E3B"/>
    <w:rsid w:val="007C721E"/>
    <w:rsid w:val="007E31EF"/>
    <w:rsid w:val="007E6F1D"/>
    <w:rsid w:val="007F1A47"/>
    <w:rsid w:val="00833EE6"/>
    <w:rsid w:val="008401CD"/>
    <w:rsid w:val="008516F6"/>
    <w:rsid w:val="008531C7"/>
    <w:rsid w:val="008626EB"/>
    <w:rsid w:val="008700D8"/>
    <w:rsid w:val="0087374F"/>
    <w:rsid w:val="00880AE9"/>
    <w:rsid w:val="008874CC"/>
    <w:rsid w:val="008934FF"/>
    <w:rsid w:val="008A78CF"/>
    <w:rsid w:val="008D7FD1"/>
    <w:rsid w:val="008E6596"/>
    <w:rsid w:val="00904E0A"/>
    <w:rsid w:val="0092169D"/>
    <w:rsid w:val="00936D37"/>
    <w:rsid w:val="009411B1"/>
    <w:rsid w:val="00956A50"/>
    <w:rsid w:val="009620C4"/>
    <w:rsid w:val="00966030"/>
    <w:rsid w:val="009713E3"/>
    <w:rsid w:val="00973018"/>
    <w:rsid w:val="00976C1B"/>
    <w:rsid w:val="00981D4E"/>
    <w:rsid w:val="009A53A7"/>
    <w:rsid w:val="009B057B"/>
    <w:rsid w:val="009B0D5A"/>
    <w:rsid w:val="009C75E8"/>
    <w:rsid w:val="009C7D1C"/>
    <w:rsid w:val="009D1700"/>
    <w:rsid w:val="009D2F65"/>
    <w:rsid w:val="009D6460"/>
    <w:rsid w:val="009F3AF9"/>
    <w:rsid w:val="009F3C15"/>
    <w:rsid w:val="00A07D61"/>
    <w:rsid w:val="00A14542"/>
    <w:rsid w:val="00A16471"/>
    <w:rsid w:val="00A17113"/>
    <w:rsid w:val="00A1791F"/>
    <w:rsid w:val="00A31523"/>
    <w:rsid w:val="00A36981"/>
    <w:rsid w:val="00A47DFA"/>
    <w:rsid w:val="00A60F99"/>
    <w:rsid w:val="00A627E0"/>
    <w:rsid w:val="00A745EE"/>
    <w:rsid w:val="00A81BDF"/>
    <w:rsid w:val="00A85C18"/>
    <w:rsid w:val="00AB2F78"/>
    <w:rsid w:val="00AB4D2F"/>
    <w:rsid w:val="00AB53BE"/>
    <w:rsid w:val="00AC6782"/>
    <w:rsid w:val="00AE03A8"/>
    <w:rsid w:val="00AF5D66"/>
    <w:rsid w:val="00B01470"/>
    <w:rsid w:val="00B1074D"/>
    <w:rsid w:val="00B1124A"/>
    <w:rsid w:val="00B220DB"/>
    <w:rsid w:val="00B342DB"/>
    <w:rsid w:val="00B37CD6"/>
    <w:rsid w:val="00B43C9D"/>
    <w:rsid w:val="00B44642"/>
    <w:rsid w:val="00B735A3"/>
    <w:rsid w:val="00B774DE"/>
    <w:rsid w:val="00B8646E"/>
    <w:rsid w:val="00B868D8"/>
    <w:rsid w:val="00B90F86"/>
    <w:rsid w:val="00BB44B8"/>
    <w:rsid w:val="00BE52DC"/>
    <w:rsid w:val="00BE578E"/>
    <w:rsid w:val="00C42C0A"/>
    <w:rsid w:val="00C6378C"/>
    <w:rsid w:val="00C71BB1"/>
    <w:rsid w:val="00C72244"/>
    <w:rsid w:val="00C75DEC"/>
    <w:rsid w:val="00C81300"/>
    <w:rsid w:val="00C87700"/>
    <w:rsid w:val="00C95C42"/>
    <w:rsid w:val="00C961F8"/>
    <w:rsid w:val="00CA77AE"/>
    <w:rsid w:val="00CB6E10"/>
    <w:rsid w:val="00CC0524"/>
    <w:rsid w:val="00CC2A55"/>
    <w:rsid w:val="00CD5548"/>
    <w:rsid w:val="00CF3196"/>
    <w:rsid w:val="00CF33CE"/>
    <w:rsid w:val="00CF67A2"/>
    <w:rsid w:val="00D04AA9"/>
    <w:rsid w:val="00D14DB3"/>
    <w:rsid w:val="00D35FFF"/>
    <w:rsid w:val="00D56261"/>
    <w:rsid w:val="00D75D52"/>
    <w:rsid w:val="00D92104"/>
    <w:rsid w:val="00D94DE1"/>
    <w:rsid w:val="00DA3E08"/>
    <w:rsid w:val="00DA609B"/>
    <w:rsid w:val="00DB37F7"/>
    <w:rsid w:val="00DC1583"/>
    <w:rsid w:val="00DC6D94"/>
    <w:rsid w:val="00DD1520"/>
    <w:rsid w:val="00DF2EB2"/>
    <w:rsid w:val="00E13CAB"/>
    <w:rsid w:val="00E26C2A"/>
    <w:rsid w:val="00E44B60"/>
    <w:rsid w:val="00E534F9"/>
    <w:rsid w:val="00E56154"/>
    <w:rsid w:val="00E647FC"/>
    <w:rsid w:val="00E858B7"/>
    <w:rsid w:val="00E86AB1"/>
    <w:rsid w:val="00E92925"/>
    <w:rsid w:val="00E92F0C"/>
    <w:rsid w:val="00EA4EBD"/>
    <w:rsid w:val="00EA605F"/>
    <w:rsid w:val="00EC2520"/>
    <w:rsid w:val="00EF681C"/>
    <w:rsid w:val="00F0023E"/>
    <w:rsid w:val="00F160DD"/>
    <w:rsid w:val="00F505CB"/>
    <w:rsid w:val="00F533EA"/>
    <w:rsid w:val="00F57EEE"/>
    <w:rsid w:val="00F87D7B"/>
    <w:rsid w:val="00FC4730"/>
    <w:rsid w:val="00FE2022"/>
    <w:rsid w:val="00FE5484"/>
    <w:rsid w:val="00FF09CE"/>
    <w:rsid w:val="0121595D"/>
    <w:rsid w:val="01670531"/>
    <w:rsid w:val="01EC76B5"/>
    <w:rsid w:val="0232594B"/>
    <w:rsid w:val="026C4AA8"/>
    <w:rsid w:val="02CB4D33"/>
    <w:rsid w:val="032E1B00"/>
    <w:rsid w:val="040845C6"/>
    <w:rsid w:val="044E700B"/>
    <w:rsid w:val="04EE10B7"/>
    <w:rsid w:val="0601689C"/>
    <w:rsid w:val="06441618"/>
    <w:rsid w:val="06726D8C"/>
    <w:rsid w:val="06CF225A"/>
    <w:rsid w:val="07717ED3"/>
    <w:rsid w:val="077B06D6"/>
    <w:rsid w:val="08243F14"/>
    <w:rsid w:val="08B66BBC"/>
    <w:rsid w:val="08FF669F"/>
    <w:rsid w:val="09542451"/>
    <w:rsid w:val="0971068A"/>
    <w:rsid w:val="097B2759"/>
    <w:rsid w:val="0A082933"/>
    <w:rsid w:val="0A373793"/>
    <w:rsid w:val="0A653D77"/>
    <w:rsid w:val="0A6E5902"/>
    <w:rsid w:val="0A7EBD93"/>
    <w:rsid w:val="0A800307"/>
    <w:rsid w:val="0B050935"/>
    <w:rsid w:val="0B130451"/>
    <w:rsid w:val="0B5D249C"/>
    <w:rsid w:val="0C252527"/>
    <w:rsid w:val="0C964B4B"/>
    <w:rsid w:val="0CD83E77"/>
    <w:rsid w:val="0D1C22ED"/>
    <w:rsid w:val="0D1D3133"/>
    <w:rsid w:val="0DBE532D"/>
    <w:rsid w:val="0DCE30C9"/>
    <w:rsid w:val="0DD130CD"/>
    <w:rsid w:val="0E421C03"/>
    <w:rsid w:val="0E4D292A"/>
    <w:rsid w:val="0E9A7F37"/>
    <w:rsid w:val="0F790279"/>
    <w:rsid w:val="0FA27BED"/>
    <w:rsid w:val="10082383"/>
    <w:rsid w:val="10486002"/>
    <w:rsid w:val="10B169D0"/>
    <w:rsid w:val="10BD130C"/>
    <w:rsid w:val="10CE2DF1"/>
    <w:rsid w:val="11395645"/>
    <w:rsid w:val="11851102"/>
    <w:rsid w:val="12253CED"/>
    <w:rsid w:val="13302676"/>
    <w:rsid w:val="136F610A"/>
    <w:rsid w:val="13AC510F"/>
    <w:rsid w:val="13CA7F18"/>
    <w:rsid w:val="1417538B"/>
    <w:rsid w:val="14676861"/>
    <w:rsid w:val="146D1BE7"/>
    <w:rsid w:val="146E313F"/>
    <w:rsid w:val="14A97C4B"/>
    <w:rsid w:val="14C10AA6"/>
    <w:rsid w:val="14C41808"/>
    <w:rsid w:val="150F1FEA"/>
    <w:rsid w:val="15856E88"/>
    <w:rsid w:val="15AA462E"/>
    <w:rsid w:val="15AC0AA6"/>
    <w:rsid w:val="15F51C98"/>
    <w:rsid w:val="15FC443D"/>
    <w:rsid w:val="163A467B"/>
    <w:rsid w:val="16E77516"/>
    <w:rsid w:val="17BC304E"/>
    <w:rsid w:val="182907D2"/>
    <w:rsid w:val="18795422"/>
    <w:rsid w:val="18F25538"/>
    <w:rsid w:val="19456F60"/>
    <w:rsid w:val="194A3567"/>
    <w:rsid w:val="196A413A"/>
    <w:rsid w:val="19F34607"/>
    <w:rsid w:val="1A3A255A"/>
    <w:rsid w:val="1B2B2B54"/>
    <w:rsid w:val="1B876A10"/>
    <w:rsid w:val="1BA1262E"/>
    <w:rsid w:val="1BBA610B"/>
    <w:rsid w:val="1BF858DE"/>
    <w:rsid w:val="1C7A05BE"/>
    <w:rsid w:val="1CD95071"/>
    <w:rsid w:val="1D09218C"/>
    <w:rsid w:val="1DA530A1"/>
    <w:rsid w:val="1DBF3954"/>
    <w:rsid w:val="1E0D7210"/>
    <w:rsid w:val="1E1D5C20"/>
    <w:rsid w:val="1F093E7B"/>
    <w:rsid w:val="1F422817"/>
    <w:rsid w:val="1F5018C8"/>
    <w:rsid w:val="1F515FAB"/>
    <w:rsid w:val="1F836A17"/>
    <w:rsid w:val="1FBAAFBD"/>
    <w:rsid w:val="1FE7524C"/>
    <w:rsid w:val="202E4385"/>
    <w:rsid w:val="20921831"/>
    <w:rsid w:val="20FE7570"/>
    <w:rsid w:val="219D02C0"/>
    <w:rsid w:val="21ED2F1C"/>
    <w:rsid w:val="22263E28"/>
    <w:rsid w:val="226C1E62"/>
    <w:rsid w:val="22903D7B"/>
    <w:rsid w:val="22C90831"/>
    <w:rsid w:val="22E51EEF"/>
    <w:rsid w:val="22F71001"/>
    <w:rsid w:val="23197531"/>
    <w:rsid w:val="2323549B"/>
    <w:rsid w:val="233A2784"/>
    <w:rsid w:val="23586C1E"/>
    <w:rsid w:val="236F64EC"/>
    <w:rsid w:val="241235F1"/>
    <w:rsid w:val="241526EF"/>
    <w:rsid w:val="247563F6"/>
    <w:rsid w:val="25100C25"/>
    <w:rsid w:val="25247BCD"/>
    <w:rsid w:val="25CC50FC"/>
    <w:rsid w:val="25DB5C37"/>
    <w:rsid w:val="262314A7"/>
    <w:rsid w:val="26473036"/>
    <w:rsid w:val="264D6ED0"/>
    <w:rsid w:val="2656471F"/>
    <w:rsid w:val="270846E3"/>
    <w:rsid w:val="277972F7"/>
    <w:rsid w:val="27B24BFF"/>
    <w:rsid w:val="28141BF2"/>
    <w:rsid w:val="2848698E"/>
    <w:rsid w:val="28577E88"/>
    <w:rsid w:val="286640ED"/>
    <w:rsid w:val="28E711BE"/>
    <w:rsid w:val="28F9422D"/>
    <w:rsid w:val="29546512"/>
    <w:rsid w:val="299061F0"/>
    <w:rsid w:val="29A2452C"/>
    <w:rsid w:val="29AA5008"/>
    <w:rsid w:val="29F90D19"/>
    <w:rsid w:val="2D470355"/>
    <w:rsid w:val="2D7593C9"/>
    <w:rsid w:val="2DFD7C8C"/>
    <w:rsid w:val="2E357DBF"/>
    <w:rsid w:val="2E3C7C49"/>
    <w:rsid w:val="2E6220A5"/>
    <w:rsid w:val="2E7207C0"/>
    <w:rsid w:val="2E7C269B"/>
    <w:rsid w:val="2E9049F4"/>
    <w:rsid w:val="2EBA1135"/>
    <w:rsid w:val="2F395573"/>
    <w:rsid w:val="2F5F16F3"/>
    <w:rsid w:val="2F747CE5"/>
    <w:rsid w:val="2F8E11BB"/>
    <w:rsid w:val="2FE54256"/>
    <w:rsid w:val="30640937"/>
    <w:rsid w:val="30744B6B"/>
    <w:rsid w:val="30C46B9C"/>
    <w:rsid w:val="30E6668E"/>
    <w:rsid w:val="31D5559D"/>
    <w:rsid w:val="32431CB3"/>
    <w:rsid w:val="33020472"/>
    <w:rsid w:val="33916502"/>
    <w:rsid w:val="339369C4"/>
    <w:rsid w:val="33F51BFA"/>
    <w:rsid w:val="35081EB1"/>
    <w:rsid w:val="354E6723"/>
    <w:rsid w:val="35D4128E"/>
    <w:rsid w:val="361B5455"/>
    <w:rsid w:val="36BCD754"/>
    <w:rsid w:val="37470C14"/>
    <w:rsid w:val="374F5F22"/>
    <w:rsid w:val="3756526F"/>
    <w:rsid w:val="378D3A3D"/>
    <w:rsid w:val="37E63C2F"/>
    <w:rsid w:val="39014BD0"/>
    <w:rsid w:val="39621F33"/>
    <w:rsid w:val="396E157F"/>
    <w:rsid w:val="39DF3FFF"/>
    <w:rsid w:val="3A1671D7"/>
    <w:rsid w:val="3ABB3E24"/>
    <w:rsid w:val="3ADF8A26"/>
    <w:rsid w:val="3B572166"/>
    <w:rsid w:val="3BF869CE"/>
    <w:rsid w:val="3C271DC9"/>
    <w:rsid w:val="3C494936"/>
    <w:rsid w:val="3CC7DCE8"/>
    <w:rsid w:val="3CE656D1"/>
    <w:rsid w:val="3D374C3D"/>
    <w:rsid w:val="3D976F39"/>
    <w:rsid w:val="3DA41558"/>
    <w:rsid w:val="3DDA2C69"/>
    <w:rsid w:val="3E836687"/>
    <w:rsid w:val="3FD0775D"/>
    <w:rsid w:val="3FF378B6"/>
    <w:rsid w:val="40260A3F"/>
    <w:rsid w:val="4047124F"/>
    <w:rsid w:val="404E1100"/>
    <w:rsid w:val="4067163E"/>
    <w:rsid w:val="40947656"/>
    <w:rsid w:val="40AC58CE"/>
    <w:rsid w:val="40F4358A"/>
    <w:rsid w:val="40F96304"/>
    <w:rsid w:val="414D4FE8"/>
    <w:rsid w:val="42404D69"/>
    <w:rsid w:val="42E26D39"/>
    <w:rsid w:val="43752308"/>
    <w:rsid w:val="43901306"/>
    <w:rsid w:val="43AF32DF"/>
    <w:rsid w:val="45156DB6"/>
    <w:rsid w:val="46026DBA"/>
    <w:rsid w:val="46377F7D"/>
    <w:rsid w:val="46DB3ABC"/>
    <w:rsid w:val="476202E0"/>
    <w:rsid w:val="476C5DD3"/>
    <w:rsid w:val="476E78AD"/>
    <w:rsid w:val="47776918"/>
    <w:rsid w:val="47B7DE8F"/>
    <w:rsid w:val="48455675"/>
    <w:rsid w:val="484A0958"/>
    <w:rsid w:val="48A7395B"/>
    <w:rsid w:val="49273F6B"/>
    <w:rsid w:val="49C508EB"/>
    <w:rsid w:val="49C742CE"/>
    <w:rsid w:val="4A674D46"/>
    <w:rsid w:val="4ADB5CA2"/>
    <w:rsid w:val="4AF97223"/>
    <w:rsid w:val="4B0C1BBA"/>
    <w:rsid w:val="4B627667"/>
    <w:rsid w:val="4B636E5F"/>
    <w:rsid w:val="4B776AC4"/>
    <w:rsid w:val="4BF02CB0"/>
    <w:rsid w:val="4C4D6F7F"/>
    <w:rsid w:val="4C782E92"/>
    <w:rsid w:val="4C9B2C57"/>
    <w:rsid w:val="4CC80931"/>
    <w:rsid w:val="4CE54A4B"/>
    <w:rsid w:val="4CEC7203"/>
    <w:rsid w:val="4DB561FB"/>
    <w:rsid w:val="4DC10516"/>
    <w:rsid w:val="4DE66B5C"/>
    <w:rsid w:val="4E326582"/>
    <w:rsid w:val="4E810A89"/>
    <w:rsid w:val="4F09463A"/>
    <w:rsid w:val="4F3C30CC"/>
    <w:rsid w:val="4F823812"/>
    <w:rsid w:val="4F8D1DDB"/>
    <w:rsid w:val="4FB6196B"/>
    <w:rsid w:val="500A6473"/>
    <w:rsid w:val="50A43A3C"/>
    <w:rsid w:val="50DD5D94"/>
    <w:rsid w:val="51406F85"/>
    <w:rsid w:val="51E971A6"/>
    <w:rsid w:val="523F2203"/>
    <w:rsid w:val="52ED5952"/>
    <w:rsid w:val="53072B75"/>
    <w:rsid w:val="54491533"/>
    <w:rsid w:val="54B063EE"/>
    <w:rsid w:val="54D6095C"/>
    <w:rsid w:val="54E23200"/>
    <w:rsid w:val="552A3DA4"/>
    <w:rsid w:val="5594783B"/>
    <w:rsid w:val="55D54371"/>
    <w:rsid w:val="567B0038"/>
    <w:rsid w:val="56974B06"/>
    <w:rsid w:val="56AC768D"/>
    <w:rsid w:val="56F93651"/>
    <w:rsid w:val="57215062"/>
    <w:rsid w:val="57D6D530"/>
    <w:rsid w:val="57E79FED"/>
    <w:rsid w:val="5816663A"/>
    <w:rsid w:val="586D7158"/>
    <w:rsid w:val="58944143"/>
    <w:rsid w:val="58A36161"/>
    <w:rsid w:val="591744C4"/>
    <w:rsid w:val="5A3F29F2"/>
    <w:rsid w:val="5A470DD9"/>
    <w:rsid w:val="5AC44BE1"/>
    <w:rsid w:val="5ACF720A"/>
    <w:rsid w:val="5B1A7868"/>
    <w:rsid w:val="5B4E1F46"/>
    <w:rsid w:val="5C6619D4"/>
    <w:rsid w:val="5C70178C"/>
    <w:rsid w:val="5CFC51BB"/>
    <w:rsid w:val="5D0B433F"/>
    <w:rsid w:val="5D24250F"/>
    <w:rsid w:val="5D3FBB1D"/>
    <w:rsid w:val="5D7402AF"/>
    <w:rsid w:val="5D7C5366"/>
    <w:rsid w:val="5DF7CD0D"/>
    <w:rsid w:val="5E6006BB"/>
    <w:rsid w:val="5F1B3440"/>
    <w:rsid w:val="5F950838"/>
    <w:rsid w:val="60455407"/>
    <w:rsid w:val="607301CC"/>
    <w:rsid w:val="6086689B"/>
    <w:rsid w:val="608A688B"/>
    <w:rsid w:val="60B05C87"/>
    <w:rsid w:val="60B1466A"/>
    <w:rsid w:val="61757B6C"/>
    <w:rsid w:val="61A8101A"/>
    <w:rsid w:val="61C47399"/>
    <w:rsid w:val="6203032F"/>
    <w:rsid w:val="622515E6"/>
    <w:rsid w:val="62305E20"/>
    <w:rsid w:val="62B40067"/>
    <w:rsid w:val="62B674A5"/>
    <w:rsid w:val="62CF258E"/>
    <w:rsid w:val="637813CA"/>
    <w:rsid w:val="637D14C5"/>
    <w:rsid w:val="63927568"/>
    <w:rsid w:val="63FA1037"/>
    <w:rsid w:val="64786F77"/>
    <w:rsid w:val="64A46196"/>
    <w:rsid w:val="65481FB3"/>
    <w:rsid w:val="65C73167"/>
    <w:rsid w:val="66735E8D"/>
    <w:rsid w:val="67345638"/>
    <w:rsid w:val="674F394A"/>
    <w:rsid w:val="675064E6"/>
    <w:rsid w:val="67787070"/>
    <w:rsid w:val="6779452F"/>
    <w:rsid w:val="677F6056"/>
    <w:rsid w:val="67A102F8"/>
    <w:rsid w:val="67C37340"/>
    <w:rsid w:val="67EB12DB"/>
    <w:rsid w:val="68091DC3"/>
    <w:rsid w:val="691A35B3"/>
    <w:rsid w:val="691F4908"/>
    <w:rsid w:val="694B313E"/>
    <w:rsid w:val="698472FD"/>
    <w:rsid w:val="699B4C9D"/>
    <w:rsid w:val="69BC5E93"/>
    <w:rsid w:val="6A2B7DCF"/>
    <w:rsid w:val="6AAC5E2F"/>
    <w:rsid w:val="6AB30D7A"/>
    <w:rsid w:val="6AFB0315"/>
    <w:rsid w:val="6B4C5925"/>
    <w:rsid w:val="6B600671"/>
    <w:rsid w:val="6BE2720D"/>
    <w:rsid w:val="6C07151A"/>
    <w:rsid w:val="6C241716"/>
    <w:rsid w:val="6C6A1A6A"/>
    <w:rsid w:val="6CC9112A"/>
    <w:rsid w:val="6D1C336F"/>
    <w:rsid w:val="6D2A0E3B"/>
    <w:rsid w:val="6D4500C4"/>
    <w:rsid w:val="6D660E92"/>
    <w:rsid w:val="6DBA4EEE"/>
    <w:rsid w:val="6DF26DC9"/>
    <w:rsid w:val="6E546992"/>
    <w:rsid w:val="6E57750F"/>
    <w:rsid w:val="6F717051"/>
    <w:rsid w:val="6FBF9CE3"/>
    <w:rsid w:val="6FD9A9D7"/>
    <w:rsid w:val="6FE79F3E"/>
    <w:rsid w:val="702C33DF"/>
    <w:rsid w:val="70576B42"/>
    <w:rsid w:val="70F2565A"/>
    <w:rsid w:val="71544459"/>
    <w:rsid w:val="71656B03"/>
    <w:rsid w:val="71801F8B"/>
    <w:rsid w:val="71C25F06"/>
    <w:rsid w:val="71FB79C9"/>
    <w:rsid w:val="722373FD"/>
    <w:rsid w:val="724502B1"/>
    <w:rsid w:val="72626C05"/>
    <w:rsid w:val="72A049F8"/>
    <w:rsid w:val="72BA7F6B"/>
    <w:rsid w:val="72C37162"/>
    <w:rsid w:val="730218E9"/>
    <w:rsid w:val="73051BF0"/>
    <w:rsid w:val="731625C5"/>
    <w:rsid w:val="73424E40"/>
    <w:rsid w:val="73AC0F1D"/>
    <w:rsid w:val="73EF0FF8"/>
    <w:rsid w:val="73F628F2"/>
    <w:rsid w:val="742C7F9A"/>
    <w:rsid w:val="7477201A"/>
    <w:rsid w:val="75AF2C3C"/>
    <w:rsid w:val="75CA08FA"/>
    <w:rsid w:val="75E75CD6"/>
    <w:rsid w:val="75EE03A8"/>
    <w:rsid w:val="75FF03D3"/>
    <w:rsid w:val="76B343A0"/>
    <w:rsid w:val="7770346D"/>
    <w:rsid w:val="77B06FA6"/>
    <w:rsid w:val="77BE9BE4"/>
    <w:rsid w:val="77F718FE"/>
    <w:rsid w:val="77FA2CD2"/>
    <w:rsid w:val="77FBF959"/>
    <w:rsid w:val="78A92523"/>
    <w:rsid w:val="78CA2E41"/>
    <w:rsid w:val="78FD6D08"/>
    <w:rsid w:val="790C423C"/>
    <w:rsid w:val="79146E6B"/>
    <w:rsid w:val="795F0AE4"/>
    <w:rsid w:val="7960003C"/>
    <w:rsid w:val="796C21B2"/>
    <w:rsid w:val="79717936"/>
    <w:rsid w:val="7A01591D"/>
    <w:rsid w:val="7A070D49"/>
    <w:rsid w:val="7A1C5B99"/>
    <w:rsid w:val="7A46109E"/>
    <w:rsid w:val="7B672BAC"/>
    <w:rsid w:val="7BAD0F8C"/>
    <w:rsid w:val="7C3D4418"/>
    <w:rsid w:val="7C4E138C"/>
    <w:rsid w:val="7CED202F"/>
    <w:rsid w:val="7D657644"/>
    <w:rsid w:val="7D7B2182"/>
    <w:rsid w:val="7D943FF5"/>
    <w:rsid w:val="7DBFF288"/>
    <w:rsid w:val="7DF10C9A"/>
    <w:rsid w:val="7EB706FD"/>
    <w:rsid w:val="7F091557"/>
    <w:rsid w:val="7F160CF6"/>
    <w:rsid w:val="7F4713B7"/>
    <w:rsid w:val="7F51097C"/>
    <w:rsid w:val="7F7B4C63"/>
    <w:rsid w:val="7F99C997"/>
    <w:rsid w:val="7FDF259C"/>
    <w:rsid w:val="7FF21D89"/>
    <w:rsid w:val="7FF78A5E"/>
    <w:rsid w:val="7FFDD713"/>
    <w:rsid w:val="8FFDDF5B"/>
    <w:rsid w:val="9F9FDFFA"/>
    <w:rsid w:val="9FFF9499"/>
    <w:rsid w:val="A4BF729C"/>
    <w:rsid w:val="AEF6C0A5"/>
    <w:rsid w:val="AEFD1180"/>
    <w:rsid w:val="AF8F7A28"/>
    <w:rsid w:val="AFD72EC4"/>
    <w:rsid w:val="BC2E10CD"/>
    <w:rsid w:val="BDFA4C98"/>
    <w:rsid w:val="BFBFFB6F"/>
    <w:rsid w:val="BFC7C90D"/>
    <w:rsid w:val="BFEFECB4"/>
    <w:rsid w:val="BFF9F0E7"/>
    <w:rsid w:val="C3DF4F9D"/>
    <w:rsid w:val="C7AF4FB0"/>
    <w:rsid w:val="C7D7362D"/>
    <w:rsid w:val="CFDD1028"/>
    <w:rsid w:val="CFFB77C9"/>
    <w:rsid w:val="D7BB09B2"/>
    <w:rsid w:val="D9FD7955"/>
    <w:rsid w:val="DA5FB93C"/>
    <w:rsid w:val="DF7FE692"/>
    <w:rsid w:val="DFFF07FB"/>
    <w:rsid w:val="E19385F2"/>
    <w:rsid w:val="EDE6DB67"/>
    <w:rsid w:val="EFBF1722"/>
    <w:rsid w:val="EFE7F454"/>
    <w:rsid w:val="F7DED9CE"/>
    <w:rsid w:val="F7DFD69C"/>
    <w:rsid w:val="F7EE526D"/>
    <w:rsid w:val="F7F7C0D8"/>
    <w:rsid w:val="F8376E81"/>
    <w:rsid w:val="F85BE568"/>
    <w:rsid w:val="F92F6417"/>
    <w:rsid w:val="F9F9A8C7"/>
    <w:rsid w:val="FB7A63AA"/>
    <w:rsid w:val="FB7B9A29"/>
    <w:rsid w:val="FB7BD440"/>
    <w:rsid w:val="FB975A13"/>
    <w:rsid w:val="FBAE588D"/>
    <w:rsid w:val="FBF88C7F"/>
    <w:rsid w:val="FBFBA95B"/>
    <w:rsid w:val="FCBFB8A2"/>
    <w:rsid w:val="FD3FBCAC"/>
    <w:rsid w:val="FD973710"/>
    <w:rsid w:val="FDEB3D7D"/>
    <w:rsid w:val="FDFDF93A"/>
    <w:rsid w:val="FF3DF9F0"/>
    <w:rsid w:val="FF863799"/>
    <w:rsid w:val="FFB0BC1F"/>
    <w:rsid w:val="FFD2076D"/>
    <w:rsid w:val="FFDFC9AA"/>
    <w:rsid w:val="FFEEF339"/>
    <w:rsid w:val="FFF9ABAD"/>
    <w:rsid w:val="FFFBD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8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qFormat/>
    <w:uiPriority w:val="1"/>
    <w:rPr>
      <w:rFonts w:ascii="Times New Roman" w:hAnsi="Times New Roman" w:eastAsia="仿宋_GB2312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caption"/>
    <w:basedOn w:val="1"/>
    <w:next w:val="1"/>
    <w:qFormat/>
    <w:uiPriority w:val="35"/>
    <w:rPr>
      <w:rFonts w:ascii="等线 Light" w:hAnsi="等线 Light" w:eastAsia="黑体"/>
      <w:sz w:val="20"/>
      <w:szCs w:val="20"/>
    </w:rPr>
  </w:style>
  <w:style w:type="paragraph" w:styleId="8">
    <w:name w:val="annotation text"/>
    <w:basedOn w:val="1"/>
    <w:link w:val="30"/>
    <w:qFormat/>
    <w:uiPriority w:val="0"/>
    <w:pPr>
      <w:jc w:val="left"/>
    </w:pPr>
  </w:style>
  <w:style w:type="paragraph" w:styleId="9">
    <w:name w:val="Block Text"/>
    <w:basedOn w:val="1"/>
    <w:unhideWhenUsed/>
    <w:qFormat/>
    <w:uiPriority w:val="0"/>
    <w:pPr>
      <w:adjustRightInd w:val="0"/>
      <w:snapToGrid w:val="0"/>
      <w:spacing w:after="120" w:line="560" w:lineRule="exact"/>
      <w:ind w:left="1440" w:leftChars="700" w:right="1440" w:rightChars="700" w:firstLine="200" w:firstLineChars="200"/>
    </w:pPr>
    <w:rPr>
      <w:rFonts w:ascii="Times New Roman" w:hAnsi="Times New Roman" w:eastAsia="仿宋_GB2312"/>
      <w:sz w:val="32"/>
    </w:r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Plain Text"/>
    <w:basedOn w:val="1"/>
    <w:unhideWhenUsed/>
    <w:qFormat/>
    <w:uiPriority w:val="99"/>
    <w:rPr>
      <w:rFonts w:hAnsi="Courier New" w:cs="Courier New"/>
      <w:szCs w:val="21"/>
    </w:rPr>
  </w:style>
  <w:style w:type="paragraph" w:styleId="12">
    <w:name w:val="Balloon Text"/>
    <w:basedOn w:val="1"/>
    <w:link w:val="63"/>
    <w:qFormat/>
    <w:uiPriority w:val="0"/>
    <w:rPr>
      <w:sz w:val="18"/>
      <w:szCs w:val="18"/>
    </w:rPr>
  </w:style>
  <w:style w:type="paragraph" w:styleId="13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7">
    <w:name w:val="toc 2"/>
    <w:basedOn w:val="1"/>
    <w:next w:val="1"/>
    <w:qFormat/>
    <w:uiPriority w:val="39"/>
    <w:pPr>
      <w:ind w:left="420" w:leftChars="200"/>
    </w:p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0">
    <w:name w:val="annotation subject"/>
    <w:basedOn w:val="8"/>
    <w:next w:val="8"/>
    <w:link w:val="33"/>
    <w:qFormat/>
    <w:uiPriority w:val="0"/>
    <w:rPr>
      <w:b/>
      <w:bCs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qFormat/>
    <w:uiPriority w:val="99"/>
    <w:rPr>
      <w:color w:val="0563C1"/>
      <w:u w:val="single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styleId="26">
    <w:name w:val="footnote reference"/>
    <w:unhideWhenUsed/>
    <w:qFormat/>
    <w:uiPriority w:val="99"/>
    <w:rPr>
      <w:vertAlign w:val="superscript"/>
    </w:rPr>
  </w:style>
  <w:style w:type="character" w:customStyle="1" w:styleId="27">
    <w:name w:val="标题 1 字符"/>
    <w:link w:val="4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2 字符"/>
    <w:link w:val="5"/>
    <w:qFormat/>
    <w:uiPriority w:val="9"/>
    <w:rPr>
      <w:rFonts w:ascii="Arial" w:hAnsi="Arial" w:eastAsia="黑体"/>
      <w:b/>
      <w:bCs/>
      <w:sz w:val="32"/>
      <w:szCs w:val="32"/>
    </w:rPr>
  </w:style>
  <w:style w:type="character" w:customStyle="1" w:styleId="29">
    <w:name w:val="标题 3 字符"/>
    <w:link w:val="6"/>
    <w:qFormat/>
    <w:uiPriority w:val="0"/>
    <w:rPr>
      <w:rFonts w:ascii="DengXian" w:hAnsi="DengXian" w:eastAsia="DengXian"/>
      <w:b/>
      <w:bCs/>
      <w:kern w:val="2"/>
      <w:sz w:val="32"/>
      <w:szCs w:val="32"/>
    </w:rPr>
  </w:style>
  <w:style w:type="character" w:customStyle="1" w:styleId="30">
    <w:name w:val="批注文字 字符"/>
    <w:link w:val="8"/>
    <w:qFormat/>
    <w:uiPriority w:val="0"/>
    <w:rPr>
      <w:rFonts w:ascii="DengXian" w:hAnsi="DengXian" w:eastAsia="DengXian"/>
      <w:kern w:val="2"/>
      <w:sz w:val="21"/>
      <w:szCs w:val="22"/>
    </w:rPr>
  </w:style>
  <w:style w:type="character" w:customStyle="1" w:styleId="31">
    <w:name w:val="正文文本 字符"/>
    <w:link w:val="2"/>
    <w:qFormat/>
    <w:uiPriority w:val="1"/>
    <w:rPr>
      <w:rFonts w:eastAsia="仿宋_GB2312"/>
      <w:kern w:val="2"/>
      <w:sz w:val="32"/>
      <w:szCs w:val="32"/>
    </w:rPr>
  </w:style>
  <w:style w:type="character" w:customStyle="1" w:styleId="32">
    <w:name w:val="页脚 字符"/>
    <w:link w:val="13"/>
    <w:qFormat/>
    <w:uiPriority w:val="99"/>
    <w:rPr>
      <w:rFonts w:ascii="DengXian" w:hAnsi="DengXian" w:eastAsia="DengXian"/>
      <w:kern w:val="2"/>
      <w:sz w:val="18"/>
      <w:szCs w:val="18"/>
    </w:rPr>
  </w:style>
  <w:style w:type="character" w:customStyle="1" w:styleId="33">
    <w:name w:val="批注主题 字符"/>
    <w:link w:val="20"/>
    <w:qFormat/>
    <w:uiPriority w:val="0"/>
    <w:rPr>
      <w:rFonts w:ascii="DengXian" w:hAnsi="DengXian" w:eastAsia="DengXian"/>
      <w:b/>
      <w:bCs/>
      <w:kern w:val="2"/>
      <w:sz w:val="21"/>
      <w:szCs w:val="22"/>
    </w:rPr>
  </w:style>
  <w:style w:type="paragraph" w:customStyle="1" w:styleId="34">
    <w:name w:val="修订1"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customStyle="1" w:styleId="35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Normal Indent1"/>
    <w:basedOn w:val="1"/>
    <w:qFormat/>
    <w:uiPriority w:val="0"/>
    <w:pPr>
      <w:ind w:left="420" w:firstLine="3748"/>
    </w:pPr>
    <w:rPr>
      <w:rFonts w:ascii="Times New Roman" w:hAnsi="Times New Roman" w:eastAsia="仿宋_GB2312"/>
      <w:sz w:val="32"/>
    </w:rPr>
  </w:style>
  <w:style w:type="paragraph" w:customStyle="1" w:styleId="37">
    <w:name w:val="修订2"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customStyle="1" w:styleId="38">
    <w:name w:val="font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9">
    <w:name w:val="font61"/>
    <w:qFormat/>
    <w:uiPriority w:val="0"/>
    <w:rPr>
      <w:rFonts w:ascii="Cambria" w:hAnsi="Cambria" w:eastAsia="Cambria" w:cs="Cambria"/>
      <w:color w:val="000000"/>
      <w:sz w:val="24"/>
      <w:szCs w:val="24"/>
      <w:u w:val="none"/>
    </w:rPr>
  </w:style>
  <w:style w:type="paragraph" w:customStyle="1" w:styleId="40">
    <w:name w:val="（一）"/>
    <w:next w:val="41"/>
    <w:qFormat/>
    <w:uiPriority w:val="0"/>
    <w:pPr>
      <w:spacing w:line="560" w:lineRule="exact"/>
      <w:ind w:firstLine="200" w:firstLineChars="200"/>
      <w:outlineLvl w:val="1"/>
    </w:pPr>
    <w:rPr>
      <w:rFonts w:ascii="Times New Roman" w:hAnsi="Times New Roman" w:eastAsia="楷体_GB2312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41">
    <w:name w:val="1."/>
    <w:next w:val="42"/>
    <w:qFormat/>
    <w:uiPriority w:val="0"/>
    <w:pPr>
      <w:numPr>
        <w:ilvl w:val="2"/>
        <w:numId w:val="1"/>
      </w:numPr>
      <w:spacing w:line="560" w:lineRule="exact"/>
    </w:pPr>
    <w:rPr>
      <w:rFonts w:ascii="Times New Roman" w:hAnsi="Times New Roman" w:eastAsia="仿宋_GB2312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42">
    <w:name w:val="新正文"/>
    <w:qFormat/>
    <w:uiPriority w:val="0"/>
    <w:pPr>
      <w:spacing w:line="579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43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4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5">
    <w:name w:val="font71"/>
    <w:qFormat/>
    <w:uiPriority w:val="0"/>
    <w:rPr>
      <w:rFonts w:ascii="Cambria" w:hAnsi="Cambria" w:eastAsia="Cambria" w:cs="Cambria"/>
      <w:color w:val="000000"/>
      <w:sz w:val="24"/>
      <w:szCs w:val="24"/>
      <w:u w:val="none"/>
    </w:rPr>
  </w:style>
  <w:style w:type="paragraph" w:customStyle="1" w:styleId="46">
    <w:name w:val="修订3"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47">
    <w:name w:val="修订4"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48">
    <w:name w:val="修订5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49">
    <w:name w:val="修订6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50">
    <w:name w:val="修订7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51">
    <w:name w:val="修订8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52">
    <w:name w:val="修订9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53">
    <w:name w:val="修订10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54">
    <w:name w:val="修订11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55">
    <w:name w:val="修订12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56">
    <w:name w:val="修订13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57">
    <w:name w:val="修订14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58">
    <w:name w:val="修订15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59">
    <w:name w:val="修订16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60">
    <w:name w:val="修订17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61">
    <w:name w:val="修订18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62">
    <w:name w:val="修订19"/>
    <w:hidden/>
    <w:semiHidden/>
    <w:qFormat/>
    <w:uiPriority w:val="99"/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customStyle="1" w:styleId="63">
    <w:name w:val="批注框文本 字符"/>
    <w:basedOn w:val="23"/>
    <w:link w:val="12"/>
    <w:qFormat/>
    <w:uiPriority w:val="0"/>
    <w:rPr>
      <w:rFonts w:ascii="DengXian" w:hAnsi="DengXian" w:eastAsia="DengXi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866</Words>
  <Characters>4938</Characters>
  <Lines>41</Lines>
  <Paragraphs>11</Paragraphs>
  <TotalTime>0</TotalTime>
  <ScaleCrop>false</ScaleCrop>
  <LinksUpToDate>false</LinksUpToDate>
  <CharactersWithSpaces>5793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2022-11-29T00:39:00Z</dcterms:created>
  <dc:creator>雪仪</dc:creator>
  <cp:lastModifiedBy>yt</cp:lastModifiedBy>
  <cp:lastPrinted>2022-11-02T10:54:00Z</cp:lastPrinted>
  <dcterms:modified xsi:type="dcterms:W3CDTF">2022-12-09T18:49:25Z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CC132731266A436E8204D12701181CF7</vt:lpwstr>
  </property>
</Properties>
</file>