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《盐田区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2023年迎新春促消费稳增长支持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措施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（商贸金融支持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&lt;批发业、零售业、餐饮业企业&gt;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eastAsia="zh-CN"/>
        </w:rPr>
        <w:t>项目）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b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b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b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b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盐田区202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迎新春促</w:t>
      </w:r>
      <w:r>
        <w:rPr>
          <w:rFonts w:hint="default" w:cs="Times New Roman"/>
          <w:kern w:val="2"/>
          <w:sz w:val="28"/>
          <w:szCs w:val="28"/>
          <w:highlight w:val="none"/>
          <w:lang w:val="en" w:eastAsia="zh-CN"/>
        </w:rPr>
        <w:t>消费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稳增长支持措施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cs="Times New Roman"/>
          <w:b w:val="0"/>
          <w:bCs/>
          <w:spacing w:val="-20"/>
          <w:kern w:val="2"/>
          <w:sz w:val="28"/>
          <w:szCs w:val="28"/>
          <w:highlight w:val="none"/>
          <w:lang w:val="en-US" w:eastAsia="zh-CN"/>
        </w:rPr>
        <w:t>商贸金融支持（批发业、零售业、餐饮业企业）项目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562" w:firstLineChars="200"/>
        <w:textAlignment w:val="auto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eastAsia="宋体"/>
          <w:sz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sz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300"/>
        <w:jc w:val="center"/>
        <w:textAlignment w:val="auto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420" w:firstLine="523" w:firstLineChars="218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420" w:firstLine="523" w:firstLineChars="218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420" w:firstLine="523" w:firstLineChars="218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420" w:firstLine="525" w:firstLineChars="218"/>
        <w:jc w:val="left"/>
        <w:textAlignment w:val="auto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盐田区202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迎新春促</w:t>
      </w:r>
      <w:r>
        <w:rPr>
          <w:rFonts w:hint="default" w:ascii="宋体" w:hAnsi="宋体" w:cs="Times New Roman"/>
          <w:kern w:val="2"/>
          <w:sz w:val="24"/>
          <w:szCs w:val="22"/>
          <w:highlight w:val="none"/>
          <w:lang w:val="en" w:eastAsia="zh-CN"/>
        </w:rPr>
        <w:t>消费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稳增长支持措施</w:t>
      </w:r>
      <w:r>
        <w:rPr>
          <w:rFonts w:hint="eastAsia" w:ascii="宋体" w:hAnsi="宋体" w:eastAsia="宋体" w:cs="Times New Roman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1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8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ascii="黑体" w:hAnsi="宋体" w:eastAsia="黑体"/>
          <w:bCs/>
          <w:sz w:val="28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textAlignment w:val="auto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8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581"/>
        <w:gridCol w:w="1534"/>
        <w:gridCol w:w="2716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商贸金融支持（批发业、零售业、餐饮业企业）项目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4" w:hRule="atLeast"/>
        </w:trPr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批发业企业2023年一季度销售较同期实现增长的，按增量超过5亿元部分的万分之五予以扶持，最高100万元。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零售业企业2023年一季度销售额较同期每增加100万元，奖励0.5万元，最高20万元。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餐饮业企业2023年一季度营业额达到去年同期水平90%以上，每增加100万元，奖励1万元，最高20万元。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2022年1-3月销售额或营业额（万元）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2023年1-3月销售额或营业额（万元）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批发零售企业2023年1-3月销售额较去年同期增长额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批发零售企业申请扶持额（万元）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0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餐饮企业2023年1-3月营业额较去年同期水平90%的增长额（万元）</w:t>
            </w:r>
          </w:p>
        </w:tc>
        <w:tc>
          <w:tcPr>
            <w:tcW w:w="15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7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餐饮业企业申请扶持额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账户名称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开户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行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717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 xml:space="preserve">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vertAlign w:val="baseline"/>
                <w:lang w:val="en-US" w:eastAsia="zh-CN"/>
              </w:rPr>
              <w:t>科室：                   负责人（签字）：                 日期：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7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材料清单名称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申报主体法定代表人身份证复印件（签字并盖公章），或法人委托书原件及代理人身份证复印件（法人及代理人签字并盖公章）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接受本项目扶持资金的对公账户（对公账户应为盐田区银行机构开立的账户）复印件（加盖公章）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（加盖公章）（最终以盐田区工业和信息化局核实的情况为准）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是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eastAsia="宋体" w:cs="宋体"/>
          <w:color w:val="000000"/>
          <w:kern w:val="0"/>
          <w:szCs w:val="21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HEBIN+SimSun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176IwHQIAACkEAAAOAAAAZHJz&#10;L2Uyb0RvYy54bWytU82O0zAQviPxDpbvNGkrVl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+mr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PXvojA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b/>
        <w:bCs/>
        <w:u w:val="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08697815"/>
    <w:rsid w:val="3FFD6784"/>
    <w:rsid w:val="4A1947CF"/>
    <w:rsid w:val="4FFF2D7A"/>
    <w:rsid w:val="59E2749B"/>
    <w:rsid w:val="5AFB0549"/>
    <w:rsid w:val="76F77371"/>
    <w:rsid w:val="78FEF8FC"/>
    <w:rsid w:val="7B7D5A96"/>
    <w:rsid w:val="7FFB9A14"/>
    <w:rsid w:val="EBBFE07F"/>
    <w:rsid w:val="F7DFFE6F"/>
    <w:rsid w:val="FFFCB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2"/>
    <w:qFormat/>
    <w:uiPriority w:val="0"/>
    <w:pPr>
      <w:ind w:firstLine="420" w:firstLineChars="100"/>
    </w:p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2018-07-13T15:11:00Z</dcterms:created>
  <dc:creator>d</dc:creator>
  <cp:lastModifiedBy>yt</cp:lastModifiedBy>
  <dcterms:modified xsi:type="dcterms:W3CDTF">2023-05-12T14:21:58Z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