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《盐田区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2023年迎新春促消费稳增长支持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工业支持（工业增加值增长）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left="3369" w:leftChars="266" w:hanging="2810" w:hangingChars="1000"/>
        <w:jc w:val="both"/>
        <w:rPr>
          <w:rFonts w:hint="default" w:eastAsia="宋体" w:cs="Times New Roman"/>
          <w:b w:val="0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eastAsia" w:cs="Times New Roman"/>
          <w:kern w:val="2"/>
          <w:sz w:val="28"/>
          <w:szCs w:val="28"/>
          <w:highlight w:val="none"/>
          <w:lang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spacing w:line="560" w:lineRule="exact"/>
        <w:ind w:firstLine="562" w:firstLineChars="200"/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工业支持（工业增加值增长）项目</w:t>
      </w:r>
    </w:p>
    <w:p>
      <w:pPr>
        <w:pStyle w:val="3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eastAsia" w:ascii="宋体" w:hAnsi="宋体" w:cs="Times New Roman"/>
          <w:kern w:val="2"/>
          <w:sz w:val="24"/>
          <w:szCs w:val="22"/>
          <w:highlight w:val="none"/>
          <w:lang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/>
          <w:bCs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2"/>
        <w:gridCol w:w="2156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2"/>
                <w:szCs w:val="22"/>
                <w:highlight w:val="none"/>
                <w:lang w:val="en-US" w:eastAsia="zh-CN"/>
              </w:rPr>
              <w:t>工业支持（工业增加值增长）项目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支持工业企业在守住疫情防控和安全生产底线的前提下，加大排产力度，提高产能利用效率，对经营状况恢复增长的工业企业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予以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支持。2023年一季度工业增加值较同期每增加100万元，奖励1万元，最高100万元。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eastAsia="zh-CN"/>
              </w:rPr>
              <w:t>工业总产值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工业总产值（万元）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2023年1-3月同比2022年1-3月工业增加值增量（万元）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申请扶持额（万元）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sz w:val="21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（盖公章）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EBF0FBC"/>
    <w:rsid w:val="4A1947CF"/>
    <w:rsid w:val="6FFF90C9"/>
    <w:rsid w:val="7B7D5A96"/>
    <w:rsid w:val="7FE33EBE"/>
    <w:rsid w:val="7FEE9DF7"/>
    <w:rsid w:val="93FB5A5B"/>
    <w:rsid w:val="DF6FEA27"/>
    <w:rsid w:val="F5FF6228"/>
    <w:rsid w:val="F7F30404"/>
    <w:rsid w:val="FF3EC33B"/>
    <w:rsid w:val="FFFCB303"/>
    <w:rsid w:val="FFFF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2018-07-14T15:11:00Z</dcterms:created>
  <dc:creator>d</dc:creator>
  <cp:lastModifiedBy>yt</cp:lastModifiedBy>
  <dcterms:modified xsi:type="dcterms:W3CDTF">2023-05-12T14:18:06Z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