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商贸金融支持（批发业、零售业、餐饮业企业）项目申报指南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批发业企业2023年一季度销售较同期实现增长的，按增量超过5亿元部分的万分之五予以扶持，最高100万元。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零售业企业2023年一季度销售额较同期每增加100万元，奖励0.5万元，最高20万元。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餐饮业企业2023年一季度营业额达到去年同期水平90%以上，每增加100万元，奖励1万元，最高20万元。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《盐田区发展和改革局关于印发&lt;盐田区2023年迎新春促消费稳增长支持措施&gt;的通知》(深盐发改〔2022〕21号)。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eastAsia="zh-CN" w:bidi="ar"/>
        </w:rPr>
        <w:t>）</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kern w:val="0"/>
          <w:sz w:val="32"/>
          <w:szCs w:val="32"/>
          <w:highlight w:val="none"/>
          <w:lang w:val="en" w:eastAsia="zh-CN" w:bidi="ar"/>
        </w:rPr>
        <w:t>应当</w:t>
      </w:r>
      <w:r>
        <w:rPr>
          <w:rFonts w:hint="eastAsia" w:ascii="仿宋_GB2312" w:hAnsi="仿宋_GB2312" w:eastAsia="仿宋_GB2312" w:cs="仿宋_GB2312"/>
          <w:color w:val="auto"/>
          <w:kern w:val="0"/>
          <w:sz w:val="32"/>
          <w:szCs w:val="32"/>
          <w:highlight w:val="none"/>
          <w:lang w:eastAsia="zh-CN" w:bidi="ar"/>
        </w:rPr>
        <w:t>是具有独立法人资格、且于</w:t>
      </w:r>
      <w:r>
        <w:rPr>
          <w:rFonts w:hint="eastAsia" w:ascii="仿宋_GB2312" w:hAnsi="仿宋_GB2312" w:eastAsia="仿宋_GB2312" w:cs="仿宋_GB2312"/>
          <w:color w:val="auto"/>
          <w:kern w:val="0"/>
          <w:sz w:val="32"/>
          <w:szCs w:val="32"/>
          <w:highlight w:val="none"/>
          <w:u w:val="none"/>
          <w:lang w:val="en-US" w:eastAsia="zh-CN"/>
        </w:rPr>
        <w:t>2022年12月31日前实现纳统，并依法、按时向统计部门报送经营数据的限上批发业、零售业、餐饮业企业。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u w:val="none"/>
          <w:lang w:val="en-US" w:eastAsia="zh-CN"/>
        </w:rPr>
        <w:t>（二）</w:t>
      </w:r>
      <w:r>
        <w:rPr>
          <w:rFonts w:hint="default" w:ascii="仿宋_GB2312" w:hAnsi="仿宋_GB2312" w:eastAsia="仿宋_GB2312" w:cs="仿宋_GB2312"/>
          <w:color w:val="auto"/>
          <w:kern w:val="0"/>
          <w:sz w:val="32"/>
          <w:szCs w:val="32"/>
          <w:highlight w:val="none"/>
          <w:u w:val="none"/>
          <w:lang w:val="en" w:eastAsia="zh-CN"/>
        </w:rPr>
        <w:t>申报主体</w:t>
      </w:r>
      <w:r>
        <w:rPr>
          <w:rFonts w:hint="eastAsia" w:ascii="仿宋_GB2312" w:hAnsi="仿宋_GB2312" w:eastAsia="仿宋_GB2312" w:cs="仿宋_GB2312"/>
          <w:color w:val="auto"/>
          <w:kern w:val="0"/>
          <w:sz w:val="32"/>
          <w:szCs w:val="32"/>
          <w:highlight w:val="none"/>
          <w:u w:val="none"/>
          <w:lang w:val="en-US" w:eastAsia="zh-CN"/>
        </w:rPr>
        <w:t>为批发业企业的，需实现2023年1-3月企业销售额</w:t>
      </w:r>
      <w:r>
        <w:rPr>
          <w:rFonts w:hint="eastAsia" w:ascii="仿宋_GB2312" w:hAnsi="仿宋_GB2312" w:eastAsia="仿宋_GB2312" w:cs="仿宋_GB2312"/>
          <w:color w:val="auto"/>
          <w:sz w:val="32"/>
          <w:szCs w:val="32"/>
          <w:highlight w:val="none"/>
          <w:lang w:val="en-US" w:eastAsia="zh-CN"/>
        </w:rPr>
        <w:t>较去年同期增长达到5亿元</w:t>
      </w:r>
      <w:r>
        <w:rPr>
          <w:rFonts w:hint="eastAsia" w:ascii="仿宋_GB2312" w:hAnsi="仿宋_GB2312" w:eastAsia="仿宋_GB2312" w:cs="仿宋_GB2312"/>
          <w:color w:val="auto"/>
          <w:kern w:val="0"/>
          <w:sz w:val="32"/>
          <w:szCs w:val="32"/>
          <w:highlight w:val="none"/>
          <w:u w:val="none"/>
          <w:lang w:val="en-US" w:eastAsia="zh-CN"/>
        </w:rPr>
        <w:t>；</w:t>
      </w:r>
      <w:r>
        <w:rPr>
          <w:rFonts w:hint="default" w:ascii="仿宋_GB2312" w:hAnsi="仿宋_GB2312" w:eastAsia="仿宋_GB2312" w:cs="仿宋_GB2312"/>
          <w:color w:val="auto"/>
          <w:kern w:val="0"/>
          <w:sz w:val="32"/>
          <w:szCs w:val="32"/>
          <w:highlight w:val="none"/>
          <w:u w:val="none"/>
          <w:lang w:val="en" w:eastAsia="zh-CN"/>
        </w:rPr>
        <w:t>申报主体</w:t>
      </w:r>
      <w:r>
        <w:rPr>
          <w:rFonts w:hint="eastAsia" w:ascii="仿宋_GB2312" w:hAnsi="仿宋_GB2312" w:eastAsia="仿宋_GB2312" w:cs="仿宋_GB2312"/>
          <w:color w:val="auto"/>
          <w:kern w:val="0"/>
          <w:sz w:val="32"/>
          <w:szCs w:val="32"/>
          <w:highlight w:val="none"/>
          <w:u w:val="none"/>
          <w:lang w:val="en-US" w:eastAsia="zh-CN"/>
        </w:rPr>
        <w:t>为零售业企业的，需实现2023年1-3月企业销售额较去年同期增长达到100万元；</w:t>
      </w:r>
      <w:r>
        <w:rPr>
          <w:rFonts w:hint="default" w:ascii="仿宋_GB2312" w:hAnsi="仿宋_GB2312" w:eastAsia="仿宋_GB2312" w:cs="仿宋_GB2312"/>
          <w:color w:val="auto"/>
          <w:kern w:val="0"/>
          <w:sz w:val="32"/>
          <w:szCs w:val="32"/>
          <w:highlight w:val="none"/>
          <w:u w:val="none"/>
          <w:lang w:val="en" w:eastAsia="zh-CN"/>
        </w:rPr>
        <w:t>申报主体</w:t>
      </w:r>
      <w:r>
        <w:rPr>
          <w:rFonts w:hint="eastAsia" w:ascii="仿宋_GB2312" w:hAnsi="仿宋_GB2312" w:eastAsia="仿宋_GB2312" w:cs="仿宋_GB2312"/>
          <w:color w:val="auto"/>
          <w:kern w:val="0"/>
          <w:sz w:val="32"/>
          <w:szCs w:val="32"/>
          <w:highlight w:val="none"/>
          <w:u w:val="none"/>
          <w:lang w:val="en-US" w:eastAsia="zh-CN"/>
        </w:rPr>
        <w:t>为餐饮业企业的，需实现2023年1-3月企业营业额较去年同期的90%增长达到100万元。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left="319" w:leftChars="152" w:firstLine="320" w:firstLineChars="1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（一）商贸金融支持（批发业、零售业、餐饮业企业）项目申请书原件（签字、盖公章）（详见附件3-3）。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sz w:val="32"/>
          <w:szCs w:val="32"/>
          <w:highlight w:val="none"/>
          <w:lang w:val="en" w:eastAsia="zh-CN"/>
        </w:rPr>
        <w:t>申报主体法定代表人身份证复印件（签字并盖公章），或法人委托书原件及代理人身份证复印件（法人及代理人签字并盖公章）。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接受本项目资助资金的对公账户（对公账户应为盐田区银行机构开立的账户）复印件（盖公章）。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w:t>
      </w:r>
      <w:r>
        <w:rPr>
          <w:rFonts w:hint="default" w:ascii="仿宋_GB2312" w:hAnsi="仿宋_GB2312" w:eastAsia="仿宋_GB2312" w:cs="仿宋_GB2312"/>
          <w:color w:val="auto"/>
          <w:sz w:val="32"/>
          <w:szCs w:val="32"/>
          <w:highlight w:val="none"/>
          <w:lang w:val="en" w:eastAsia="zh-CN"/>
        </w:rPr>
        <w:t>申报主体达到奖励标准的证明材料原件</w:t>
      </w:r>
      <w:r>
        <w:rPr>
          <w:rFonts w:hint="eastAsia" w:ascii="仿宋_GB2312" w:hAnsi="仿宋_GB2312" w:eastAsia="仿宋_GB2312" w:cs="仿宋_GB2312"/>
          <w:color w:val="auto"/>
          <w:sz w:val="32"/>
          <w:szCs w:val="32"/>
          <w:highlight w:val="none"/>
          <w:lang w:val="en-US" w:eastAsia="zh-CN"/>
        </w:rPr>
        <w:t>（盖公章），其中：批发业、零售业企业在</w:t>
      </w:r>
      <w:r>
        <w:rPr>
          <w:rFonts w:hint="eastAsia" w:ascii="仿宋_GB2312" w:hAnsi="仿宋_GB2312" w:eastAsia="仿宋_GB2312" w:cs="仿宋_GB2312"/>
          <w:sz w:val="32"/>
          <w:szCs w:val="32"/>
          <w:highlight w:val="none"/>
          <w:lang w:val="en-US" w:eastAsia="zh-CN"/>
        </w:rPr>
        <w:t>“统计联网直报平台”查询打印2022年1-3月、2023年1-3月销售额（含税）；餐饮业企业</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sz w:val="32"/>
          <w:szCs w:val="32"/>
          <w:highlight w:val="none"/>
          <w:lang w:val="en-US" w:eastAsia="zh-CN"/>
        </w:rPr>
        <w:t>“统计联网直报平台”查询打印2022年1-3月、2023年1-3月营业额（含税）</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（六）盐田区工业和信息化局要求提交的其他资料。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（二）受理时间：</w:t>
      </w:r>
      <w:r>
        <w:rPr>
          <w:rFonts w:hint="eastAsia" w:ascii="仿宋_GB2312" w:hAnsi="仿宋_GB2312" w:eastAsia="仿宋_GB2312" w:cs="仿宋_GB2312"/>
          <w:kern w:val="0"/>
          <w:sz w:val="32"/>
          <w:szCs w:val="32"/>
          <w:lang w:val="en-US" w:eastAsia="zh-CN" w:bidi="ar"/>
        </w:rPr>
        <w:t>2023年5月16日-2023年5月26</w:t>
      </w:r>
      <w:bookmarkStart w:id="0" w:name="_GoBack"/>
      <w:bookmarkEnd w:id="0"/>
      <w:r>
        <w:rPr>
          <w:rFonts w:hint="eastAsia" w:ascii="仿宋_GB2312" w:hAnsi="仿宋_GB2312" w:eastAsia="仿宋_GB2312" w:cs="仿宋_GB2312"/>
          <w:kern w:val="0"/>
          <w:sz w:val="32"/>
          <w:szCs w:val="32"/>
          <w:lang w:val="en-US" w:eastAsia="zh-CN" w:bidi="ar"/>
        </w:rPr>
        <w:t>日；工作日上午9：00时-12：00时，工作日下午14：00时-18：00时</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（三）联系方式：商务科，0755-25229726。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（四）受理地点：深圳市盐田区深盐路2088号盐田区行政中心4楼416室。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 xml:space="preserve">八、其他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sectPr>
      <w:footerReference r:id="rId3" w:type="default"/>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RMVdUrgEAAEsD&#10;AAAOAAAAAAAAAAEAIAAAAB4BAABkcnMvZTJvRG9jLnhtbFBLBQYAAAAABgAGAFkBAAA+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105350A7"/>
    <w:rsid w:val="194F59D1"/>
    <w:rsid w:val="3DFFF1BE"/>
    <w:rsid w:val="45D73F04"/>
    <w:rsid w:val="47053FC3"/>
    <w:rsid w:val="4A1947CF"/>
    <w:rsid w:val="4E062AB1"/>
    <w:rsid w:val="5E585D3E"/>
    <w:rsid w:val="6E7FE72A"/>
    <w:rsid w:val="77BDEEC4"/>
    <w:rsid w:val="7C0A6B0D"/>
    <w:rsid w:val="7F7FAAC0"/>
    <w:rsid w:val="7FAD5205"/>
    <w:rsid w:val="8EB6A1CB"/>
    <w:rsid w:val="9566E68F"/>
    <w:rsid w:val="AD5C5F38"/>
    <w:rsid w:val="AFBB7A9A"/>
    <w:rsid w:val="BF9FC98C"/>
    <w:rsid w:val="E6FED328"/>
    <w:rsid w:val="EBDF745A"/>
    <w:rsid w:val="ECBF2219"/>
    <w:rsid w:val="EFFD88E4"/>
    <w:rsid w:val="F3F18F3F"/>
    <w:rsid w:val="F5AFDA91"/>
    <w:rsid w:val="F7BD2C24"/>
    <w:rsid w:val="FEF3911D"/>
    <w:rsid w:val="FFEB1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2018-07-15T07:11:00Z</dcterms:created>
  <dc:creator>d</dc:creator>
  <cp:lastModifiedBy>陈喜莲</cp:lastModifiedBy>
  <dcterms:modified xsi:type="dcterms:W3CDTF">2023-05-16T03:00:55Z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