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0C" w:rsidRDefault="00FC160C">
      <w:pPr>
        <w:ind w:firstLine="640"/>
      </w:pPr>
    </w:p>
    <w:p w:rsidR="00FC160C" w:rsidRDefault="00FC160C">
      <w:pPr>
        <w:ind w:firstLine="640"/>
      </w:pPr>
    </w:p>
    <w:p w:rsidR="00FC160C" w:rsidRDefault="00FC160C">
      <w:pPr>
        <w:ind w:firstLine="640"/>
      </w:pPr>
    </w:p>
    <w:p w:rsidR="00FC160C" w:rsidRDefault="00FC160C">
      <w:pPr>
        <w:ind w:firstLine="640"/>
      </w:pPr>
    </w:p>
    <w:p w:rsidR="00FC160C" w:rsidRDefault="00FC160C">
      <w:pPr>
        <w:ind w:firstLine="640"/>
      </w:pPr>
    </w:p>
    <w:p w:rsidR="00FC160C" w:rsidRDefault="00481A9C">
      <w:pPr>
        <w:snapToGrid/>
        <w:ind w:firstLineChars="0"/>
        <w:jc w:val="center"/>
        <w:rPr>
          <w:rFonts w:ascii="FZXiaoBiaoSong-B05S" w:eastAsia="FZXiaoBiaoSong-B05S" w:hAnsi="FZXiaoBiaoSong-B05S"/>
          <w:sz w:val="36"/>
          <w:szCs w:val="36"/>
        </w:rPr>
      </w:pPr>
      <w:r>
        <w:rPr>
          <w:rFonts w:ascii="方正小标宋简体" w:eastAsia="方正小标宋简体" w:hAnsi="FZXiaoBiaoSong-B05S" w:hint="eastAsia"/>
          <w:color w:val="auto"/>
          <w:sz w:val="44"/>
          <w:szCs w:val="44"/>
        </w:rPr>
        <w:t>2020年度部门整体绩效评价报告</w:t>
      </w:r>
    </w:p>
    <w:p w:rsidR="00FC160C" w:rsidRDefault="00FC160C">
      <w:pPr>
        <w:ind w:firstLine="640"/>
      </w:pPr>
    </w:p>
    <w:p w:rsidR="00FC160C" w:rsidRDefault="00FC160C">
      <w:pPr>
        <w:ind w:firstLine="640"/>
      </w:pPr>
    </w:p>
    <w:p w:rsidR="00FC160C" w:rsidRDefault="00FC160C">
      <w:pPr>
        <w:ind w:firstLine="640"/>
      </w:pPr>
    </w:p>
    <w:p w:rsidR="00FC160C" w:rsidRDefault="00FC160C">
      <w:pPr>
        <w:ind w:firstLine="640"/>
      </w:pPr>
    </w:p>
    <w:p w:rsidR="00FC160C" w:rsidRDefault="00FC160C">
      <w:pPr>
        <w:ind w:firstLine="640"/>
      </w:pPr>
    </w:p>
    <w:p w:rsidR="00FC160C" w:rsidRDefault="00FC160C">
      <w:pPr>
        <w:ind w:firstLine="640"/>
      </w:pPr>
    </w:p>
    <w:p w:rsidR="00FC160C" w:rsidRDefault="00FC160C">
      <w:pPr>
        <w:ind w:firstLine="640"/>
      </w:pPr>
    </w:p>
    <w:p w:rsidR="00FC160C" w:rsidRDefault="00481A9C">
      <w:pPr>
        <w:ind w:firstLineChars="0" w:firstLine="0"/>
      </w:pPr>
      <w:r>
        <w:rPr>
          <w:rFonts w:hint="eastAsia"/>
        </w:rPr>
        <w:t>部门名称（公章）：深圳市盐田区盐田街道社区网格管理中心</w:t>
      </w:r>
    </w:p>
    <w:p w:rsidR="00FC160C" w:rsidRDefault="00481A9C" w:rsidP="00275537">
      <w:pPr>
        <w:ind w:firstLineChars="0" w:firstLine="0"/>
        <w:jc w:val="center"/>
      </w:pPr>
      <w:r>
        <w:rPr>
          <w:rFonts w:hint="eastAsia"/>
        </w:rPr>
        <w:t>填报人：</w:t>
      </w:r>
      <w:r w:rsidR="00275537">
        <w:rPr>
          <w:rFonts w:hint="eastAsia"/>
        </w:rPr>
        <w:t>黄雪珍</w:t>
      </w:r>
    </w:p>
    <w:p w:rsidR="00FC160C" w:rsidRDefault="00481A9C" w:rsidP="00275537">
      <w:pPr>
        <w:ind w:firstLineChars="0" w:firstLine="0"/>
        <w:jc w:val="center"/>
      </w:pPr>
      <w:r>
        <w:rPr>
          <w:rFonts w:hint="eastAsia"/>
        </w:rPr>
        <w:t>联系电话：</w:t>
      </w:r>
      <w:r w:rsidR="00275537">
        <w:rPr>
          <w:rFonts w:hint="eastAsia"/>
        </w:rPr>
        <w:t>25205262</w:t>
      </w:r>
    </w:p>
    <w:p w:rsidR="00FC160C" w:rsidRDefault="00FC160C">
      <w:pPr>
        <w:ind w:firstLine="640"/>
      </w:pPr>
    </w:p>
    <w:p w:rsidR="00FC160C" w:rsidRDefault="00FC160C">
      <w:pPr>
        <w:ind w:firstLine="640"/>
      </w:pPr>
    </w:p>
    <w:p w:rsidR="00FC160C" w:rsidRDefault="00FC160C">
      <w:pPr>
        <w:ind w:firstLine="640"/>
      </w:pPr>
    </w:p>
    <w:p w:rsidR="00FC160C" w:rsidRDefault="00481A9C">
      <w:pPr>
        <w:pStyle w:val="1"/>
        <w:ind w:firstLine="640"/>
      </w:pPr>
      <w:r>
        <w:rPr>
          <w:rFonts w:hint="eastAsia"/>
        </w:rPr>
        <w:br w:type="page"/>
      </w:r>
      <w:r>
        <w:rPr>
          <w:rFonts w:hint="eastAsia"/>
        </w:rPr>
        <w:lastRenderedPageBreak/>
        <w:t>一、部门（单位）基本情况</w:t>
      </w:r>
    </w:p>
    <w:p w:rsidR="00FC160C" w:rsidRDefault="00481A9C">
      <w:pPr>
        <w:pStyle w:val="20"/>
        <w:ind w:firstLine="643"/>
      </w:pPr>
      <w:r>
        <w:rPr>
          <w:rFonts w:hint="eastAsia"/>
        </w:rPr>
        <w:t>（一）部门主要职能。</w:t>
      </w:r>
    </w:p>
    <w:p w:rsidR="00FC160C" w:rsidRDefault="00481A9C">
      <w:pPr>
        <w:ind w:firstLine="640"/>
      </w:pPr>
      <w:r>
        <w:rPr>
          <w:rFonts w:hint="eastAsia"/>
        </w:rPr>
        <w:t>深圳市盐田区盐田街道社区网格管理中心（以下简称“本单位”）是深圳市盐田区盐田街道办事处（以下简称“盐田街道办”）下设事业单位，2020年机构改革后，与深圳市盐田区盐田街道办事处文化体育活动中心、盐田街道办事处计划生育服务所合并为深圳市盐田区盐田街道公共事务中心。新的机构职能暂未公开，本报告以本单位为独立单位开展部门整体支出的绩效评价。机构改革前本单位的主要职责为：</w:t>
      </w:r>
    </w:p>
    <w:p w:rsidR="00FC160C" w:rsidRDefault="00481A9C" w:rsidP="00915E4A">
      <w:pPr>
        <w:ind w:firstLine="643"/>
      </w:pPr>
      <w:r>
        <w:rPr>
          <w:rFonts w:hint="eastAsia"/>
          <w:b/>
        </w:rPr>
        <w:t>一是</w:t>
      </w:r>
      <w:r>
        <w:rPr>
          <w:rFonts w:hint="eastAsia"/>
        </w:rPr>
        <w:t>房屋租赁管理，包括：贯彻执行有关房屋租赁和出租屋管理的法律、法规和各项政策措施；房屋租赁合同登记（备案）；征收房屋租赁税费；查处非法房屋租赁行为；调解房屋租赁纠纷；房屋租赁统计。</w:t>
      </w:r>
      <w:r>
        <w:rPr>
          <w:rFonts w:hint="eastAsia"/>
          <w:b/>
        </w:rPr>
        <w:t>二是</w:t>
      </w:r>
      <w:r>
        <w:rPr>
          <w:rFonts w:hint="eastAsia"/>
        </w:rPr>
        <w:t>流动人口和出租屋综合管理，包括：出租屋和暂住人口信息采集与登记管理；出租屋和暂住人口隐患信息采集与通报处理；协助公安机关对出租屋和暂住人口进行分类管理；配合相关职能部门搞好流动人口和出租屋综合整治工作；做好对租赁当事人和流动人口的服务工作。</w:t>
      </w:r>
    </w:p>
    <w:p w:rsidR="00FC160C" w:rsidRDefault="00481A9C">
      <w:pPr>
        <w:pStyle w:val="20"/>
        <w:ind w:firstLine="643"/>
      </w:pPr>
      <w:r>
        <w:rPr>
          <w:rFonts w:hint="eastAsia"/>
        </w:rPr>
        <w:t>（二）年度总体工作和重点工作任务。</w:t>
      </w:r>
    </w:p>
    <w:p w:rsidR="00FC160C" w:rsidRDefault="00481A9C" w:rsidP="00915E4A">
      <w:pPr>
        <w:ind w:firstLine="643"/>
      </w:pPr>
      <w:r>
        <w:rPr>
          <w:rFonts w:hint="eastAsia"/>
          <w:b/>
          <w:bCs/>
        </w:rPr>
        <w:t>一是</w:t>
      </w:r>
      <w:r>
        <w:rPr>
          <w:rFonts w:hint="eastAsia"/>
        </w:rPr>
        <w:t>完善办法，抓好队伍机制建设。根据2020年网格管理考评标准，进一步查漏补缺，完善督查问效细则，结合督查重点、难点制定相应的奖惩项目，用制度抓队伍。</w:t>
      </w:r>
    </w:p>
    <w:p w:rsidR="00FC160C" w:rsidRDefault="00481A9C" w:rsidP="00915E4A">
      <w:pPr>
        <w:ind w:firstLine="643"/>
      </w:pPr>
      <w:r>
        <w:rPr>
          <w:rFonts w:hint="eastAsia"/>
          <w:b/>
          <w:bCs/>
        </w:rPr>
        <w:lastRenderedPageBreak/>
        <w:t>二是</w:t>
      </w:r>
      <w:r>
        <w:rPr>
          <w:rFonts w:hint="eastAsia"/>
        </w:rPr>
        <w:t>提高服务质量。由于机构改革大趋势，房屋租赁合同业务已移交至区住建局，目前处于改革阶段，各项租赁要求、规范逐步完善，2020年将严格依照文件要求做好群众租赁服务工作，做好群众调解、租赁合同登记备案，自主申报宣传、居住登记采集等工作。</w:t>
      </w:r>
    </w:p>
    <w:p w:rsidR="00FC160C" w:rsidRDefault="00481A9C" w:rsidP="00915E4A">
      <w:pPr>
        <w:ind w:firstLine="643"/>
      </w:pPr>
      <w:r>
        <w:rPr>
          <w:rFonts w:hint="eastAsia"/>
          <w:b/>
          <w:bCs/>
        </w:rPr>
        <w:t>三是</w:t>
      </w:r>
      <w:r>
        <w:rPr>
          <w:rFonts w:hint="eastAsia"/>
        </w:rPr>
        <w:t>推动网格精细化管理。加强重点片区督查。中心联合社区、网格长人力资源，组成联合督查组，探索实践“一个网格、一个重点、零死角抽查”模式，重点选取薄弱网格、迎检不合格片区进行扫楼式督查，有利于着重点紧抓队伍人员管理。加强网格深耕细作。严格遵循“一格一员”原则分配人员，强化网格精细化管理意识，主动作为，手勤、脚勤、口勤，对各网格内“四个实有信息”巡查到位、底数清晰、实时监控，如有发现异常立即采集上报。</w:t>
      </w:r>
    </w:p>
    <w:p w:rsidR="00FC160C" w:rsidRDefault="00481A9C" w:rsidP="00915E4A">
      <w:pPr>
        <w:ind w:firstLine="643"/>
      </w:pPr>
      <w:r>
        <w:rPr>
          <w:rFonts w:hint="eastAsia"/>
          <w:b/>
          <w:bCs/>
        </w:rPr>
        <w:t>四是</w:t>
      </w:r>
      <w:r>
        <w:rPr>
          <w:rFonts w:hint="eastAsia"/>
        </w:rPr>
        <w:t>注重培训提升业务水平。中心开展各类业务知识培训、综合水平测试，保证网格员队伍理论知识、实操能力均衡发展，结合统一集体培训、日常入户指导、定期社区调研走访三大手段，提升各站网格员自律意识、素质水平和业务能力。</w:t>
      </w:r>
    </w:p>
    <w:p w:rsidR="00FC160C" w:rsidRDefault="00481A9C">
      <w:pPr>
        <w:pStyle w:val="20"/>
        <w:ind w:firstLine="643"/>
      </w:pPr>
      <w:r>
        <w:rPr>
          <w:rFonts w:hint="eastAsia"/>
        </w:rPr>
        <w:t>（三）2020年部门预算编制情况。</w:t>
      </w:r>
    </w:p>
    <w:p w:rsidR="00FC160C" w:rsidRDefault="00481A9C">
      <w:pPr>
        <w:ind w:firstLine="640"/>
      </w:pPr>
      <w:r>
        <w:rPr>
          <w:rFonts w:hint="eastAsia"/>
        </w:rPr>
        <w:t>本单位按照盐田街道办和区财政局关于预算编报的要求，开展预算编制。根据上年度预算执行情况和本年度工作计划，网管中心将年度预算需求提交盐田街道办审核汇总，形成盐田街道办</w:t>
      </w:r>
      <w:r>
        <w:rPr>
          <w:rFonts w:hint="eastAsia"/>
        </w:rPr>
        <w:lastRenderedPageBreak/>
        <w:t>部门预算草案；区财政下达预算控制数后，本单位根据盐田街道办要求对预算需求作修改，再上报盐田街道办审核汇总；区财政局批复下达预算后，本单位制定年度预算分配方案，经审定后即成为财务收支的执行依据。</w:t>
      </w:r>
    </w:p>
    <w:p w:rsidR="00FC160C" w:rsidRDefault="00481A9C">
      <w:pPr>
        <w:ind w:firstLine="640"/>
      </w:pPr>
      <w:r>
        <w:rPr>
          <w:rFonts w:hint="eastAsia"/>
        </w:rPr>
        <w:t>结合职能和年度工作任务，本单位选取了“房屋租赁管理服务经费”项目作为年度重点项目，纳入项目支出绩效目标管理，填报了《项目支出绩效目标表》，设定了能够明确体现单位履职效果的投入目标、产出目标和效益目标。</w:t>
      </w:r>
    </w:p>
    <w:p w:rsidR="00FC160C" w:rsidRDefault="00481A9C">
      <w:pPr>
        <w:ind w:firstLine="640"/>
      </w:pPr>
      <w:r>
        <w:rPr>
          <w:rFonts w:hint="eastAsia"/>
        </w:rPr>
        <w:t>本单位2020年一般公共预算5,932,591.84元，其中基本支出4,203,191.84元，项目支出1,729,400.00元。年度一般公共预算调整数5,912,955.84元，其中基本支出4,184,494.84元，项目支出1,728,461.00元。</w:t>
      </w:r>
    </w:p>
    <w:p w:rsidR="00FC160C" w:rsidRDefault="00481A9C">
      <w:pPr>
        <w:pStyle w:val="20"/>
        <w:ind w:firstLine="643"/>
      </w:pPr>
      <w:r>
        <w:rPr>
          <w:rFonts w:hint="eastAsia"/>
        </w:rPr>
        <w:t>（四）2020年部门预算执行情况。</w:t>
      </w:r>
    </w:p>
    <w:p w:rsidR="00FC160C" w:rsidRDefault="00481A9C">
      <w:pPr>
        <w:pStyle w:val="3"/>
        <w:ind w:firstLine="643"/>
      </w:pPr>
      <w:r>
        <w:t>1.</w:t>
      </w:r>
      <w:r>
        <w:rPr>
          <w:rFonts w:hint="eastAsia"/>
        </w:rPr>
        <w:t>资金管理。</w:t>
      </w:r>
    </w:p>
    <w:p w:rsidR="00FC160C" w:rsidRDefault="00481A9C">
      <w:pPr>
        <w:ind w:firstLine="640"/>
        <w:rPr>
          <w:rFonts w:hAnsi="仿宋"/>
        </w:rPr>
      </w:pPr>
      <w:r>
        <w:rPr>
          <w:rFonts w:hint="eastAsia"/>
        </w:rPr>
        <w:t>本单位2020年度支出决算数为5,800,164.39元</w:t>
      </w:r>
      <w:r>
        <w:rPr>
          <w:rFonts w:hAnsi="仿宋" w:hint="eastAsia"/>
        </w:rPr>
        <w:t>。按支</w:t>
      </w:r>
      <w:r>
        <w:rPr>
          <w:rFonts w:hint="eastAsia"/>
        </w:rPr>
        <w:t>出性质来看，</w:t>
      </w:r>
      <w:r>
        <w:rPr>
          <w:rFonts w:hAnsi="仿宋" w:hint="eastAsia"/>
        </w:rPr>
        <w:t>基本支出决算数为4,155,889.39元,项目支出决算数为1,644,275.00元。预算执行率为98.09%。</w:t>
      </w:r>
    </w:p>
    <w:p w:rsidR="00FC160C" w:rsidRDefault="00481A9C">
      <w:pPr>
        <w:ind w:firstLine="640"/>
        <w:rPr>
          <w:rFonts w:hAnsi="仿宋"/>
        </w:rPr>
      </w:pPr>
      <w:r>
        <w:rPr>
          <w:rFonts w:hint="eastAsia"/>
        </w:rPr>
        <w:t>本单位的支出管理严格执行</w:t>
      </w:r>
      <w:r>
        <w:rPr>
          <w:rFonts w:hAnsi="Times New Roman" w:cs="仿宋_GB2312" w:hint="eastAsia"/>
        </w:rPr>
        <w:t>《盐田街道办事处关于印发盐田街道办事处机关财务管理规定的通知》（盐盐办〔201</w:t>
      </w:r>
      <w:r>
        <w:rPr>
          <w:rFonts w:hAnsi="Times New Roman" w:cs="仿宋_GB2312"/>
        </w:rPr>
        <w:t>7</w:t>
      </w:r>
      <w:r>
        <w:rPr>
          <w:rFonts w:hAnsi="Times New Roman" w:cs="仿宋_GB2312" w:hint="eastAsia"/>
        </w:rPr>
        <w:t>〕</w:t>
      </w:r>
      <w:r>
        <w:rPr>
          <w:rFonts w:hAnsi="Times New Roman" w:cs="仿宋_GB2312"/>
        </w:rPr>
        <w:t>21</w:t>
      </w:r>
      <w:r>
        <w:rPr>
          <w:rFonts w:hAnsi="Times New Roman" w:cs="仿宋_GB2312" w:hint="eastAsia"/>
        </w:rPr>
        <w:t>号）</w:t>
      </w:r>
      <w:r>
        <w:rPr>
          <w:rFonts w:hint="eastAsia"/>
        </w:rPr>
        <w:t>（以下简称“《财务管理规定》”），人员支出、公用支出、货物及服务采购支出、因公借款、公务接待费、加班餐费及食品等、外</w:t>
      </w:r>
      <w:r>
        <w:rPr>
          <w:rFonts w:hint="eastAsia"/>
        </w:rPr>
        <w:lastRenderedPageBreak/>
        <w:t>出活动、培训、会议及学习考察费用等均按规定的程序报批，按事项完成进度支付资金，支出合规，会计核算规范。</w:t>
      </w:r>
    </w:p>
    <w:p w:rsidR="00FC160C" w:rsidRDefault="00481A9C">
      <w:pPr>
        <w:ind w:firstLine="640"/>
        <w:rPr>
          <w:rFonts w:hAnsi="仿宋"/>
        </w:rPr>
      </w:pPr>
      <w:r>
        <w:rPr>
          <w:rFonts w:hAnsi="仿宋" w:hint="eastAsia"/>
        </w:rPr>
        <w:t>按照《</w:t>
      </w:r>
      <w:r>
        <w:rPr>
          <w:rFonts w:hAnsi="Times New Roman" w:cs="仿宋_GB2312" w:hint="eastAsia"/>
        </w:rPr>
        <w:t>盐田街道办事处关于印发盐田街道自行采购管理暂行办法的通知</w:t>
      </w:r>
      <w:r>
        <w:rPr>
          <w:rFonts w:hAnsi="仿宋" w:hint="eastAsia"/>
        </w:rPr>
        <w:t>》（盐盐办〔</w:t>
      </w:r>
      <w:r>
        <w:rPr>
          <w:rFonts w:hAnsi="仿宋"/>
        </w:rPr>
        <w:t>2017</w:t>
      </w:r>
      <w:r>
        <w:rPr>
          <w:rFonts w:hAnsi="仿宋" w:hint="eastAsia"/>
        </w:rPr>
        <w:t>〕</w:t>
      </w:r>
      <w:r>
        <w:rPr>
          <w:rFonts w:hAnsi="仿宋"/>
        </w:rPr>
        <w:t>20</w:t>
      </w:r>
      <w:r>
        <w:rPr>
          <w:rFonts w:hAnsi="仿宋" w:hint="eastAsia"/>
        </w:rPr>
        <w:t>号）</w:t>
      </w:r>
      <w:r>
        <w:rPr>
          <w:rFonts w:hint="eastAsia"/>
        </w:rPr>
        <w:t>（以下简称“《采购管理办法》”）要求</w:t>
      </w:r>
      <w:r>
        <w:rPr>
          <w:rFonts w:hAnsi="仿宋" w:hint="eastAsia"/>
        </w:rPr>
        <w:t>，本单位根据采购项目预算金额履行相应的采购程序。本单位2020年初无政府采购计划。</w:t>
      </w:r>
    </w:p>
    <w:p w:rsidR="00FC160C" w:rsidRDefault="00481A9C">
      <w:pPr>
        <w:ind w:firstLine="640"/>
      </w:pPr>
      <w:r>
        <w:rPr>
          <w:rFonts w:hint="eastAsia"/>
        </w:rPr>
        <w:t>按照《中华人民共和国政府信息公开条例》要求，本单位按照标准格式主动将2020年经费预算信息报盐田街道办汇总，在盐田街道办官网公开。</w:t>
      </w:r>
    </w:p>
    <w:p w:rsidR="00FC160C" w:rsidRDefault="00481A9C">
      <w:pPr>
        <w:pStyle w:val="3"/>
        <w:ind w:firstLine="643"/>
      </w:pPr>
      <w:r>
        <w:t>2.</w:t>
      </w:r>
      <w:r>
        <w:rPr>
          <w:rFonts w:hint="eastAsia"/>
        </w:rPr>
        <w:t>项目管理。</w:t>
      </w:r>
    </w:p>
    <w:p w:rsidR="00FC160C" w:rsidRDefault="00481A9C">
      <w:pPr>
        <w:ind w:firstLine="640"/>
      </w:pPr>
      <w:r>
        <w:rPr>
          <w:rFonts w:hint="eastAsia"/>
        </w:rPr>
        <w:t>本单位按照《财务管理规定》规定，2020年预算项目的设立、调整履行了规范的报批程序。涉及政府采购的项目，执行《采购管理办法》规定的采购程序，并按照货物类项目和服务类项目，采用既定的合同类型做好合同管理，采用既定的验收记录表做好验收管理。</w:t>
      </w:r>
    </w:p>
    <w:p w:rsidR="00FC160C" w:rsidRDefault="00481A9C">
      <w:pPr>
        <w:ind w:firstLine="640"/>
      </w:pPr>
      <w:r>
        <w:rPr>
          <w:rFonts w:hint="eastAsia"/>
        </w:rPr>
        <w:t>按照区财政局和盐田街道办的工作要求，本单位每季度分析项目预算资金执行进度，确保项目顺利开展。</w:t>
      </w:r>
    </w:p>
    <w:p w:rsidR="00FC160C" w:rsidRDefault="00481A9C">
      <w:pPr>
        <w:pStyle w:val="3"/>
        <w:ind w:firstLine="643"/>
      </w:pPr>
      <w:r>
        <w:t>3.</w:t>
      </w:r>
      <w:r>
        <w:rPr>
          <w:rFonts w:hint="eastAsia"/>
        </w:rPr>
        <w:t>资产管理。</w:t>
      </w:r>
    </w:p>
    <w:p w:rsidR="00FC160C" w:rsidRDefault="00481A9C">
      <w:pPr>
        <w:ind w:firstLine="640"/>
      </w:pPr>
      <w:r>
        <w:rPr>
          <w:rFonts w:hint="eastAsia"/>
        </w:rPr>
        <w:t>本单位的资产管理严格执行《财务管理规定》，遵守库存现金限额制度、银行结算及公务卡结算制度等，定期盘点库存现金、固定资产，定期清理应收款项和预付款项，保障单位资产配置合</w:t>
      </w:r>
      <w:r>
        <w:rPr>
          <w:rFonts w:hint="eastAsia"/>
        </w:rPr>
        <w:lastRenderedPageBreak/>
        <w:t>理、保管完整，账实相符，及时足额上缴资产有偿使用、处置收入，并加强对拨出经费使用的跟踪监督。</w:t>
      </w:r>
    </w:p>
    <w:p w:rsidR="00FC160C" w:rsidRDefault="00481A9C">
      <w:pPr>
        <w:ind w:firstLine="640"/>
      </w:pPr>
      <w:r>
        <w:rPr>
          <w:rFonts w:hint="eastAsia"/>
        </w:rPr>
        <w:t>2020年末，本单位固定资产原值总额275,758.00元，实际在用固定资产总额275,758.00元，利用率</w:t>
      </w:r>
      <w:r>
        <w:t>100%</w:t>
      </w:r>
      <w:r>
        <w:rPr>
          <w:rFonts w:hint="eastAsia"/>
        </w:rPr>
        <w:t>。</w:t>
      </w:r>
    </w:p>
    <w:p w:rsidR="00FC160C" w:rsidRDefault="00481A9C">
      <w:pPr>
        <w:pStyle w:val="3"/>
        <w:ind w:firstLine="643"/>
      </w:pPr>
      <w:r>
        <w:t>4.</w:t>
      </w:r>
      <w:r>
        <w:rPr>
          <w:rFonts w:hint="eastAsia"/>
        </w:rPr>
        <w:t>人员管理。</w:t>
      </w:r>
    </w:p>
    <w:p w:rsidR="00FC160C" w:rsidRDefault="00481A9C">
      <w:pPr>
        <w:ind w:firstLine="640"/>
      </w:pPr>
      <w:r>
        <w:rPr>
          <w:rFonts w:hint="eastAsia"/>
        </w:rPr>
        <w:t>截止2020年末，本单位编制总数</w:t>
      </w:r>
      <w:r>
        <w:t>7</w:t>
      </w:r>
      <w:r>
        <w:rPr>
          <w:rFonts w:hint="eastAsia"/>
        </w:rPr>
        <w:t>人，实有在编人数</w:t>
      </w:r>
      <w:r>
        <w:t>7</w:t>
      </w:r>
      <w:r>
        <w:rPr>
          <w:rFonts w:hint="eastAsia"/>
        </w:rPr>
        <w:t>人；使用劳务派遣人员人数（含直接聘用的编外人员）4人。财政供养人员控制率=7÷7×100%=100%，在编人员控制情况较好；编外人员控制率=4÷11×100%=36.36%，编外人员控制率偏高。</w:t>
      </w:r>
    </w:p>
    <w:p w:rsidR="00FC160C" w:rsidRDefault="00481A9C">
      <w:pPr>
        <w:pStyle w:val="3"/>
        <w:ind w:firstLine="643"/>
      </w:pPr>
      <w:r>
        <w:t>5.</w:t>
      </w:r>
      <w:r>
        <w:rPr>
          <w:rFonts w:hint="eastAsia"/>
        </w:rPr>
        <w:t>制度管理。</w:t>
      </w:r>
    </w:p>
    <w:p w:rsidR="00FC160C" w:rsidRDefault="00481A9C">
      <w:pPr>
        <w:ind w:firstLine="640"/>
        <w:rPr>
          <w:color w:val="FF0000"/>
        </w:rPr>
      </w:pPr>
      <w:r>
        <w:rPr>
          <w:rFonts w:hint="eastAsia"/>
        </w:rPr>
        <w:t>本单位是盐田街道办下设事业单位，执行盐田街道办相关制度，包括财务制度、采购制度、建设工程管理规定等</w:t>
      </w:r>
      <w:r>
        <w:rPr>
          <w:rFonts w:hint="eastAsia"/>
          <w:color w:val="auto"/>
        </w:rPr>
        <w:t>。</w:t>
      </w:r>
      <w:r>
        <w:rPr>
          <w:rFonts w:hint="eastAsia"/>
        </w:rPr>
        <w:t>2020年盐田街道办持续完善内控体系建设，已初步完成了内部控制制度汇编，今后本单位将继续执行盐田街道各项管理制度。</w:t>
      </w:r>
    </w:p>
    <w:p w:rsidR="00FC160C" w:rsidRDefault="00481A9C">
      <w:pPr>
        <w:pStyle w:val="1"/>
        <w:ind w:firstLine="640"/>
      </w:pPr>
      <w:r>
        <w:rPr>
          <w:rFonts w:hint="eastAsia"/>
        </w:rPr>
        <w:t>二、部门（单位）主要履职绩效分析</w:t>
      </w:r>
    </w:p>
    <w:p w:rsidR="00FC160C" w:rsidRDefault="00481A9C">
      <w:pPr>
        <w:pStyle w:val="20"/>
        <w:ind w:firstLine="643"/>
      </w:pPr>
      <w:r>
        <w:rPr>
          <w:rFonts w:hint="eastAsia"/>
        </w:rPr>
        <w:t>（一）主要履职目标</w:t>
      </w:r>
    </w:p>
    <w:p w:rsidR="00FC160C" w:rsidRDefault="00481A9C">
      <w:pPr>
        <w:ind w:firstLine="640"/>
      </w:pPr>
      <w:r>
        <w:rPr>
          <w:rFonts w:hint="eastAsia"/>
        </w:rPr>
        <w:t>在上级部门的关心下，街道党工委的重视下，各科室、各社区对社区房屋租赁工作的支持下，2020年本单位以网格化队伍改革为主线，以创新化思维为突破，以专项化行动为契机，以多元化主体参与为目标，坚持以人为本，持续、有序地开展各项综合性工作，做好房屋租赁管理、流动人口和出租屋综合管理。</w:t>
      </w:r>
    </w:p>
    <w:p w:rsidR="00FC160C" w:rsidRDefault="00481A9C">
      <w:pPr>
        <w:pStyle w:val="20"/>
        <w:ind w:firstLine="643"/>
      </w:pPr>
      <w:r>
        <w:rPr>
          <w:rFonts w:hint="eastAsia"/>
        </w:rPr>
        <w:lastRenderedPageBreak/>
        <w:t>（二）主要履职情况</w:t>
      </w:r>
    </w:p>
    <w:p w:rsidR="00FC160C" w:rsidRDefault="00481A9C">
      <w:pPr>
        <w:pStyle w:val="3"/>
        <w:ind w:firstLine="643"/>
      </w:pPr>
      <w:r>
        <w:t xml:space="preserve">1. </w:t>
      </w:r>
      <w:r>
        <w:rPr>
          <w:rFonts w:hint="eastAsia"/>
        </w:rPr>
        <w:t>筑牢“两个重点”，保证一线疫情基层防线。</w:t>
      </w:r>
    </w:p>
    <w:p w:rsidR="00FC160C" w:rsidRDefault="00481A9C">
      <w:pPr>
        <w:ind w:firstLine="640"/>
      </w:pPr>
      <w:r>
        <w:rPr>
          <w:rFonts w:hint="eastAsia"/>
        </w:rPr>
        <w:t>一是重点人员管控。动态掌控重点地区人员底册，保证人口数据及时准确。截至11月24日，100%完成实有人口104560人，湖北籍6456人（含武汉493人），港澳台928人、外国69人信息核实工作。24小时坚守待命，高效完成公安大数据推送人员的排查核实，累计完成5024人次，完成率100%。二是重点区域管控。重视常态化全民防控宣传引导，发挥小网格大作用。截至11月24日，日常巡查走访15个城中村、45个物业小区、4814家法人单位、248间集体宿舍，117856间次出租屋，开展常态化防疫巡查采集工作。</w:t>
      </w:r>
    </w:p>
    <w:p w:rsidR="00FC160C" w:rsidRDefault="00481A9C">
      <w:pPr>
        <w:pStyle w:val="3"/>
        <w:ind w:firstLine="643"/>
      </w:pPr>
      <w:r>
        <w:t>2.</w:t>
      </w:r>
      <w:r>
        <w:rPr>
          <w:rFonts w:hint="eastAsia"/>
        </w:rPr>
        <w:t>严抓“两个导向”，提升网格队伍软硬实力。</w:t>
      </w:r>
    </w:p>
    <w:p w:rsidR="00FC160C" w:rsidRDefault="00481A9C">
      <w:pPr>
        <w:ind w:firstLine="640"/>
      </w:pPr>
      <w:r>
        <w:rPr>
          <w:rFonts w:hint="eastAsia"/>
        </w:rPr>
        <w:t>一是以常态化督导为导向，跟踪管理核实“四实”质量。全年分配191个督查任务，抽查房屋2545间/套，抽查人数9913人，考核网格员563人次。二是以制度化建设为导向，巧用抓手提升队伍素质能力。完善《盐田街道网格管理工作督查问效实施细则》，建立《盐田街道社区网格员着装和日常行为规范细则》，以机制为抓手，以考核为渠道，以督导促提升，进一步提升网格员队伍素质。</w:t>
      </w:r>
    </w:p>
    <w:p w:rsidR="00FC160C" w:rsidRDefault="00481A9C">
      <w:pPr>
        <w:pStyle w:val="3"/>
        <w:ind w:firstLine="643"/>
      </w:pPr>
      <w:r>
        <w:t>3.</w:t>
      </w:r>
      <w:r>
        <w:rPr>
          <w:rFonts w:hint="eastAsia"/>
        </w:rPr>
        <w:t>探索“五联五融”，实现警网双融同频共振。</w:t>
      </w:r>
    </w:p>
    <w:p w:rsidR="00FC160C" w:rsidRDefault="00481A9C">
      <w:pPr>
        <w:ind w:firstLine="640"/>
      </w:pPr>
      <w:r>
        <w:rPr>
          <w:rFonts w:hint="eastAsia"/>
        </w:rPr>
        <w:t>一是以基础网格为底板推进警网融合。街道158个基础网格，</w:t>
      </w:r>
      <w:r>
        <w:rPr>
          <w:rFonts w:hint="eastAsia"/>
        </w:rPr>
        <w:lastRenderedPageBreak/>
        <w:t>以基础网格为底板，采取多对一方式匹配18个警格实现双格匹配，以管理共治、线上交流两平台为载体实现业务协同。二是建立“五联五融”制度。会商联席制度，加强组织研判，融合“三个统一”，做到“统一思想、统一指挥、统一调度”；人员联绑制度，实现业务协同，融汇“两个平台”，搭建“社区综合党委+多元社会主体”管理平台，“社区警长+网格长、警员+网格员”交流平台；数据联享制度，，增强信息质效，融贯“双网资源”，凭借网格“第一触角”及熟人优势快速进行信息采集，发挥警格权威和有效处置力量；联动联调制度，融通“神经末梢”，最大化实现隐患纠纷不出“格”；服务联体制度，融暖民心民意，开展“进社区、进家门”各类活动，打通基层服务“最后一公里”。三是齐抓共管初现成效。召开联商会议47次，开展行动215次，清查房屋3710间/套，排查人口12498人，走访企业322家，收集民意民情41宗，上报消防类安全隐患事件215宗，现场处置各类纠纷调解事件276宗。1-11月累计上报隐患信息4679宗，同比大幅下降56.92%。</w:t>
      </w:r>
    </w:p>
    <w:p w:rsidR="00FC160C" w:rsidRDefault="00481A9C">
      <w:pPr>
        <w:pStyle w:val="3"/>
        <w:ind w:firstLine="643"/>
      </w:pPr>
      <w:r>
        <w:rPr>
          <w:rFonts w:hint="eastAsia"/>
        </w:rPr>
        <w:t>4</w:t>
      </w:r>
      <w:r>
        <w:t>.</w:t>
      </w:r>
      <w:r>
        <w:rPr>
          <w:rFonts w:hint="eastAsia"/>
        </w:rPr>
        <w:t>围绕“中心主线”，助力街道重点工作落地有声。</w:t>
      </w:r>
    </w:p>
    <w:p w:rsidR="00FC160C" w:rsidRDefault="00481A9C">
      <w:pPr>
        <w:ind w:firstLine="640"/>
      </w:pPr>
      <w:r>
        <w:rPr>
          <w:rFonts w:hint="eastAsia"/>
        </w:rPr>
        <w:t>中心在街道党工委的统一部署下，主动作为，助推街道保质保量开展特别防护期安保、节前治安维稳、文明城市创建、人口普查等重点工作。网格队伍全力以赴保平安，发挥“3+1”（网格、警格、安格、消防员）联动作用，筑牢一线做好“深圳经济特区</w:t>
      </w:r>
      <w:r>
        <w:rPr>
          <w:rFonts w:hint="eastAsia"/>
        </w:rPr>
        <w:lastRenderedPageBreak/>
        <w:t>成立40周年”特别防护期安全隐患排查工作。专项部署节前排查，全员守护平安“双节”，以全覆盖、零死角、扫盲区为原则对在建工地、集体宿舍、“三小场所”、出租屋等重点场所开展摸底排查。发挥“宣传员、巡查员、劝导员、联络员”四员本色，覆盖10万多人居民群体，助力申报第六届全国文明城市创建工作胜利收官。建立联动机制，压实普查责任，形成横向到边、纵向到底的普查联动机制，推进人口普查工作扎实开展，圆满完成人口普查摸底工作，截至11月14日自主填报率超过97.42%，居民配合积极性高。各专项行动期间，累计排查4919间/套出租、1625家“三小场所”、30间集体宿舍、24个在建工地，采集上报1027宗安全隐患事件。</w:t>
      </w:r>
    </w:p>
    <w:p w:rsidR="00FC160C" w:rsidRDefault="00481A9C">
      <w:pPr>
        <w:pStyle w:val="3"/>
        <w:ind w:firstLine="643"/>
      </w:pPr>
      <w:r>
        <w:rPr>
          <w:rFonts w:hint="eastAsia"/>
        </w:rPr>
        <w:t>5</w:t>
      </w:r>
      <w:r>
        <w:t>.</w:t>
      </w:r>
      <w:r>
        <w:rPr>
          <w:rFonts w:hint="eastAsia"/>
        </w:rPr>
        <w:t>稳抓“四实主业”，完善基层网格社会治理模式。</w:t>
      </w:r>
    </w:p>
    <w:p w:rsidR="00FC160C" w:rsidRDefault="00481A9C" w:rsidP="00915E4A">
      <w:pPr>
        <w:pStyle w:val="20"/>
        <w:ind w:firstLine="640"/>
        <w:rPr>
          <w:rFonts w:ascii="仿宋_GB2312" w:eastAsia="仿宋_GB2312" w:hAnsi="Adobe 楷体 Std R"/>
          <w:b w:val="0"/>
        </w:rPr>
      </w:pPr>
      <w:r>
        <w:rPr>
          <w:rFonts w:ascii="仿宋_GB2312" w:eastAsia="仿宋_GB2312" w:hAnsi="Adobe 楷体 Std R" w:hint="eastAsia"/>
          <w:b w:val="0"/>
        </w:rPr>
        <w:t>一是全年“四实”信息采集准确有效。全年新采集人口信息34567条,同比涨幅84.42%；新注销人口信62585条，同比略降5.55%；新采集法人信息755条，新注销法人信息723条，形成鲜活、准确、动态的信息数据库，为街道各项决策提供基础数据依据。二是开展16项市、区下达网格综合管理专项行动。组织网格员开展岁末年初安全隐患大排查大整治专项行动，为“两节”“两会”创造和谐稳定的社会环境。有效启动“打通生命通道”消防安全专项整治、高空坠物隐患排查、电动自行车隐患排查、职业中介、教育校园、城市管理等各类专项行动，严抓“常态化</w:t>
      </w:r>
      <w:r>
        <w:rPr>
          <w:rFonts w:ascii="仿宋_GB2312" w:eastAsia="仿宋_GB2312" w:hAnsi="Adobe 楷体 Std R" w:hint="eastAsia"/>
          <w:b w:val="0"/>
        </w:rPr>
        <w:lastRenderedPageBreak/>
        <w:t>疫情防控”“目标性隐患排查”，保护居民生命财产安全，为居民创造安全稳定的社会环境。</w:t>
      </w:r>
    </w:p>
    <w:p w:rsidR="00FC160C" w:rsidRDefault="00481A9C">
      <w:pPr>
        <w:pStyle w:val="20"/>
        <w:ind w:firstLine="643"/>
      </w:pPr>
      <w:r>
        <w:rPr>
          <w:rFonts w:hint="eastAsia"/>
        </w:rPr>
        <w:t>（三）部门履职绩效情况。</w:t>
      </w:r>
    </w:p>
    <w:p w:rsidR="00FC160C" w:rsidRDefault="00481A9C">
      <w:pPr>
        <w:pStyle w:val="3"/>
        <w:ind w:firstLine="643"/>
        <w:rPr>
          <w:b w:val="0"/>
        </w:rPr>
      </w:pPr>
      <w:bookmarkStart w:id="0" w:name="_Toc2213957"/>
      <w:r>
        <w:t>1.</w:t>
      </w:r>
      <w:bookmarkEnd w:id="0"/>
      <w:r>
        <w:rPr>
          <w:rFonts w:hint="eastAsia"/>
        </w:rPr>
        <w:t>预算使用经济性。</w:t>
      </w:r>
    </w:p>
    <w:p w:rsidR="00FC160C" w:rsidRDefault="00481A9C">
      <w:pPr>
        <w:ind w:firstLine="640"/>
      </w:pPr>
      <w:r>
        <w:rPr>
          <w:rFonts w:hint="eastAsia"/>
        </w:rPr>
        <w:t>预算使用经济性主要考察公用经费使用情况。本单位2020年公用经费支出未超预算。年初无“三公”经费预算安排，实际未发生支出；日常公用经费年初预算安排183,421.03元，年度调整预算数为183,421.03元，实际支出数183,333.33元。日常公用经费控制率=183,333.33÷183,421.03×100%=99.95%，日常公用经费支出未超过预算数，反映出部门对机构运行成本的实际控制程度良好。</w:t>
      </w:r>
    </w:p>
    <w:p w:rsidR="00FC160C" w:rsidRDefault="00481A9C">
      <w:pPr>
        <w:pStyle w:val="3"/>
        <w:ind w:firstLine="643"/>
        <w:rPr>
          <w:b w:val="0"/>
        </w:rPr>
      </w:pPr>
      <w:r>
        <w:t>2.</w:t>
      </w:r>
      <w:r>
        <w:rPr>
          <w:rFonts w:hint="eastAsia"/>
        </w:rPr>
        <w:t>预算使用效率性。</w:t>
      </w:r>
    </w:p>
    <w:p w:rsidR="00FC160C" w:rsidRDefault="00481A9C">
      <w:pPr>
        <w:ind w:firstLine="640"/>
      </w:pPr>
      <w:r>
        <w:rPr>
          <w:rFonts w:hint="eastAsia"/>
        </w:rPr>
        <w:t>预算使用效率性主要考察重点工作任务完成情况和预算项目完成及时性。本单位积极推进全年预算项目，落实履职目标。根据项目支出绩效申请表的工作目标和要求，完成了全年绩效目标，包括投入目标、产出目标和效益目标。从预算执行情况看，本单位全年四个季度的预算执行率分别为146.69%、124.64%、113.42%、98.09%，全年平均执行率为120.71%。</w:t>
      </w:r>
    </w:p>
    <w:p w:rsidR="00FC160C" w:rsidRDefault="00481A9C">
      <w:pPr>
        <w:pStyle w:val="3"/>
        <w:ind w:firstLine="643"/>
        <w:rPr>
          <w:b w:val="0"/>
        </w:rPr>
      </w:pPr>
      <w:r>
        <w:t>3.</w:t>
      </w:r>
      <w:r>
        <w:rPr>
          <w:rFonts w:hint="eastAsia"/>
        </w:rPr>
        <w:t>预算使用效果性。</w:t>
      </w:r>
    </w:p>
    <w:p w:rsidR="00FC160C" w:rsidRDefault="00481A9C">
      <w:pPr>
        <w:ind w:firstLine="640"/>
      </w:pPr>
      <w:r>
        <w:rPr>
          <w:rFonts w:hint="eastAsia"/>
        </w:rPr>
        <w:t>预算使用效果性主要是部门履职对经济发展、社会发展所带来的直接或间接影响。从年初设定的绩效目标看，完成情况良好。</w:t>
      </w:r>
    </w:p>
    <w:p w:rsidR="00FC160C" w:rsidRDefault="00481A9C" w:rsidP="004C0DF6">
      <w:pPr>
        <w:ind w:firstLine="643"/>
      </w:pPr>
      <w:r>
        <w:rPr>
          <w:rFonts w:hint="eastAsia"/>
          <w:b/>
          <w:bCs/>
        </w:rPr>
        <w:lastRenderedPageBreak/>
        <w:t>一是</w:t>
      </w:r>
      <w:r>
        <w:rPr>
          <w:rFonts w:hint="eastAsia"/>
        </w:rPr>
        <w:t>网格化管理宣传覆盖面有所提升，2020年开展2次以上围绕网格化管理（新型冠状肺炎疫情防控宣传、居住自主义务申报、基层</w:t>
      </w:r>
      <w:r w:rsidR="00546D96">
        <w:rPr>
          <w:rFonts w:hint="eastAsia"/>
        </w:rPr>
        <w:t>共建共治</w:t>
      </w:r>
      <w:r>
        <w:rPr>
          <w:rFonts w:hint="eastAsia"/>
        </w:rPr>
        <w:t>共享等内容）的宣传活动。</w:t>
      </w:r>
      <w:r>
        <w:rPr>
          <w:rFonts w:hint="eastAsia"/>
          <w:b/>
          <w:bCs/>
        </w:rPr>
        <w:t>二是</w:t>
      </w:r>
      <w:r>
        <w:rPr>
          <w:rFonts w:hint="eastAsia"/>
        </w:rPr>
        <w:t>社会组织参与共治参与度有所提升，2020年定时更新楼（栋）长信息，发挥网格员基层协调交流作用，紧密联系辖区楼（栋）长骨干人员、自主管理点负责人，提高街道社会组织共建共治</w:t>
      </w:r>
      <w:r w:rsidR="00546D96">
        <w:rPr>
          <w:rFonts w:hint="eastAsia"/>
        </w:rPr>
        <w:t>共享</w:t>
      </w:r>
      <w:r>
        <w:rPr>
          <w:rFonts w:hint="eastAsia"/>
        </w:rPr>
        <w:t>水平。</w:t>
      </w:r>
      <w:r>
        <w:rPr>
          <w:rFonts w:hint="eastAsia"/>
          <w:b/>
          <w:bCs/>
        </w:rPr>
        <w:t>三是</w:t>
      </w:r>
      <w:r>
        <w:rPr>
          <w:rFonts w:hint="eastAsia"/>
        </w:rPr>
        <w:t>网格员队伍正规形象有所提升，2020年开展1次网格员综合业务培训,保证网格员队伍理论知识、实操能力均衡发展，结合统一集体培训、日常入户指导、定期社区调研走访三大手段，提升各站网格员自律意识、素质水平和业务能力；根据市综治委、社工委《关于进一步加强社区网格化管理工作的意见（试行）》（深综治委〔2013〕18号）有关“全市网格员逐步实行统一称谓标识”的规定，盐田街道网格管理中心为176名基层协管人员配备冬夏装制服，有效保证辖区全体网格员统一着装，塑造精干、正规的队伍形象，方便网格员入户采集信息，塑造政府正规专业服务形象，提高了辖区居民对网格员的信任和认可。</w:t>
      </w:r>
      <w:r>
        <w:rPr>
          <w:rFonts w:hint="eastAsia"/>
          <w:b/>
          <w:bCs/>
        </w:rPr>
        <w:t>四是</w:t>
      </w:r>
      <w:r>
        <w:rPr>
          <w:rFonts w:hint="eastAsia"/>
        </w:rPr>
        <w:t>常态化深入基层宣传到位，营造良好</w:t>
      </w:r>
      <w:r w:rsidR="004C0DF6" w:rsidRPr="00B62753">
        <w:t>共</w:t>
      </w:r>
      <w:r w:rsidR="004C0DF6" w:rsidRPr="004C0DF6">
        <w:t>建共治共享</w:t>
      </w:r>
      <w:r>
        <w:rPr>
          <w:rFonts w:hint="eastAsia"/>
        </w:rPr>
        <w:t>氛围，2020年组织网格员发放29730份等相关宣传资料，拉近群众距离，鼓励全民参与辖区平安创建。</w:t>
      </w:r>
    </w:p>
    <w:p w:rsidR="00FC160C" w:rsidRDefault="00481A9C">
      <w:pPr>
        <w:pStyle w:val="3"/>
        <w:ind w:firstLine="643"/>
        <w:rPr>
          <w:b w:val="0"/>
        </w:rPr>
      </w:pPr>
      <w:r>
        <w:t>4.</w:t>
      </w:r>
      <w:r>
        <w:rPr>
          <w:rFonts w:hint="eastAsia"/>
        </w:rPr>
        <w:t>预算使用公平性。</w:t>
      </w:r>
    </w:p>
    <w:p w:rsidR="00FC160C" w:rsidRDefault="00481A9C">
      <w:pPr>
        <w:ind w:firstLine="640"/>
      </w:pPr>
      <w:r>
        <w:rPr>
          <w:rFonts w:hint="eastAsia"/>
        </w:rPr>
        <w:t>预算使用公平性主要考察群众信访办理情况和服务对象满</w:t>
      </w:r>
      <w:r>
        <w:rPr>
          <w:rFonts w:hint="eastAsia"/>
        </w:rPr>
        <w:lastRenderedPageBreak/>
        <w:t>意度。</w:t>
      </w:r>
    </w:p>
    <w:p w:rsidR="00FC160C" w:rsidRDefault="00481A9C">
      <w:pPr>
        <w:ind w:firstLine="640"/>
        <w:rPr>
          <w:color w:val="auto"/>
        </w:rPr>
      </w:pPr>
      <w:r>
        <w:rPr>
          <w:rFonts w:hint="eastAsia"/>
        </w:rPr>
        <w:t>群众信访处理方面。群众信访机制以街道本级为准，街道设立了监督投诉电话，建立了电话、来访、网上信访等咨询投诉渠道，制定了信访处理工作管理制度，严格按制度流程执行。</w:t>
      </w:r>
      <w:r>
        <w:rPr>
          <w:rFonts w:hint="eastAsia"/>
          <w:color w:val="auto"/>
        </w:rPr>
        <w:t>在公众满意度数据方面，针对辖区居民、临聘人员、网格员开展了满意度调查，均达到了年初设定的目标值。</w:t>
      </w:r>
    </w:p>
    <w:p w:rsidR="00FC160C" w:rsidRDefault="00481A9C">
      <w:pPr>
        <w:pStyle w:val="af1"/>
        <w:ind w:firstLine="643"/>
      </w:pPr>
      <w:r>
        <w:rPr>
          <w:rFonts w:hint="eastAsia"/>
        </w:rPr>
        <w:t>（四）中央直达资金、应对新冠肺炎疫情防控资金绩效情况。</w:t>
      </w:r>
    </w:p>
    <w:p w:rsidR="00FC160C" w:rsidRDefault="00481A9C" w:rsidP="00915E4A">
      <w:pPr>
        <w:pStyle w:val="2"/>
        <w:ind w:firstLine="640"/>
        <w:rPr>
          <w:rFonts w:ascii="仿宋_GB2312" w:hAnsi="Adobe 楷体 Std R"/>
          <w:szCs w:val="32"/>
        </w:rPr>
      </w:pPr>
      <w:r>
        <w:rPr>
          <w:rFonts w:ascii="仿宋_GB2312" w:hAnsi="Adobe 楷体 Std R" w:hint="eastAsia"/>
          <w:szCs w:val="32"/>
        </w:rPr>
        <w:t>2020年，本单位无中央直达资金，应对新冠肺炎疫情防控资金以盐田街道办实际开展情况为准</w:t>
      </w:r>
      <w:bookmarkStart w:id="1" w:name="_GoBack"/>
      <w:bookmarkEnd w:id="1"/>
      <w:r>
        <w:rPr>
          <w:rFonts w:ascii="仿宋_GB2312" w:hAnsi="Adobe 楷体 Std R" w:hint="eastAsia"/>
          <w:szCs w:val="32"/>
        </w:rPr>
        <w:t>。</w:t>
      </w:r>
    </w:p>
    <w:p w:rsidR="00FC160C" w:rsidRDefault="00481A9C">
      <w:pPr>
        <w:pStyle w:val="1"/>
        <w:ind w:firstLine="640"/>
      </w:pPr>
      <w:r>
        <w:rPr>
          <w:rFonts w:hint="eastAsia"/>
        </w:rPr>
        <w:t>三、总体评价和整改措施</w:t>
      </w:r>
    </w:p>
    <w:p w:rsidR="00FC160C" w:rsidRDefault="00481A9C">
      <w:pPr>
        <w:pStyle w:val="20"/>
        <w:ind w:firstLine="643"/>
      </w:pPr>
      <w:r>
        <w:rPr>
          <w:rFonts w:hint="eastAsia"/>
        </w:rPr>
        <w:t>（一）预算绩效管理工作主要经验、做法。</w:t>
      </w:r>
    </w:p>
    <w:p w:rsidR="00FC160C" w:rsidRDefault="00481A9C">
      <w:pPr>
        <w:pStyle w:val="3"/>
        <w:ind w:firstLine="643"/>
        <w:rPr>
          <w:b w:val="0"/>
        </w:rPr>
      </w:pPr>
      <w:r>
        <w:t>1.</w:t>
      </w:r>
      <w:r>
        <w:rPr>
          <w:rFonts w:hint="eastAsia"/>
        </w:rPr>
        <w:t>逐步加强绩效目标管理。</w:t>
      </w:r>
    </w:p>
    <w:p w:rsidR="00FC160C" w:rsidRDefault="00481A9C">
      <w:pPr>
        <w:ind w:firstLine="640"/>
      </w:pPr>
      <w:r>
        <w:rPr>
          <w:rFonts w:hint="eastAsia"/>
        </w:rPr>
        <w:t>2020年，本单位按照上级部门和财政部门的预算编报要求，针对所有年初预算项目编制项目绩效目标表，明确了资金投入、产出目标、效益目标，设定的绩效指标具体、可衡量、可达成，符合本单位工作实际，能够体现单位履职效果，同时明确了完成期限。设定合理的绩效目标强化了对项目执行的约束，为项目绩效评价提供了重要参考依据。</w:t>
      </w:r>
    </w:p>
    <w:p w:rsidR="00FC160C" w:rsidRDefault="00481A9C">
      <w:pPr>
        <w:pStyle w:val="3"/>
        <w:ind w:firstLine="643"/>
        <w:rPr>
          <w:b w:val="0"/>
        </w:rPr>
      </w:pPr>
      <w:r>
        <w:t>2.</w:t>
      </w:r>
      <w:r>
        <w:rPr>
          <w:rFonts w:hint="eastAsia"/>
        </w:rPr>
        <w:t>合理调整或调剂预算。</w:t>
      </w:r>
    </w:p>
    <w:p w:rsidR="00FC160C" w:rsidRDefault="00481A9C">
      <w:pPr>
        <w:ind w:firstLine="640"/>
      </w:pPr>
      <w:r>
        <w:rPr>
          <w:rFonts w:hint="eastAsia"/>
        </w:rPr>
        <w:t>本单位根据支出情况，按照《财务管理规定》有关规定履行了调整程序，合理地对预算进行调整和调剂，满足了业务支出需</w:t>
      </w:r>
      <w:r>
        <w:rPr>
          <w:rFonts w:hint="eastAsia"/>
        </w:rPr>
        <w:lastRenderedPageBreak/>
        <w:t>求，保障了全年预算项目顺利开展，同时强化了预算执行，预算执行率达</w:t>
      </w:r>
      <w:r>
        <w:t>9</w:t>
      </w:r>
      <w:r>
        <w:rPr>
          <w:rFonts w:hint="eastAsia"/>
        </w:rPr>
        <w:t>8</w:t>
      </w:r>
      <w:r>
        <w:t>.</w:t>
      </w:r>
      <w:r>
        <w:rPr>
          <w:rFonts w:hint="eastAsia"/>
        </w:rPr>
        <w:t>09</w:t>
      </w:r>
      <w:r>
        <w:t>%</w:t>
      </w:r>
      <w:r>
        <w:rPr>
          <w:rFonts w:hint="eastAsia"/>
        </w:rPr>
        <w:t>。</w:t>
      </w:r>
    </w:p>
    <w:p w:rsidR="00FC160C" w:rsidRDefault="00481A9C">
      <w:pPr>
        <w:pStyle w:val="3"/>
        <w:ind w:firstLine="643"/>
        <w:rPr>
          <w:b w:val="0"/>
        </w:rPr>
      </w:pPr>
      <w:r>
        <w:t>3.</w:t>
      </w:r>
      <w:r>
        <w:rPr>
          <w:rFonts w:hint="eastAsia"/>
        </w:rPr>
        <w:t>主动公开预决算，接受公众监督。</w:t>
      </w:r>
    </w:p>
    <w:p w:rsidR="00FC160C" w:rsidRDefault="00481A9C">
      <w:pPr>
        <w:ind w:firstLine="640"/>
      </w:pPr>
      <w:r>
        <w:rPr>
          <w:rFonts w:hint="eastAsia"/>
        </w:rPr>
        <w:t>按照《中华人民共和国政府信息公开条例》要求，本单位按照标准格式主动将2020年经费预算信息报盐田街道办汇总进行公开。本单位还将及时主动向盐田街道办报送2020年决算信息，接受公众监督，以进一步完善单位业务服务能力，提高预决算水平。</w:t>
      </w:r>
    </w:p>
    <w:p w:rsidR="00FC160C" w:rsidRDefault="00481A9C">
      <w:pPr>
        <w:pStyle w:val="20"/>
        <w:ind w:firstLine="643"/>
      </w:pPr>
      <w:r>
        <w:rPr>
          <w:rFonts w:hint="eastAsia"/>
        </w:rPr>
        <w:t>（二）部门整体支出绩效存在问题及改进措施。</w:t>
      </w:r>
    </w:p>
    <w:p w:rsidR="00FC160C" w:rsidRDefault="00481A9C">
      <w:pPr>
        <w:ind w:firstLine="640"/>
      </w:pPr>
      <w:r>
        <w:rPr>
          <w:rFonts w:hint="eastAsia"/>
          <w:bCs/>
        </w:rPr>
        <w:t>存在问题：</w:t>
      </w:r>
      <w:r>
        <w:rPr>
          <w:rFonts w:hint="eastAsia"/>
          <w:b/>
        </w:rPr>
        <w:t>一是人员管理有待加强。</w:t>
      </w:r>
      <w:r>
        <w:rPr>
          <w:rFonts w:hint="eastAsia"/>
        </w:rPr>
        <w:t>根据人员实际情况，依据《部门整体支出绩效自评表（2020年）》，</w:t>
      </w:r>
      <w:r>
        <w:rPr>
          <w:rFonts w:hAnsi="楷体_GB2312" w:cs="楷体_GB2312" w:hint="eastAsia"/>
          <w:bCs/>
        </w:rPr>
        <w:t>编外人员控制率</w:t>
      </w:r>
      <w:r>
        <w:rPr>
          <w:rFonts w:hint="eastAsia"/>
        </w:rPr>
        <w:t>36.36%</w:t>
      </w:r>
      <w:r>
        <w:rPr>
          <w:rFonts w:hAnsi="楷体_GB2312" w:cs="楷体_GB2312" w:hint="eastAsia"/>
          <w:bCs/>
        </w:rPr>
        <w:t>，比例高于自评表评分规则规定的比例。</w:t>
      </w:r>
      <w:r>
        <w:rPr>
          <w:rFonts w:hint="eastAsia"/>
          <w:b/>
        </w:rPr>
        <w:t>二是</w:t>
      </w:r>
      <w:r>
        <w:t>绩效指标有待</w:t>
      </w:r>
      <w:r>
        <w:rPr>
          <w:rFonts w:hint="eastAsia"/>
        </w:rPr>
        <w:t>优化</w:t>
      </w:r>
      <w:r>
        <w:t>。</w:t>
      </w:r>
      <w:r>
        <w:rPr>
          <w:rFonts w:hint="eastAsia"/>
        </w:rPr>
        <w:t>根据该项目的“项目支出绩效目标表”该项目绩效指标未将绩效目标细化分解为具体的绩效指标，表中多为文字表述，没有清晰、可衡量的指标，不符合绩效指标设置的</w:t>
      </w:r>
      <w:r>
        <w:t>SMART原则</w:t>
      </w:r>
      <w:r>
        <w:rPr>
          <w:rFonts w:hint="eastAsia"/>
        </w:rPr>
        <w:t>。</w:t>
      </w:r>
    </w:p>
    <w:p w:rsidR="00FC160C" w:rsidRDefault="00481A9C">
      <w:pPr>
        <w:ind w:firstLine="640"/>
      </w:pPr>
      <w:r>
        <w:rPr>
          <w:rFonts w:hint="eastAsia"/>
        </w:rPr>
        <w:t>改进措施：</w:t>
      </w:r>
      <w:r>
        <w:rPr>
          <w:rFonts w:hint="eastAsia"/>
          <w:b/>
        </w:rPr>
        <w:t>一是</w:t>
      </w:r>
      <w:r>
        <w:rPr>
          <w:rFonts w:hint="eastAsia"/>
        </w:rPr>
        <w:t>依据部门工作任务，全面梳理人员情况，按照岗位控制必须的编外人员，对编外人员实行准编制化管理，确保编外人员管理、使用规范有序，并最大限度维护编外人员权益；</w:t>
      </w:r>
      <w:r>
        <w:rPr>
          <w:rFonts w:hint="eastAsia"/>
          <w:b/>
        </w:rPr>
        <w:t>二是</w:t>
      </w:r>
      <w:r>
        <w:rPr>
          <w:rFonts w:hint="eastAsia"/>
        </w:rPr>
        <w:t>进一步规范绩效指标的设置，满足指标设置要求</w:t>
      </w:r>
      <w:r>
        <w:rPr>
          <w:rFonts w:hint="eastAsia"/>
          <w:b/>
          <w:bCs/>
        </w:rPr>
        <w:t>。</w:t>
      </w:r>
      <w:r>
        <w:rPr>
          <w:rFonts w:hint="eastAsia"/>
        </w:rPr>
        <w:t>根据绩效指标设置的</w:t>
      </w:r>
      <w:r>
        <w:t>SMART原则，指标的设置需要具备</w:t>
      </w:r>
      <w:r>
        <w:t>“</w:t>
      </w:r>
      <w:r>
        <w:t>具体的、可衡量的、可达到的、有一定相关性、有期限的</w:t>
      </w:r>
      <w:r>
        <w:t>”</w:t>
      </w:r>
      <w:r>
        <w:t>五项条件。建议在之</w:t>
      </w:r>
      <w:r>
        <w:lastRenderedPageBreak/>
        <w:t>后的绩效目标编报和绩效指标设置工作中，将项目绩效目标细化分解为具体的绩效指标，通过具体的、清晰、可衡量的指标值予以呈现</w:t>
      </w:r>
      <w:r>
        <w:rPr>
          <w:rFonts w:hint="eastAsia"/>
        </w:rPr>
        <w:t>。</w:t>
      </w:r>
    </w:p>
    <w:p w:rsidR="00FC160C" w:rsidRDefault="00481A9C">
      <w:pPr>
        <w:pStyle w:val="20"/>
        <w:ind w:firstLine="643"/>
      </w:pPr>
      <w:r>
        <w:rPr>
          <w:rFonts w:hint="eastAsia"/>
        </w:rPr>
        <w:t>（三）后续工作计划、相关建议等。</w:t>
      </w:r>
    </w:p>
    <w:p w:rsidR="00FC160C" w:rsidRDefault="00481A9C">
      <w:pPr>
        <w:ind w:firstLine="640"/>
      </w:pPr>
      <w:r>
        <w:rPr>
          <w:rFonts w:hint="eastAsia"/>
        </w:rPr>
        <w:t>根据2020年业务开展情况，结合本次绩效自评情况，本单位依据单位职责，进一步细化工作任务，强化履职绩效。</w:t>
      </w:r>
      <w:r>
        <w:rPr>
          <w:rFonts w:hAnsi="仿宋_GB2312" w:cs="仿宋_GB2312" w:hint="eastAsia"/>
        </w:rPr>
        <w:t>2021年巧用</w:t>
      </w:r>
      <w:r>
        <w:rPr>
          <w:rFonts w:hint="eastAsia"/>
        </w:rPr>
        <w:t>网格队伍“绣花针”贯穿于网格内精准服务、社会共治、信息共享等多元化内容，根据市区统一部署，推进“六个转变”，构建从“服务-治理-核实-劝导-分类-服务”的闭环式内循环模式，助力我区社会治理提质增效。初步制定工作计划和相关建议如下：</w:t>
      </w:r>
    </w:p>
    <w:p w:rsidR="00FC160C" w:rsidRDefault="00481A9C">
      <w:pPr>
        <w:pStyle w:val="3"/>
        <w:ind w:firstLine="643"/>
      </w:pPr>
      <w:r>
        <w:t xml:space="preserve">1. </w:t>
      </w:r>
      <w:r>
        <w:rPr>
          <w:rFonts w:hint="eastAsia"/>
        </w:rPr>
        <w:t>从“网格管理”向“网格服务”转变。</w:t>
      </w:r>
    </w:p>
    <w:p w:rsidR="00FC160C" w:rsidRDefault="00481A9C">
      <w:pPr>
        <w:ind w:firstLine="640"/>
      </w:pPr>
      <w:r>
        <w:rPr>
          <w:rFonts w:hint="eastAsia"/>
        </w:rPr>
        <w:t>以“人民为中心” 的</w:t>
      </w:r>
      <w:r>
        <w:t>思想</w:t>
      </w:r>
      <w:r>
        <w:rPr>
          <w:rFonts w:hint="eastAsia"/>
        </w:rPr>
        <w:t>，</w:t>
      </w:r>
      <w:r>
        <w:t>增强网格的社会服务</w:t>
      </w:r>
      <w:r>
        <w:rPr>
          <w:rFonts w:hint="eastAsia"/>
        </w:rPr>
        <w:t>职能</w:t>
      </w:r>
      <w:r>
        <w:t>，寓管理于服务</w:t>
      </w:r>
      <w:r>
        <w:rPr>
          <w:rFonts w:hint="eastAsia"/>
        </w:rPr>
        <w:t>之中</w:t>
      </w:r>
      <w:r>
        <w:t>，充分发挥网格员队伍</w:t>
      </w:r>
      <w:r>
        <w:rPr>
          <w:rFonts w:hint="eastAsia"/>
        </w:rPr>
        <w:t>“社区事务官”的</w:t>
      </w:r>
      <w:r>
        <w:t>角色，</w:t>
      </w:r>
      <w:r>
        <w:rPr>
          <w:rFonts w:hint="eastAsia"/>
        </w:rPr>
        <w:t>将</w:t>
      </w:r>
      <w:r>
        <w:t>社区服务和党建工作下沉，</w:t>
      </w:r>
      <w:r>
        <w:rPr>
          <w:rFonts w:hint="eastAsia"/>
        </w:rPr>
        <w:t>把</w:t>
      </w:r>
      <w:r>
        <w:t>党建、民政、残联、劳动保障、人口计生、邻里纠纷、安监隐患、综合治理等公共服务事宜渗透到群众身边</w:t>
      </w:r>
      <w:r>
        <w:rPr>
          <w:rFonts w:hint="eastAsia"/>
        </w:rPr>
        <w:t>，做到</w:t>
      </w:r>
      <w:r>
        <w:t>第一时间</w:t>
      </w:r>
      <w:r>
        <w:rPr>
          <w:rFonts w:hint="eastAsia"/>
        </w:rPr>
        <w:t>掌握</w:t>
      </w:r>
      <w:r>
        <w:t>发现</w:t>
      </w:r>
      <w:r>
        <w:rPr>
          <w:rFonts w:hint="eastAsia"/>
        </w:rPr>
        <w:t>、第一时间</w:t>
      </w:r>
      <w:r>
        <w:t>协调处理</w:t>
      </w:r>
      <w:r>
        <w:rPr>
          <w:rFonts w:hint="eastAsia"/>
        </w:rPr>
        <w:t>、第一时间提供服务咨询。</w:t>
      </w:r>
    </w:p>
    <w:p w:rsidR="00FC160C" w:rsidRDefault="00481A9C">
      <w:pPr>
        <w:pStyle w:val="3"/>
        <w:ind w:firstLine="643"/>
      </w:pPr>
      <w:r>
        <w:t xml:space="preserve">2. </w:t>
      </w:r>
      <w:r>
        <w:rPr>
          <w:rFonts w:hint="eastAsia"/>
        </w:rPr>
        <w:t>从“管理模式”向“治理模式”转变。</w:t>
      </w:r>
    </w:p>
    <w:p w:rsidR="00FC160C" w:rsidRPr="004C0DF6" w:rsidRDefault="00481A9C" w:rsidP="004C0DF6">
      <w:pPr>
        <w:ind w:firstLine="640"/>
        <w:rPr>
          <w:rFonts w:ascii="Calibri" w:eastAsia="宋体" w:hAnsi="Calibri" w:cs="宋体"/>
          <w:kern w:val="0"/>
          <w:sz w:val="22"/>
          <w:szCs w:val="22"/>
        </w:rPr>
      </w:pPr>
      <w:r>
        <w:rPr>
          <w:rFonts w:hint="eastAsia"/>
        </w:rPr>
        <w:t>中心要善于主动调动网格内企业的力量、社会组织的力量，积极开展引导，形成社会合力，推动多元治理，实现以“管理”</w:t>
      </w:r>
      <w:r>
        <w:rPr>
          <w:rFonts w:hint="eastAsia"/>
        </w:rPr>
        <w:lastRenderedPageBreak/>
        <w:t>为主要目的的传统模式向“多元治理、</w:t>
      </w:r>
      <w:r w:rsidR="004C0DF6" w:rsidRPr="004C0DF6">
        <w:t>共建共治共享</w:t>
      </w:r>
      <w:r>
        <w:rPr>
          <w:rFonts w:hint="eastAsia"/>
        </w:rPr>
        <w:t>的新模式”转变。</w:t>
      </w:r>
    </w:p>
    <w:p w:rsidR="00FC160C" w:rsidRDefault="00481A9C">
      <w:pPr>
        <w:pStyle w:val="3"/>
        <w:ind w:firstLine="643"/>
      </w:pPr>
      <w:r>
        <w:t>3.</w:t>
      </w:r>
      <w:r>
        <w:rPr>
          <w:rFonts w:hint="eastAsia"/>
        </w:rPr>
        <w:t>从“信息采集”向“信息核实”转变。</w:t>
      </w:r>
    </w:p>
    <w:p w:rsidR="00FC160C" w:rsidRDefault="00481A9C">
      <w:pPr>
        <w:ind w:firstLine="640"/>
      </w:pPr>
      <w:r>
        <w:rPr>
          <w:rFonts w:hint="eastAsia"/>
        </w:rPr>
        <w:t>在解决信息孤岛问题基础上，网格工作可以通过结合其他部门数据比对、交换，先占有数据“底数”，再利用块数据体系将数据自上而下推送给一线网格员进行核实，实现网格员从信息采集到信息核实转变，助推自主申报工作落到实处。</w:t>
      </w:r>
    </w:p>
    <w:p w:rsidR="00FC160C" w:rsidRDefault="00481A9C">
      <w:pPr>
        <w:pStyle w:val="3"/>
        <w:ind w:firstLine="643"/>
      </w:pPr>
      <w:r>
        <w:t>4.</w:t>
      </w:r>
      <w:r>
        <w:rPr>
          <w:rFonts w:hint="eastAsia"/>
        </w:rPr>
        <w:t>从“隐患上报”向“安全劝导”转变。</w:t>
      </w:r>
    </w:p>
    <w:p w:rsidR="00FC160C" w:rsidRDefault="00481A9C">
      <w:pPr>
        <w:ind w:firstLine="640"/>
      </w:pPr>
      <w:r>
        <w:rPr>
          <w:rFonts w:hint="eastAsia"/>
        </w:rPr>
        <w:t>网格员在日常巡查过程中发现安全隐患，要先开展安全劝导，并告知风险及相应法律后果，引导居民或企业自主消除隐患，未达成效果的，再上报系统进行督办。</w:t>
      </w:r>
    </w:p>
    <w:p w:rsidR="00FC160C" w:rsidRDefault="00481A9C">
      <w:pPr>
        <w:pStyle w:val="3"/>
        <w:ind w:firstLine="643"/>
      </w:pPr>
      <w:r>
        <w:rPr>
          <w:rFonts w:hint="eastAsia"/>
        </w:rPr>
        <w:t>5</w:t>
      </w:r>
      <w:r>
        <w:t>.</w:t>
      </w:r>
      <w:r>
        <w:rPr>
          <w:rFonts w:hint="eastAsia"/>
        </w:rPr>
        <w:t>从“掌握数据”向“提供服务”转变。</w:t>
      </w:r>
    </w:p>
    <w:p w:rsidR="00FC160C" w:rsidRDefault="00481A9C">
      <w:pPr>
        <w:ind w:firstLine="640"/>
      </w:pPr>
      <w:r>
        <w:rPr>
          <w:rFonts w:hint="eastAsia"/>
        </w:rPr>
        <w:t>要充分利用数据碰撞分析的方法，让“数据再生应用”，找出服务管理、综合治理的对象和事项。比如，一个陌生人来到盐田，我们可以通过块数据体系将信息落到具体的网格，快捷有效掌握陌生人的姓名、性别、身份证号码、住址及有关背景信息，并推送给涉及到的一个或多个具体责任人，情况互通、形成合力，进一步提升社会治理精细化水平。</w:t>
      </w:r>
    </w:p>
    <w:p w:rsidR="00FC160C" w:rsidRDefault="00481A9C">
      <w:pPr>
        <w:pStyle w:val="3"/>
        <w:ind w:firstLine="643"/>
      </w:pPr>
      <w:r>
        <w:rPr>
          <w:rFonts w:hint="eastAsia"/>
        </w:rPr>
        <w:t>6</w:t>
      </w:r>
      <w:r>
        <w:t>.</w:t>
      </w:r>
      <w:r>
        <w:rPr>
          <w:rFonts w:ascii="楷体" w:eastAsia="楷体" w:hAnsi="楷体" w:cs="楷体" w:hint="eastAsia"/>
          <w:b w:val="0"/>
          <w:bCs w:val="0"/>
        </w:rPr>
        <w:t>从“基础要素”向“精确分类”转变</w:t>
      </w:r>
      <w:r>
        <w:rPr>
          <w:rFonts w:hint="eastAsia"/>
        </w:rPr>
        <w:t>。</w:t>
      </w:r>
    </w:p>
    <w:p w:rsidR="00FC160C" w:rsidRDefault="00481A9C">
      <w:pPr>
        <w:ind w:firstLine="640"/>
      </w:pPr>
      <w:r>
        <w:rPr>
          <w:rFonts w:hint="eastAsia"/>
        </w:rPr>
        <w:t>以法治化、社会化、智能化、标准化为着力点，把精细化管理的理念、手段和要求贯彻落实到网格管理实践中，扎实做好网</w:t>
      </w:r>
      <w:r>
        <w:rPr>
          <w:rFonts w:hint="eastAsia"/>
        </w:rPr>
        <w:lastRenderedPageBreak/>
        <w:t>格精细化管理各项工作。如按照全市房屋分类标准，在出租屋分级分类管理上开拓进取，通过网格员与楼栋长建立亲密“合作伙伴”关系，依托业主，物业，公司法人等其他社会力量，对出租屋和居住人员进行信息核实和综合管理，提高出租屋综管工作的精细化和精准化。</w:t>
      </w:r>
    </w:p>
    <w:p w:rsidR="00FC160C" w:rsidRDefault="00FC160C">
      <w:pPr>
        <w:ind w:firstLine="640"/>
        <w:sectPr w:rsidR="00FC160C">
          <w:headerReference w:type="even" r:id="rId7"/>
          <w:headerReference w:type="default" r:id="rId8"/>
          <w:footerReference w:type="even" r:id="rId9"/>
          <w:footerReference w:type="default" r:id="rId10"/>
          <w:headerReference w:type="first" r:id="rId11"/>
          <w:footerReference w:type="first" r:id="rId12"/>
          <w:pgSz w:w="11906" w:h="16838"/>
          <w:pgMar w:top="2041" w:right="1418" w:bottom="1418" w:left="1531" w:header="851" w:footer="992" w:gutter="0"/>
          <w:cols w:space="425"/>
          <w:titlePg/>
          <w:docGrid w:type="lines" w:linePitch="312"/>
        </w:sectPr>
      </w:pPr>
    </w:p>
    <w:p w:rsidR="00FC160C" w:rsidRDefault="00481A9C">
      <w:pPr>
        <w:pStyle w:val="af1"/>
        <w:ind w:firstLineChars="0" w:firstLine="0"/>
      </w:pPr>
      <w:r>
        <w:rPr>
          <w:rFonts w:hint="eastAsia"/>
        </w:rPr>
        <w:lastRenderedPageBreak/>
        <w:t>2020年度部门整体支出绩效评价指标评分表</w:t>
      </w:r>
    </w:p>
    <w:p w:rsidR="00FC160C" w:rsidRDefault="00481A9C">
      <w:pPr>
        <w:ind w:firstLine="640"/>
      </w:pPr>
      <w:r>
        <w:rPr>
          <w:rFonts w:hint="eastAsia"/>
        </w:rPr>
        <w:t>本次部门整体支出绩效评价指标评分总分为94.98分，评价等级为“优”。</w:t>
      </w:r>
    </w:p>
    <w:tbl>
      <w:tblPr>
        <w:tblW w:w="14941" w:type="dxa"/>
        <w:jc w:val="center"/>
        <w:tblLayout w:type="fixed"/>
        <w:tblLook w:val="04A0"/>
      </w:tblPr>
      <w:tblGrid>
        <w:gridCol w:w="577"/>
        <w:gridCol w:w="567"/>
        <w:gridCol w:w="567"/>
        <w:gridCol w:w="567"/>
        <w:gridCol w:w="851"/>
        <w:gridCol w:w="567"/>
        <w:gridCol w:w="3181"/>
        <w:gridCol w:w="7229"/>
        <w:gridCol w:w="835"/>
      </w:tblGrid>
      <w:tr w:rsidR="00FC160C">
        <w:trPr>
          <w:trHeight w:val="90"/>
          <w:tblHeader/>
          <w:jc w:val="center"/>
        </w:trPr>
        <w:tc>
          <w:tcPr>
            <w:tcW w:w="3696" w:type="dxa"/>
            <w:gridSpan w:val="6"/>
            <w:tcBorders>
              <w:top w:val="single" w:sz="4" w:space="0" w:color="auto"/>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黑体" w:eastAsia="黑体" w:hAnsi="黑体"/>
                <w:kern w:val="0"/>
                <w:sz w:val="21"/>
                <w:szCs w:val="24"/>
              </w:rPr>
            </w:pPr>
            <w:r>
              <w:rPr>
                <w:rFonts w:ascii="黑体" w:eastAsia="黑体" w:hAnsi="黑体" w:cs="黑体" w:hint="eastAsia"/>
                <w:kern w:val="0"/>
                <w:sz w:val="21"/>
                <w:szCs w:val="24"/>
              </w:rPr>
              <w:t>评价指标</w:t>
            </w:r>
          </w:p>
        </w:tc>
        <w:tc>
          <w:tcPr>
            <w:tcW w:w="3181" w:type="dxa"/>
            <w:vMerge w:val="restart"/>
            <w:tcBorders>
              <w:top w:val="single" w:sz="4" w:space="0" w:color="auto"/>
              <w:left w:val="nil"/>
              <w:right w:val="single" w:sz="4" w:space="0" w:color="auto"/>
            </w:tcBorders>
            <w:noWrap/>
            <w:vAlign w:val="center"/>
          </w:tcPr>
          <w:p w:rsidR="00FC160C" w:rsidRDefault="00481A9C">
            <w:pPr>
              <w:widowControl/>
              <w:spacing w:line="320" w:lineRule="exact"/>
              <w:ind w:firstLineChars="0" w:firstLine="0"/>
              <w:jc w:val="center"/>
              <w:rPr>
                <w:rFonts w:ascii="黑体" w:eastAsia="黑体" w:hAnsi="黑体"/>
                <w:kern w:val="0"/>
                <w:sz w:val="21"/>
                <w:szCs w:val="24"/>
              </w:rPr>
            </w:pPr>
            <w:r>
              <w:rPr>
                <w:rFonts w:ascii="黑体" w:eastAsia="黑体" w:hAnsi="黑体" w:cs="黑体" w:hint="eastAsia"/>
                <w:kern w:val="0"/>
                <w:sz w:val="21"/>
                <w:szCs w:val="24"/>
              </w:rPr>
              <w:t>指标说明</w:t>
            </w:r>
          </w:p>
        </w:tc>
        <w:tc>
          <w:tcPr>
            <w:tcW w:w="7229" w:type="dxa"/>
            <w:vMerge w:val="restart"/>
            <w:tcBorders>
              <w:top w:val="single" w:sz="4" w:space="0" w:color="auto"/>
              <w:left w:val="nil"/>
              <w:right w:val="single" w:sz="4" w:space="0" w:color="auto"/>
            </w:tcBorders>
            <w:noWrap/>
            <w:vAlign w:val="center"/>
          </w:tcPr>
          <w:p w:rsidR="00FC160C" w:rsidRDefault="00481A9C">
            <w:pPr>
              <w:widowControl/>
              <w:spacing w:line="320" w:lineRule="exact"/>
              <w:ind w:firstLineChars="0" w:firstLine="0"/>
              <w:jc w:val="center"/>
              <w:rPr>
                <w:rFonts w:ascii="黑体" w:eastAsia="黑体" w:hAnsi="黑体"/>
                <w:kern w:val="0"/>
                <w:sz w:val="21"/>
                <w:szCs w:val="24"/>
              </w:rPr>
            </w:pPr>
            <w:r>
              <w:rPr>
                <w:rFonts w:ascii="黑体" w:eastAsia="黑体" w:hAnsi="黑体" w:cs="黑体" w:hint="eastAsia"/>
                <w:kern w:val="0"/>
                <w:sz w:val="21"/>
                <w:szCs w:val="24"/>
              </w:rPr>
              <w:t>参考评分标准</w:t>
            </w:r>
          </w:p>
        </w:tc>
        <w:tc>
          <w:tcPr>
            <w:tcW w:w="835" w:type="dxa"/>
            <w:vMerge w:val="restart"/>
            <w:tcBorders>
              <w:top w:val="single" w:sz="4" w:space="0" w:color="auto"/>
              <w:left w:val="nil"/>
              <w:right w:val="single" w:sz="4" w:space="0" w:color="auto"/>
            </w:tcBorders>
            <w:noWrap/>
            <w:vAlign w:val="center"/>
          </w:tcPr>
          <w:p w:rsidR="00FC160C" w:rsidRDefault="00481A9C">
            <w:pPr>
              <w:widowControl/>
              <w:spacing w:line="320" w:lineRule="exact"/>
              <w:ind w:firstLineChars="0" w:firstLine="0"/>
              <w:jc w:val="center"/>
              <w:rPr>
                <w:rFonts w:ascii="黑体" w:eastAsia="黑体" w:hAnsi="黑体" w:cs="黑体"/>
                <w:kern w:val="0"/>
                <w:sz w:val="21"/>
                <w:szCs w:val="24"/>
              </w:rPr>
            </w:pPr>
            <w:r>
              <w:rPr>
                <w:rFonts w:ascii="黑体" w:eastAsia="黑体" w:hAnsi="黑体" w:cs="黑体" w:hint="eastAsia"/>
                <w:kern w:val="0"/>
                <w:sz w:val="21"/>
                <w:szCs w:val="24"/>
              </w:rPr>
              <w:t>评分</w:t>
            </w:r>
          </w:p>
        </w:tc>
      </w:tr>
      <w:tr w:rsidR="00FC160C">
        <w:trPr>
          <w:trHeight w:val="463"/>
          <w:tblHeader/>
          <w:jc w:val="center"/>
        </w:trPr>
        <w:tc>
          <w:tcPr>
            <w:tcW w:w="1144" w:type="dxa"/>
            <w:gridSpan w:val="2"/>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黑体" w:eastAsia="黑体" w:hAnsi="黑体"/>
                <w:kern w:val="0"/>
                <w:sz w:val="21"/>
                <w:szCs w:val="24"/>
              </w:rPr>
            </w:pPr>
            <w:r>
              <w:rPr>
                <w:rFonts w:ascii="黑体" w:eastAsia="黑体" w:hAnsi="黑体" w:cs="黑体" w:hint="eastAsia"/>
                <w:kern w:val="0"/>
                <w:sz w:val="21"/>
                <w:szCs w:val="24"/>
              </w:rPr>
              <w:t>一级指标</w:t>
            </w:r>
          </w:p>
        </w:tc>
        <w:tc>
          <w:tcPr>
            <w:tcW w:w="1134" w:type="dxa"/>
            <w:gridSpan w:val="2"/>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黑体" w:eastAsia="黑体" w:hAnsi="黑体"/>
                <w:kern w:val="0"/>
                <w:sz w:val="21"/>
                <w:szCs w:val="24"/>
              </w:rPr>
            </w:pPr>
            <w:r>
              <w:rPr>
                <w:rFonts w:ascii="黑体" w:eastAsia="黑体" w:hAnsi="黑体" w:cs="黑体" w:hint="eastAsia"/>
                <w:kern w:val="0"/>
                <w:sz w:val="21"/>
                <w:szCs w:val="24"/>
              </w:rPr>
              <w:t>二级指标</w:t>
            </w:r>
          </w:p>
        </w:tc>
        <w:tc>
          <w:tcPr>
            <w:tcW w:w="1418" w:type="dxa"/>
            <w:gridSpan w:val="2"/>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黑体" w:eastAsia="黑体" w:hAnsi="黑体"/>
                <w:kern w:val="0"/>
                <w:sz w:val="21"/>
                <w:szCs w:val="24"/>
              </w:rPr>
            </w:pPr>
            <w:r>
              <w:rPr>
                <w:rFonts w:ascii="黑体" w:eastAsia="黑体" w:hAnsi="黑体" w:cs="黑体" w:hint="eastAsia"/>
                <w:kern w:val="0"/>
                <w:sz w:val="21"/>
                <w:szCs w:val="24"/>
              </w:rPr>
              <w:t>三级指标</w:t>
            </w:r>
          </w:p>
        </w:tc>
        <w:tc>
          <w:tcPr>
            <w:tcW w:w="3181" w:type="dxa"/>
            <w:vMerge/>
            <w:tcBorders>
              <w:left w:val="nil"/>
              <w:right w:val="single" w:sz="4" w:space="0" w:color="auto"/>
            </w:tcBorders>
            <w:noWrap/>
            <w:vAlign w:val="center"/>
          </w:tcPr>
          <w:p w:rsidR="00FC160C" w:rsidRDefault="00FC160C">
            <w:pPr>
              <w:spacing w:line="320" w:lineRule="exact"/>
              <w:ind w:firstLineChars="0" w:firstLine="0"/>
              <w:jc w:val="center"/>
              <w:rPr>
                <w:rFonts w:ascii="黑体" w:eastAsia="黑体" w:hAnsi="黑体"/>
                <w:kern w:val="0"/>
                <w:sz w:val="15"/>
                <w:szCs w:val="15"/>
              </w:rPr>
            </w:pPr>
          </w:p>
        </w:tc>
        <w:tc>
          <w:tcPr>
            <w:tcW w:w="7229" w:type="dxa"/>
            <w:vMerge/>
            <w:tcBorders>
              <w:left w:val="nil"/>
              <w:right w:val="single" w:sz="4" w:space="0" w:color="auto"/>
            </w:tcBorders>
            <w:noWrap/>
            <w:vAlign w:val="center"/>
          </w:tcPr>
          <w:p w:rsidR="00FC160C" w:rsidRDefault="00FC160C">
            <w:pPr>
              <w:spacing w:line="320" w:lineRule="exact"/>
              <w:ind w:firstLineChars="0" w:firstLine="0"/>
              <w:jc w:val="center"/>
              <w:rPr>
                <w:rFonts w:ascii="黑体" w:eastAsia="黑体" w:hAnsi="黑体"/>
                <w:kern w:val="0"/>
                <w:sz w:val="15"/>
                <w:szCs w:val="15"/>
              </w:rPr>
            </w:pPr>
          </w:p>
        </w:tc>
        <w:tc>
          <w:tcPr>
            <w:tcW w:w="835" w:type="dxa"/>
            <w:vMerge/>
            <w:tcBorders>
              <w:left w:val="nil"/>
              <w:right w:val="single" w:sz="4" w:space="0" w:color="auto"/>
            </w:tcBorders>
            <w:noWrap/>
            <w:vAlign w:val="center"/>
          </w:tcPr>
          <w:p w:rsidR="00FC160C" w:rsidRDefault="00FC160C">
            <w:pPr>
              <w:spacing w:line="320" w:lineRule="exact"/>
              <w:ind w:firstLineChars="0" w:firstLine="0"/>
              <w:jc w:val="center"/>
              <w:rPr>
                <w:rFonts w:ascii="黑体" w:eastAsia="黑体" w:hAnsi="黑体"/>
                <w:kern w:val="0"/>
                <w:sz w:val="15"/>
                <w:szCs w:val="15"/>
              </w:rPr>
            </w:pPr>
          </w:p>
        </w:tc>
      </w:tr>
      <w:tr w:rsidR="00FC160C">
        <w:trPr>
          <w:trHeight w:val="180"/>
          <w:tblHeader/>
          <w:jc w:val="center"/>
        </w:trPr>
        <w:tc>
          <w:tcPr>
            <w:tcW w:w="577" w:type="dxa"/>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黑体" w:eastAsia="黑体" w:hAnsi="黑体"/>
                <w:kern w:val="0"/>
                <w:sz w:val="21"/>
                <w:szCs w:val="24"/>
              </w:rPr>
            </w:pPr>
            <w:r>
              <w:rPr>
                <w:rFonts w:ascii="黑体" w:eastAsia="黑体" w:hAnsi="黑体" w:cs="黑体" w:hint="eastAsia"/>
                <w:kern w:val="0"/>
                <w:sz w:val="21"/>
                <w:szCs w:val="24"/>
              </w:rPr>
              <w:t>名称</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黑体" w:eastAsia="黑体" w:hAnsi="黑体"/>
                <w:kern w:val="0"/>
                <w:sz w:val="21"/>
                <w:szCs w:val="24"/>
              </w:rPr>
            </w:pPr>
            <w:r>
              <w:rPr>
                <w:rFonts w:ascii="黑体" w:eastAsia="黑体" w:hAnsi="黑体" w:cs="黑体" w:hint="eastAsia"/>
                <w:kern w:val="0"/>
                <w:sz w:val="21"/>
                <w:szCs w:val="24"/>
              </w:rPr>
              <w:t>参考分值</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黑体" w:eastAsia="黑体" w:hAnsi="黑体"/>
                <w:kern w:val="0"/>
                <w:sz w:val="21"/>
                <w:szCs w:val="24"/>
              </w:rPr>
            </w:pPr>
            <w:r>
              <w:rPr>
                <w:rFonts w:ascii="黑体" w:eastAsia="黑体" w:hAnsi="黑体" w:cs="黑体" w:hint="eastAsia"/>
                <w:kern w:val="0"/>
                <w:sz w:val="21"/>
                <w:szCs w:val="24"/>
              </w:rPr>
              <w:t>名称</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黑体" w:eastAsia="黑体" w:hAnsi="黑体"/>
                <w:kern w:val="0"/>
                <w:sz w:val="21"/>
                <w:szCs w:val="24"/>
              </w:rPr>
            </w:pPr>
            <w:r>
              <w:rPr>
                <w:rFonts w:ascii="黑体" w:eastAsia="黑体" w:hAnsi="黑体" w:cs="黑体" w:hint="eastAsia"/>
                <w:kern w:val="0"/>
                <w:sz w:val="21"/>
                <w:szCs w:val="24"/>
              </w:rPr>
              <w:t>参考分值</w:t>
            </w: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黑体" w:eastAsia="黑体" w:hAnsi="黑体"/>
                <w:kern w:val="0"/>
                <w:sz w:val="21"/>
                <w:szCs w:val="24"/>
              </w:rPr>
            </w:pPr>
            <w:r>
              <w:rPr>
                <w:rFonts w:ascii="黑体" w:eastAsia="黑体" w:hAnsi="黑体" w:cs="黑体" w:hint="eastAsia"/>
                <w:kern w:val="0"/>
                <w:sz w:val="21"/>
                <w:szCs w:val="24"/>
              </w:rPr>
              <w:t>名称</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黑体" w:eastAsia="黑体" w:hAnsi="黑体"/>
                <w:kern w:val="0"/>
                <w:sz w:val="21"/>
                <w:szCs w:val="24"/>
              </w:rPr>
            </w:pPr>
            <w:r>
              <w:rPr>
                <w:rFonts w:ascii="黑体" w:eastAsia="黑体" w:hAnsi="黑体" w:cs="黑体" w:hint="eastAsia"/>
                <w:kern w:val="0"/>
                <w:sz w:val="21"/>
                <w:szCs w:val="24"/>
              </w:rPr>
              <w:t>参考分值</w:t>
            </w:r>
          </w:p>
        </w:tc>
        <w:tc>
          <w:tcPr>
            <w:tcW w:w="3181" w:type="dxa"/>
            <w:vMerge/>
            <w:tcBorders>
              <w:left w:val="nil"/>
              <w:bottom w:val="single" w:sz="4" w:space="0" w:color="auto"/>
              <w:right w:val="single" w:sz="4" w:space="0" w:color="auto"/>
            </w:tcBorders>
            <w:noWrap/>
            <w:vAlign w:val="center"/>
          </w:tcPr>
          <w:p w:rsidR="00FC160C" w:rsidRDefault="00FC160C">
            <w:pPr>
              <w:widowControl/>
              <w:spacing w:line="320" w:lineRule="exact"/>
              <w:ind w:firstLineChars="0" w:firstLine="0"/>
              <w:jc w:val="center"/>
              <w:rPr>
                <w:rFonts w:ascii="黑体" w:eastAsia="黑体" w:hAnsi="黑体"/>
                <w:kern w:val="0"/>
                <w:sz w:val="15"/>
                <w:szCs w:val="15"/>
              </w:rPr>
            </w:pPr>
          </w:p>
        </w:tc>
        <w:tc>
          <w:tcPr>
            <w:tcW w:w="7229" w:type="dxa"/>
            <w:vMerge/>
            <w:tcBorders>
              <w:left w:val="nil"/>
              <w:bottom w:val="single" w:sz="4" w:space="0" w:color="auto"/>
              <w:right w:val="single" w:sz="4" w:space="0" w:color="auto"/>
            </w:tcBorders>
            <w:noWrap/>
            <w:vAlign w:val="center"/>
          </w:tcPr>
          <w:p w:rsidR="00FC160C" w:rsidRDefault="00FC160C">
            <w:pPr>
              <w:widowControl/>
              <w:spacing w:line="320" w:lineRule="exact"/>
              <w:ind w:firstLineChars="0" w:firstLine="0"/>
              <w:jc w:val="center"/>
              <w:rPr>
                <w:rFonts w:ascii="黑体" w:eastAsia="黑体" w:hAnsi="黑体"/>
                <w:kern w:val="0"/>
                <w:sz w:val="15"/>
                <w:szCs w:val="15"/>
              </w:rPr>
            </w:pPr>
          </w:p>
        </w:tc>
        <w:tc>
          <w:tcPr>
            <w:tcW w:w="835" w:type="dxa"/>
            <w:vMerge/>
            <w:tcBorders>
              <w:left w:val="nil"/>
              <w:bottom w:val="single" w:sz="4" w:space="0" w:color="auto"/>
              <w:right w:val="single" w:sz="4" w:space="0" w:color="auto"/>
            </w:tcBorders>
            <w:noWrap/>
            <w:vAlign w:val="center"/>
          </w:tcPr>
          <w:p w:rsidR="00FC160C" w:rsidRDefault="00FC160C">
            <w:pPr>
              <w:widowControl/>
              <w:spacing w:line="320" w:lineRule="exact"/>
              <w:ind w:firstLineChars="0" w:firstLine="0"/>
              <w:jc w:val="center"/>
              <w:rPr>
                <w:rFonts w:ascii="黑体" w:eastAsia="黑体" w:hAnsi="黑体"/>
                <w:kern w:val="0"/>
                <w:sz w:val="15"/>
                <w:szCs w:val="15"/>
              </w:rPr>
            </w:pPr>
          </w:p>
        </w:tc>
      </w:tr>
      <w:tr w:rsidR="00FC160C">
        <w:trPr>
          <w:trHeight w:val="2643"/>
          <w:jc w:val="center"/>
        </w:trPr>
        <w:tc>
          <w:tcPr>
            <w:tcW w:w="57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部门决策</w:t>
            </w: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kern w:val="0"/>
                <w:sz w:val="21"/>
                <w:szCs w:val="24"/>
              </w:rPr>
              <w:t>2</w:t>
            </w:r>
            <w:r>
              <w:rPr>
                <w:rFonts w:ascii="宋体" w:eastAsia="宋体" w:hAnsi="宋体" w:cs="宋体" w:hint="eastAsia"/>
                <w:kern w:val="0"/>
                <w:sz w:val="21"/>
                <w:szCs w:val="24"/>
              </w:rPr>
              <w:t>5</w:t>
            </w: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预算编制</w:t>
            </w: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00" w:lineRule="exact"/>
              <w:ind w:firstLineChars="0" w:firstLine="0"/>
              <w:jc w:val="center"/>
              <w:rPr>
                <w:rFonts w:ascii="宋体" w:eastAsia="宋体"/>
                <w:kern w:val="0"/>
                <w:sz w:val="21"/>
                <w:szCs w:val="24"/>
              </w:rPr>
            </w:pPr>
            <w:r>
              <w:rPr>
                <w:rFonts w:ascii="宋体" w:eastAsia="宋体" w:hAnsi="宋体" w:cs="宋体"/>
                <w:kern w:val="0"/>
                <w:sz w:val="21"/>
                <w:szCs w:val="24"/>
              </w:rPr>
              <w:t>10</w:t>
            </w: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jc w:val="left"/>
              <w:rPr>
                <w:rFonts w:ascii="宋体" w:eastAsia="宋体"/>
                <w:kern w:val="0"/>
                <w:sz w:val="21"/>
                <w:szCs w:val="24"/>
              </w:rPr>
            </w:pPr>
            <w:r>
              <w:rPr>
                <w:rFonts w:ascii="宋体" w:eastAsia="宋体" w:hAnsi="宋体" w:cs="宋体" w:hint="eastAsia"/>
                <w:kern w:val="0"/>
                <w:sz w:val="21"/>
                <w:szCs w:val="24"/>
              </w:rPr>
              <w:t>预算编制合理性</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jc w:val="center"/>
              <w:rPr>
                <w:rFonts w:ascii="宋体" w:eastAsia="宋体"/>
                <w:kern w:val="0"/>
                <w:sz w:val="21"/>
                <w:szCs w:val="24"/>
              </w:rPr>
            </w:pPr>
            <w:r>
              <w:rPr>
                <w:rFonts w:ascii="宋体" w:eastAsia="宋体" w:hAnsi="宋体" w:cs="宋体"/>
                <w:kern w:val="0"/>
                <w:sz w:val="21"/>
                <w:szCs w:val="24"/>
              </w:rPr>
              <w:t>5</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rPr>
                <w:rFonts w:ascii="宋体" w:eastAsia="宋体"/>
                <w:kern w:val="0"/>
                <w:sz w:val="21"/>
                <w:szCs w:val="24"/>
              </w:rPr>
            </w:pPr>
            <w:r>
              <w:rPr>
                <w:rFonts w:ascii="宋体" w:eastAsia="宋体" w:hAnsi="宋体" w:cs="宋体" w:hint="eastAsia"/>
                <w:kern w:val="0"/>
                <w:sz w:val="21"/>
                <w:szCs w:val="24"/>
              </w:rPr>
              <w:t>部门（单位）预算的合理性，即是否符合本部门职责、是否符合市委市政府的方针政策和工作要求，资金有无根据项目的轻重缓急进行分配。</w:t>
            </w:r>
          </w:p>
        </w:tc>
        <w:tc>
          <w:tcPr>
            <w:tcW w:w="7229" w:type="dxa"/>
            <w:tcBorders>
              <w:top w:val="nil"/>
              <w:left w:val="nil"/>
              <w:bottom w:val="single" w:sz="4" w:space="0" w:color="auto"/>
              <w:right w:val="single" w:sz="4" w:space="0" w:color="auto"/>
            </w:tcBorders>
            <w:noWrap/>
          </w:tcPr>
          <w:p w:rsidR="00FC160C" w:rsidRDefault="00481A9C">
            <w:pPr>
              <w:widowControl/>
              <w:spacing w:line="300" w:lineRule="exact"/>
              <w:ind w:firstLineChars="0" w:firstLine="0"/>
              <w:jc w:val="left"/>
              <w:rPr>
                <w:rFonts w:ascii="宋体" w:eastAsia="宋体"/>
                <w:kern w:val="0"/>
                <w:sz w:val="21"/>
                <w:szCs w:val="24"/>
              </w:rPr>
            </w:pPr>
            <w:r>
              <w:rPr>
                <w:rFonts w:ascii="宋体" w:eastAsia="宋体" w:hAnsi="宋体" w:cs="宋体"/>
                <w:kern w:val="0"/>
                <w:sz w:val="21"/>
                <w:szCs w:val="24"/>
              </w:rPr>
              <w:t xml:space="preserve">   1.</w:t>
            </w:r>
            <w:r>
              <w:rPr>
                <w:rFonts w:ascii="宋体" w:eastAsia="宋体" w:hAnsi="宋体" w:cs="宋体" w:hint="eastAsia"/>
                <w:kern w:val="0"/>
                <w:sz w:val="21"/>
                <w:szCs w:val="24"/>
              </w:rPr>
              <w:t>部门预算编制、分配符合本部门职责、符合市委市政府方针政策和工作要求（</w:t>
            </w:r>
            <w:r>
              <w:rPr>
                <w:rFonts w:ascii="宋体" w:eastAsia="宋体" w:hAnsi="宋体" w:cs="宋体"/>
                <w:kern w:val="0"/>
                <w:sz w:val="21"/>
                <w:szCs w:val="24"/>
              </w:rPr>
              <w:t>1</w:t>
            </w:r>
            <w:r>
              <w:rPr>
                <w:rFonts w:ascii="宋体" w:eastAsia="宋体" w:hAnsi="宋体" w:cs="宋体" w:hint="eastAsia"/>
                <w:kern w:val="0"/>
                <w:sz w:val="21"/>
                <w:szCs w:val="24"/>
              </w:rPr>
              <w:t>分）；</w:t>
            </w:r>
            <w:r>
              <w:rPr>
                <w:rFonts w:ascii="宋体" w:eastAsia="宋体"/>
                <w:kern w:val="0"/>
                <w:sz w:val="21"/>
                <w:szCs w:val="24"/>
              </w:rPr>
              <w:br/>
            </w:r>
            <w:r>
              <w:rPr>
                <w:rFonts w:ascii="宋体" w:eastAsia="宋体" w:hAnsi="宋体" w:cs="宋体"/>
                <w:kern w:val="0"/>
                <w:sz w:val="21"/>
                <w:szCs w:val="24"/>
              </w:rPr>
              <w:t xml:space="preserve">   2.</w:t>
            </w:r>
            <w:r>
              <w:rPr>
                <w:rFonts w:ascii="宋体" w:eastAsia="宋体" w:hAnsi="宋体" w:cs="宋体" w:hint="eastAsia"/>
                <w:kern w:val="0"/>
                <w:sz w:val="21"/>
                <w:szCs w:val="24"/>
              </w:rPr>
              <w:t>部门预算资金能根据年度工作重点，在不同项目、不同用途之间合理分配（</w:t>
            </w:r>
            <w:r>
              <w:rPr>
                <w:rFonts w:ascii="宋体" w:eastAsia="宋体" w:hAnsi="宋体" w:cs="宋体"/>
                <w:kern w:val="0"/>
                <w:sz w:val="21"/>
                <w:szCs w:val="24"/>
              </w:rPr>
              <w:t>1</w:t>
            </w:r>
            <w:r>
              <w:rPr>
                <w:rFonts w:ascii="宋体" w:eastAsia="宋体" w:hAnsi="宋体" w:cs="宋体" w:hint="eastAsia"/>
                <w:kern w:val="0"/>
                <w:sz w:val="21"/>
                <w:szCs w:val="24"/>
              </w:rPr>
              <w:t>分）；</w:t>
            </w:r>
            <w:r>
              <w:rPr>
                <w:rFonts w:ascii="宋体" w:eastAsia="宋体" w:hAnsi="宋体" w:cs="宋体"/>
                <w:kern w:val="0"/>
                <w:sz w:val="21"/>
                <w:szCs w:val="24"/>
              </w:rPr>
              <w:br/>
              <w:t xml:space="preserve">   3.</w:t>
            </w:r>
            <w:r>
              <w:rPr>
                <w:rFonts w:ascii="宋体" w:eastAsia="宋体" w:hAnsi="宋体" w:cs="宋体" w:hint="eastAsia"/>
                <w:kern w:val="0"/>
                <w:sz w:val="21"/>
                <w:szCs w:val="24"/>
              </w:rPr>
              <w:t>专项资金预算编制细化程度合理，未出现因年中调剂导致部门预决算差异过大问题（</w:t>
            </w:r>
            <w:r>
              <w:rPr>
                <w:rFonts w:ascii="宋体" w:eastAsia="宋体" w:hAnsi="宋体" w:cs="宋体"/>
                <w:kern w:val="0"/>
                <w:sz w:val="21"/>
                <w:szCs w:val="24"/>
              </w:rPr>
              <w:t>1</w:t>
            </w:r>
            <w:r>
              <w:rPr>
                <w:rFonts w:ascii="宋体" w:eastAsia="宋体" w:hAnsi="宋体" w:cs="宋体" w:hint="eastAsia"/>
                <w:kern w:val="0"/>
                <w:sz w:val="21"/>
                <w:szCs w:val="24"/>
              </w:rPr>
              <w:t>分）；</w:t>
            </w:r>
            <w:r>
              <w:rPr>
                <w:rFonts w:ascii="宋体" w:eastAsia="宋体" w:hAnsi="宋体" w:cs="宋体"/>
                <w:kern w:val="0"/>
                <w:sz w:val="21"/>
                <w:szCs w:val="24"/>
              </w:rPr>
              <w:br/>
              <w:t xml:space="preserve">   4.</w:t>
            </w:r>
            <w:r>
              <w:rPr>
                <w:rFonts w:ascii="宋体" w:eastAsia="宋体" w:hAnsi="宋体" w:cs="宋体" w:hint="eastAsia"/>
                <w:kern w:val="0"/>
                <w:sz w:val="21"/>
                <w:szCs w:val="24"/>
              </w:rPr>
              <w:t>功能分类和经济分类编制准确，年度中间无大量调剂，未发生项目之间频繁调剂（</w:t>
            </w:r>
            <w:r>
              <w:rPr>
                <w:rFonts w:ascii="宋体" w:eastAsia="宋体" w:hAnsi="宋体" w:cs="宋体"/>
                <w:kern w:val="0"/>
                <w:sz w:val="21"/>
                <w:szCs w:val="24"/>
              </w:rPr>
              <w:t>1</w:t>
            </w:r>
            <w:r>
              <w:rPr>
                <w:rFonts w:ascii="宋体" w:eastAsia="宋体" w:hAnsi="宋体" w:cs="宋体" w:hint="eastAsia"/>
                <w:kern w:val="0"/>
                <w:sz w:val="21"/>
                <w:szCs w:val="24"/>
              </w:rPr>
              <w:t>分）；</w:t>
            </w:r>
            <w:r>
              <w:rPr>
                <w:rFonts w:ascii="宋体" w:eastAsia="宋体"/>
                <w:kern w:val="0"/>
                <w:sz w:val="21"/>
                <w:szCs w:val="24"/>
              </w:rPr>
              <w:br/>
            </w:r>
            <w:r>
              <w:rPr>
                <w:rFonts w:ascii="宋体" w:eastAsia="宋体" w:hAnsi="宋体" w:cs="宋体"/>
                <w:kern w:val="0"/>
                <w:sz w:val="21"/>
                <w:szCs w:val="24"/>
              </w:rPr>
              <w:t xml:space="preserve">   5.</w:t>
            </w:r>
            <w:r>
              <w:rPr>
                <w:rFonts w:ascii="宋体" w:eastAsia="宋体" w:hAnsi="宋体" w:cs="宋体" w:hint="eastAsia"/>
                <w:kern w:val="0"/>
                <w:sz w:val="21"/>
                <w:szCs w:val="24"/>
              </w:rPr>
              <w:t>部门预算分配不固化，能根据实际情况合理调整，不存在项目支出进度慢、完成率低、绩效较差，但连年持续安排预算等不合理的情况（</w:t>
            </w:r>
            <w:r>
              <w:rPr>
                <w:rFonts w:ascii="宋体" w:eastAsia="宋体" w:hAnsi="宋体" w:cs="宋体"/>
                <w:kern w:val="0"/>
                <w:sz w:val="21"/>
                <w:szCs w:val="24"/>
              </w:rPr>
              <w:t>1</w:t>
            </w:r>
            <w:r>
              <w:rPr>
                <w:rFonts w:ascii="宋体" w:eastAsia="宋体" w:hAnsi="宋体" w:cs="宋体" w:hint="eastAsia"/>
                <w:kern w:val="0"/>
                <w:sz w:val="21"/>
                <w:szCs w:val="24"/>
              </w:rPr>
              <w:t>分）。</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5</w:t>
            </w:r>
          </w:p>
        </w:tc>
      </w:tr>
      <w:tr w:rsidR="00FC160C">
        <w:trPr>
          <w:trHeight w:val="1689"/>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00" w:lineRule="exact"/>
              <w:ind w:firstLineChars="0" w:firstLine="0"/>
              <w:jc w:val="center"/>
              <w:rPr>
                <w:rFonts w:ascii="宋体" w:eastAsia="宋体"/>
                <w:kern w:val="0"/>
                <w:sz w:val="21"/>
                <w:szCs w:val="24"/>
              </w:rPr>
            </w:pP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jc w:val="left"/>
              <w:rPr>
                <w:rFonts w:ascii="宋体" w:eastAsia="宋体"/>
                <w:kern w:val="0"/>
                <w:sz w:val="21"/>
                <w:szCs w:val="24"/>
              </w:rPr>
            </w:pPr>
            <w:r>
              <w:rPr>
                <w:rFonts w:ascii="宋体" w:eastAsia="宋体" w:hAnsi="宋体" w:cs="宋体" w:hint="eastAsia"/>
                <w:kern w:val="0"/>
                <w:sz w:val="21"/>
                <w:szCs w:val="24"/>
              </w:rPr>
              <w:t>预算编制规范性</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jc w:val="center"/>
              <w:rPr>
                <w:rFonts w:ascii="宋体" w:eastAsia="宋体"/>
                <w:kern w:val="0"/>
                <w:sz w:val="21"/>
                <w:szCs w:val="24"/>
              </w:rPr>
            </w:pPr>
            <w:r>
              <w:rPr>
                <w:rFonts w:ascii="宋体" w:eastAsia="宋体" w:hAnsi="宋体" w:cs="宋体"/>
                <w:kern w:val="0"/>
                <w:sz w:val="21"/>
                <w:szCs w:val="24"/>
              </w:rPr>
              <w:t>5</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rPr>
                <w:rFonts w:ascii="宋体" w:eastAsia="宋体"/>
                <w:kern w:val="0"/>
                <w:sz w:val="21"/>
                <w:szCs w:val="24"/>
              </w:rPr>
            </w:pPr>
            <w:r>
              <w:rPr>
                <w:rFonts w:ascii="宋体" w:eastAsia="宋体" w:hAnsi="宋体" w:cs="宋体" w:hint="eastAsia"/>
                <w:kern w:val="0"/>
                <w:sz w:val="21"/>
                <w:szCs w:val="24"/>
              </w:rPr>
              <w:t>部门（单位）预算编制是否符合财政部门当年度关于预算编制在规范性、完整性、细化程度等方面的原则和要求。</w:t>
            </w:r>
          </w:p>
        </w:tc>
        <w:tc>
          <w:tcPr>
            <w:tcW w:w="7229" w:type="dxa"/>
            <w:tcBorders>
              <w:top w:val="nil"/>
              <w:left w:val="nil"/>
              <w:bottom w:val="single" w:sz="4" w:space="0" w:color="auto"/>
              <w:right w:val="single" w:sz="4" w:space="0" w:color="auto"/>
            </w:tcBorders>
            <w:noWrap/>
          </w:tcPr>
          <w:p w:rsidR="00FC160C" w:rsidRDefault="00481A9C">
            <w:pPr>
              <w:widowControl/>
              <w:spacing w:line="300" w:lineRule="exact"/>
              <w:ind w:firstLineChars="150" w:firstLine="315"/>
              <w:jc w:val="left"/>
              <w:rPr>
                <w:rFonts w:ascii="宋体" w:eastAsia="宋体"/>
                <w:kern w:val="0"/>
                <w:sz w:val="21"/>
                <w:szCs w:val="24"/>
              </w:rPr>
            </w:pPr>
            <w:r>
              <w:rPr>
                <w:rFonts w:ascii="宋体" w:eastAsia="宋体" w:hAnsi="宋体" w:cs="宋体"/>
                <w:kern w:val="0"/>
                <w:sz w:val="21"/>
                <w:szCs w:val="24"/>
              </w:rPr>
              <w:t>1.</w:t>
            </w:r>
            <w:r>
              <w:rPr>
                <w:rFonts w:ascii="宋体" w:eastAsia="宋体" w:hAnsi="宋体" w:cs="宋体" w:hint="eastAsia"/>
                <w:kern w:val="0"/>
                <w:sz w:val="21"/>
                <w:szCs w:val="24"/>
              </w:rPr>
              <w:t>部门（单位）预算编制符合财政部门当年度关于预算编制的各项原则和要求，符合专项资金预算编制、项目库管理、新增项目事前绩效评估等要求（</w:t>
            </w:r>
            <w:r>
              <w:rPr>
                <w:rFonts w:ascii="宋体" w:eastAsia="宋体" w:hAnsi="宋体" w:cs="宋体"/>
                <w:kern w:val="0"/>
                <w:sz w:val="21"/>
                <w:szCs w:val="24"/>
              </w:rPr>
              <w:t>5</w:t>
            </w:r>
            <w:r>
              <w:rPr>
                <w:rFonts w:ascii="宋体" w:eastAsia="宋体" w:hAnsi="宋体" w:cs="宋体" w:hint="eastAsia"/>
                <w:kern w:val="0"/>
                <w:sz w:val="21"/>
                <w:szCs w:val="24"/>
              </w:rPr>
              <w:t>分）；</w:t>
            </w:r>
          </w:p>
          <w:p w:rsidR="00FC160C" w:rsidRDefault="00481A9C">
            <w:pPr>
              <w:widowControl/>
              <w:spacing w:line="300" w:lineRule="exact"/>
              <w:ind w:firstLineChars="150" w:firstLine="315"/>
              <w:jc w:val="left"/>
              <w:rPr>
                <w:rFonts w:ascii="宋体" w:eastAsia="宋体"/>
                <w:kern w:val="0"/>
                <w:sz w:val="21"/>
                <w:szCs w:val="24"/>
              </w:rPr>
            </w:pPr>
            <w:r>
              <w:rPr>
                <w:rFonts w:ascii="宋体" w:eastAsia="宋体" w:hAnsi="宋体" w:cs="宋体"/>
                <w:kern w:val="0"/>
                <w:sz w:val="21"/>
                <w:szCs w:val="24"/>
              </w:rPr>
              <w:t>2.</w:t>
            </w:r>
            <w:r>
              <w:rPr>
                <w:rFonts w:ascii="宋体" w:eastAsia="宋体" w:hAnsi="宋体" w:cs="宋体" w:hint="eastAsia"/>
                <w:kern w:val="0"/>
                <w:sz w:val="21"/>
                <w:szCs w:val="24"/>
              </w:rPr>
              <w:t>发现一项不符合的扣</w:t>
            </w:r>
            <w:r>
              <w:rPr>
                <w:rFonts w:ascii="宋体" w:eastAsia="宋体" w:hAnsi="宋体" w:cs="宋体"/>
                <w:kern w:val="0"/>
                <w:sz w:val="21"/>
                <w:szCs w:val="24"/>
              </w:rPr>
              <w:t>1</w:t>
            </w:r>
            <w:r>
              <w:rPr>
                <w:rFonts w:ascii="宋体" w:eastAsia="宋体" w:hAnsi="宋体" w:cs="宋体" w:hint="eastAsia"/>
                <w:kern w:val="0"/>
                <w:sz w:val="21"/>
                <w:szCs w:val="24"/>
              </w:rPr>
              <w:t>分，扣完为止。</w:t>
            </w:r>
          </w:p>
          <w:p w:rsidR="00FC160C" w:rsidRDefault="00481A9C">
            <w:pPr>
              <w:widowControl/>
              <w:spacing w:line="300" w:lineRule="exact"/>
              <w:ind w:firstLineChars="150" w:firstLine="315"/>
              <w:jc w:val="left"/>
              <w:rPr>
                <w:rFonts w:ascii="宋体" w:eastAsia="宋体"/>
                <w:kern w:val="0"/>
                <w:sz w:val="21"/>
                <w:szCs w:val="24"/>
              </w:rPr>
            </w:pPr>
            <w:r>
              <w:rPr>
                <w:rFonts w:ascii="宋体" w:eastAsia="宋体" w:hAnsi="宋体" w:cs="宋体" w:hint="eastAsia"/>
                <w:kern w:val="0"/>
                <w:sz w:val="21"/>
                <w:szCs w:val="24"/>
              </w:rPr>
              <w:t>本指标需对照相应年度由财政部门印发的部门预算编制工作方案、通知和有关制度文件，根据实际情况评分。</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5</w:t>
            </w:r>
          </w:p>
        </w:tc>
      </w:tr>
      <w:tr w:rsidR="00FC160C">
        <w:trPr>
          <w:trHeight w:val="1621"/>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目标设置</w:t>
            </w: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kern w:val="0"/>
                <w:sz w:val="21"/>
                <w:szCs w:val="24"/>
              </w:rPr>
              <w:t>1</w:t>
            </w:r>
            <w:r>
              <w:rPr>
                <w:rFonts w:ascii="宋体" w:eastAsia="宋体" w:hAnsi="宋体" w:cs="宋体" w:hint="eastAsia"/>
                <w:kern w:val="0"/>
                <w:sz w:val="21"/>
                <w:szCs w:val="24"/>
              </w:rPr>
              <w:t>5</w:t>
            </w: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绩效目标完整性</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8</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部门（单位）是否按要求编报项目绩效目标，是否依据充分、内容完整、覆盖全面、符合实际。</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hAnsi="宋体" w:cs="宋体"/>
                <w:kern w:val="0"/>
                <w:sz w:val="21"/>
                <w:szCs w:val="24"/>
              </w:rPr>
            </w:pPr>
            <w:r>
              <w:rPr>
                <w:rFonts w:ascii="宋体" w:eastAsia="宋体" w:hAnsi="宋体" w:cs="宋体" w:hint="eastAsia"/>
                <w:kern w:val="0"/>
                <w:sz w:val="21"/>
                <w:szCs w:val="24"/>
              </w:rPr>
              <w:t>1.部门（单位）按要求编报部门整体和项目的绩效目标，实现绩效目标全覆盖（8分）；</w:t>
            </w:r>
          </w:p>
          <w:p w:rsidR="00FC160C" w:rsidRDefault="00481A9C">
            <w:pPr>
              <w:widowControl/>
              <w:spacing w:line="320" w:lineRule="exact"/>
              <w:ind w:firstLineChars="150" w:firstLine="315"/>
              <w:rPr>
                <w:rFonts w:ascii="宋体" w:eastAsia="宋体"/>
                <w:kern w:val="0"/>
                <w:sz w:val="21"/>
                <w:szCs w:val="24"/>
              </w:rPr>
            </w:pPr>
            <w:r>
              <w:rPr>
                <w:rFonts w:ascii="宋体" w:eastAsia="宋体" w:hAnsi="宋体" w:cs="宋体" w:hint="eastAsia"/>
                <w:kern w:val="0"/>
                <w:sz w:val="21"/>
                <w:szCs w:val="24"/>
              </w:rPr>
              <w:t>2.没按要求编报绩效目标或绩效目标不符合要求的，一项扣</w:t>
            </w:r>
            <w:r>
              <w:rPr>
                <w:rFonts w:ascii="宋体" w:eastAsia="宋体" w:hAnsi="宋体" w:cs="宋体"/>
                <w:kern w:val="0"/>
                <w:sz w:val="21"/>
                <w:szCs w:val="24"/>
              </w:rPr>
              <w:t>1</w:t>
            </w:r>
            <w:r>
              <w:rPr>
                <w:rFonts w:ascii="宋体" w:eastAsia="宋体" w:hAnsi="宋体" w:cs="宋体" w:hint="eastAsia"/>
                <w:kern w:val="0"/>
                <w:sz w:val="21"/>
                <w:szCs w:val="24"/>
              </w:rPr>
              <w:t>分，扣完为止。</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8</w:t>
            </w:r>
          </w:p>
        </w:tc>
      </w:tr>
      <w:tr w:rsidR="00FC160C">
        <w:trPr>
          <w:trHeight w:val="1419"/>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center"/>
              <w:rPr>
                <w:rFonts w:ascii="宋体" w:eastAsia="宋体"/>
                <w:kern w:val="0"/>
                <w:sz w:val="21"/>
                <w:szCs w:val="24"/>
              </w:rPr>
            </w:pP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绩效指标明确性</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7</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部门（单位）设定的绩效指标是否清晰、细化、可量化，用以反映和考核部门（单位）整体绩效目标的明细化情况。</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420"/>
              <w:rPr>
                <w:rFonts w:ascii="宋体" w:eastAsia="宋体" w:hAnsi="宋体" w:cs="宋体"/>
                <w:kern w:val="0"/>
                <w:sz w:val="21"/>
                <w:szCs w:val="24"/>
              </w:rPr>
            </w:pPr>
            <w:r>
              <w:rPr>
                <w:rFonts w:ascii="宋体" w:eastAsia="宋体" w:hAnsi="宋体" w:cs="宋体"/>
                <w:kern w:val="0"/>
                <w:sz w:val="21"/>
                <w:szCs w:val="24"/>
              </w:rPr>
              <w:t>1.</w:t>
            </w:r>
            <w:r>
              <w:rPr>
                <w:rFonts w:ascii="宋体" w:eastAsia="宋体" w:hAnsi="宋体" w:cs="宋体" w:hint="eastAsia"/>
                <w:kern w:val="0"/>
                <w:sz w:val="21"/>
                <w:szCs w:val="24"/>
              </w:rPr>
              <w:t>绩效指标将部门整体绩效目标细化分解为具体工作任务，与部门年度任务数或计划数相对应（2分）；</w:t>
            </w:r>
          </w:p>
          <w:p w:rsidR="00FC160C" w:rsidRDefault="00481A9C">
            <w:pPr>
              <w:widowControl/>
              <w:spacing w:line="320" w:lineRule="exact"/>
              <w:ind w:firstLine="420"/>
              <w:rPr>
                <w:rFonts w:ascii="宋体" w:eastAsia="宋体" w:hAnsi="宋体" w:cs="宋体"/>
                <w:kern w:val="0"/>
                <w:sz w:val="21"/>
                <w:szCs w:val="24"/>
              </w:rPr>
            </w:pPr>
            <w:r>
              <w:rPr>
                <w:rFonts w:ascii="宋体" w:eastAsia="宋体" w:hAnsi="宋体" w:cs="宋体" w:hint="eastAsia"/>
                <w:kern w:val="0"/>
                <w:sz w:val="21"/>
                <w:szCs w:val="24"/>
              </w:rPr>
              <w:t>2.绩效指标中包含能够明确体现部门（单位）履职效果的社会、经济、生态效益指标（2分）；</w:t>
            </w:r>
            <w:r>
              <w:rPr>
                <w:rFonts w:ascii="宋体" w:eastAsia="宋体"/>
                <w:kern w:val="0"/>
                <w:sz w:val="21"/>
                <w:szCs w:val="24"/>
              </w:rPr>
              <w:br/>
            </w:r>
            <w:r>
              <w:rPr>
                <w:rFonts w:ascii="宋体" w:eastAsia="宋体" w:hAnsi="宋体" w:cs="宋体" w:hint="eastAsia"/>
                <w:kern w:val="0"/>
                <w:sz w:val="21"/>
                <w:szCs w:val="24"/>
              </w:rPr>
              <w:t xml:space="preserve"> 3.绩效指标具有清晰、可衡量的指标值（</w:t>
            </w:r>
            <w:r>
              <w:rPr>
                <w:rFonts w:ascii="宋体" w:eastAsia="宋体" w:hAnsi="宋体" w:cs="宋体"/>
                <w:kern w:val="0"/>
                <w:sz w:val="21"/>
                <w:szCs w:val="24"/>
              </w:rPr>
              <w:t>1</w:t>
            </w:r>
            <w:r>
              <w:rPr>
                <w:rFonts w:ascii="宋体" w:eastAsia="宋体" w:hAnsi="宋体" w:cs="宋体" w:hint="eastAsia"/>
                <w:kern w:val="0"/>
                <w:sz w:val="21"/>
                <w:szCs w:val="24"/>
              </w:rPr>
              <w:t>分）；</w:t>
            </w:r>
            <w:r>
              <w:rPr>
                <w:rFonts w:ascii="宋体" w:eastAsia="宋体"/>
                <w:kern w:val="0"/>
                <w:sz w:val="21"/>
                <w:szCs w:val="24"/>
              </w:rPr>
              <w:br/>
            </w:r>
            <w:r>
              <w:rPr>
                <w:rFonts w:ascii="宋体" w:eastAsia="宋体" w:hAnsi="宋体" w:cs="宋体" w:hint="eastAsia"/>
                <w:kern w:val="0"/>
                <w:sz w:val="21"/>
                <w:szCs w:val="24"/>
              </w:rPr>
              <w:t>4</w:t>
            </w:r>
            <w:r>
              <w:rPr>
                <w:rFonts w:ascii="宋体" w:eastAsia="宋体" w:hAnsi="宋体" w:cs="宋体"/>
                <w:kern w:val="0"/>
                <w:sz w:val="21"/>
                <w:szCs w:val="24"/>
              </w:rPr>
              <w:t>.</w:t>
            </w:r>
            <w:r>
              <w:rPr>
                <w:rFonts w:ascii="宋体" w:eastAsia="宋体" w:hAnsi="宋体" w:cs="宋体" w:hint="eastAsia"/>
                <w:kern w:val="0"/>
                <w:sz w:val="21"/>
                <w:szCs w:val="24"/>
              </w:rPr>
              <w:t>绩效指标包含可量化的指标（</w:t>
            </w:r>
            <w:r>
              <w:rPr>
                <w:rFonts w:ascii="宋体" w:eastAsia="宋体" w:hAnsi="宋体" w:cs="宋体"/>
                <w:kern w:val="0"/>
                <w:sz w:val="21"/>
                <w:szCs w:val="24"/>
              </w:rPr>
              <w:t>1</w:t>
            </w:r>
            <w:r>
              <w:rPr>
                <w:rFonts w:ascii="宋体" w:eastAsia="宋体" w:hAnsi="宋体" w:cs="宋体" w:hint="eastAsia"/>
                <w:kern w:val="0"/>
                <w:sz w:val="21"/>
                <w:szCs w:val="24"/>
              </w:rPr>
              <w:t>分）；</w:t>
            </w:r>
          </w:p>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5</w:t>
            </w:r>
            <w:r>
              <w:rPr>
                <w:rFonts w:ascii="宋体" w:eastAsia="宋体" w:hAnsi="宋体" w:cs="宋体"/>
                <w:kern w:val="0"/>
                <w:sz w:val="21"/>
                <w:szCs w:val="24"/>
              </w:rPr>
              <w:t>.</w:t>
            </w:r>
            <w:r>
              <w:rPr>
                <w:rFonts w:ascii="宋体" w:eastAsia="宋体" w:hAnsi="宋体" w:cs="宋体" w:hint="eastAsia"/>
                <w:kern w:val="0"/>
                <w:sz w:val="21"/>
                <w:szCs w:val="24"/>
              </w:rPr>
              <w:t>绩效目标的目标值测算能提供相关依据或符合客观实际情况（</w:t>
            </w:r>
            <w:r>
              <w:rPr>
                <w:rFonts w:ascii="宋体" w:eastAsia="宋体" w:hAnsi="宋体" w:cs="宋体"/>
                <w:kern w:val="0"/>
                <w:sz w:val="21"/>
                <w:szCs w:val="24"/>
              </w:rPr>
              <w:t>1</w:t>
            </w:r>
            <w:r>
              <w:rPr>
                <w:rFonts w:ascii="宋体" w:eastAsia="宋体" w:hAnsi="宋体" w:cs="宋体" w:hint="eastAsia"/>
                <w:kern w:val="0"/>
                <w:sz w:val="21"/>
                <w:szCs w:val="24"/>
              </w:rPr>
              <w:t>分）。</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6</w:t>
            </w:r>
          </w:p>
        </w:tc>
      </w:tr>
      <w:tr w:rsidR="00FC160C">
        <w:trPr>
          <w:trHeight w:val="1359"/>
          <w:jc w:val="center"/>
        </w:trPr>
        <w:tc>
          <w:tcPr>
            <w:tcW w:w="57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部门管理</w:t>
            </w: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20</w:t>
            </w: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资金管理</w:t>
            </w: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8</w:t>
            </w:r>
          </w:p>
        </w:tc>
        <w:tc>
          <w:tcPr>
            <w:tcW w:w="851" w:type="dxa"/>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政府采购执行情况</w:t>
            </w:r>
          </w:p>
        </w:tc>
        <w:tc>
          <w:tcPr>
            <w:tcW w:w="567" w:type="dxa"/>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kern w:val="0"/>
                <w:sz w:val="21"/>
                <w:szCs w:val="24"/>
              </w:rPr>
              <w:t>2</w:t>
            </w:r>
          </w:p>
        </w:tc>
        <w:tc>
          <w:tcPr>
            <w:tcW w:w="3181" w:type="dxa"/>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部门（单位）本年度实际政府采购金额与年度政府采购预算的比率，用以反映和考核部门（单位）政府采购预算执行情况；政府采购政策功能的执行和落实情况。</w:t>
            </w:r>
          </w:p>
        </w:tc>
        <w:tc>
          <w:tcPr>
            <w:tcW w:w="7229" w:type="dxa"/>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405"/>
              <w:rPr>
                <w:rFonts w:ascii="宋体" w:eastAsia="宋体" w:hAnsi="宋体" w:cs="宋体"/>
                <w:kern w:val="0"/>
                <w:sz w:val="21"/>
                <w:szCs w:val="24"/>
              </w:rPr>
            </w:pPr>
            <w:r>
              <w:rPr>
                <w:rFonts w:ascii="宋体" w:eastAsia="宋体" w:hAnsi="宋体" w:cs="宋体" w:hint="eastAsia"/>
                <w:kern w:val="0"/>
                <w:sz w:val="21"/>
                <w:szCs w:val="24"/>
              </w:rPr>
              <w:t>1.政府采购执行率得分</w:t>
            </w:r>
            <w:r>
              <w:rPr>
                <w:rFonts w:ascii="宋体" w:eastAsia="宋体" w:hAnsi="宋体" w:cs="宋体"/>
                <w:kern w:val="0"/>
                <w:sz w:val="21"/>
                <w:szCs w:val="24"/>
              </w:rPr>
              <w:t>=</w:t>
            </w:r>
            <w:r>
              <w:rPr>
                <w:rFonts w:ascii="宋体" w:eastAsia="宋体" w:hAnsi="宋体" w:cs="宋体" w:hint="eastAsia"/>
                <w:kern w:val="0"/>
                <w:sz w:val="21"/>
                <w:szCs w:val="24"/>
              </w:rPr>
              <w:t>政府采购执行率×1分</w:t>
            </w:r>
            <w:r>
              <w:rPr>
                <w:rFonts w:ascii="宋体" w:eastAsia="宋体"/>
                <w:kern w:val="0"/>
                <w:sz w:val="21"/>
                <w:szCs w:val="24"/>
              </w:rPr>
              <w:br/>
            </w:r>
            <w:r>
              <w:rPr>
                <w:rFonts w:ascii="宋体" w:eastAsia="宋体" w:hAnsi="宋体" w:cs="宋体" w:hint="eastAsia"/>
                <w:kern w:val="0"/>
                <w:sz w:val="21"/>
                <w:szCs w:val="24"/>
              </w:rPr>
              <w:t>政府采购执行率</w:t>
            </w:r>
            <w:r>
              <w:rPr>
                <w:rFonts w:ascii="宋体" w:eastAsia="宋体" w:hAnsi="宋体" w:cs="宋体"/>
                <w:kern w:val="0"/>
                <w:sz w:val="21"/>
                <w:szCs w:val="24"/>
              </w:rPr>
              <w:t>=</w:t>
            </w:r>
            <w:r>
              <w:rPr>
                <w:rFonts w:ascii="宋体" w:eastAsia="宋体" w:hAnsi="宋体" w:cs="宋体" w:hint="eastAsia"/>
                <w:kern w:val="0"/>
                <w:sz w:val="21"/>
                <w:szCs w:val="24"/>
              </w:rPr>
              <w:t>（实际采购金额合计数</w:t>
            </w:r>
            <w:r>
              <w:rPr>
                <w:rFonts w:ascii="宋体" w:eastAsia="宋体" w:hAnsi="宋体" w:cs="宋体"/>
                <w:kern w:val="0"/>
                <w:sz w:val="21"/>
                <w:szCs w:val="24"/>
              </w:rPr>
              <w:t>/</w:t>
            </w:r>
            <w:r>
              <w:rPr>
                <w:rFonts w:ascii="宋体" w:eastAsia="宋体" w:hAnsi="宋体" w:cs="宋体" w:hint="eastAsia"/>
                <w:kern w:val="0"/>
                <w:sz w:val="21"/>
                <w:szCs w:val="24"/>
              </w:rPr>
              <w:t>采购计划金额合计数）×</w:t>
            </w:r>
            <w:r>
              <w:rPr>
                <w:rFonts w:ascii="宋体" w:eastAsia="宋体" w:hAnsi="宋体" w:cs="宋体"/>
                <w:kern w:val="0"/>
                <w:sz w:val="21"/>
                <w:szCs w:val="24"/>
              </w:rPr>
              <w:t>100%</w:t>
            </w:r>
            <w:r>
              <w:rPr>
                <w:rFonts w:ascii="宋体" w:eastAsia="宋体" w:hAnsi="宋体" w:cs="宋体"/>
                <w:kern w:val="0"/>
                <w:sz w:val="21"/>
                <w:szCs w:val="24"/>
              </w:rPr>
              <w:br/>
            </w:r>
            <w:r>
              <w:rPr>
                <w:rFonts w:ascii="宋体" w:eastAsia="宋体" w:hAnsi="宋体" w:cs="宋体" w:hint="eastAsia"/>
                <w:kern w:val="0"/>
                <w:sz w:val="21"/>
                <w:szCs w:val="24"/>
              </w:rPr>
              <w:t>如实际采购金额大于采购计划金额，本项得0分。</w:t>
            </w:r>
            <w:r>
              <w:rPr>
                <w:rFonts w:ascii="宋体" w:eastAsia="宋体"/>
                <w:kern w:val="0"/>
                <w:sz w:val="21"/>
                <w:szCs w:val="24"/>
              </w:rPr>
              <w:br/>
            </w:r>
            <w:r>
              <w:rPr>
                <w:rFonts w:ascii="宋体" w:eastAsia="宋体" w:hAnsi="宋体" w:cs="宋体" w:hint="eastAsia"/>
                <w:kern w:val="0"/>
                <w:sz w:val="21"/>
                <w:szCs w:val="24"/>
              </w:rPr>
              <w:t>政府采购预算是指采购机关根据事业发展计划和行政任务编制的、并经过规定程序批准的年度政府采购计划。</w:t>
            </w:r>
          </w:p>
          <w:p w:rsidR="00FC160C" w:rsidRDefault="00481A9C">
            <w:pPr>
              <w:widowControl/>
              <w:spacing w:line="320" w:lineRule="exact"/>
              <w:ind w:firstLineChars="0" w:firstLine="405"/>
              <w:rPr>
                <w:rFonts w:ascii="宋体" w:eastAsia="宋体" w:hAnsi="宋体" w:cs="宋体"/>
                <w:kern w:val="0"/>
                <w:sz w:val="21"/>
                <w:szCs w:val="24"/>
              </w:rPr>
            </w:pPr>
            <w:r>
              <w:rPr>
                <w:rFonts w:ascii="宋体" w:eastAsia="宋体" w:hAnsi="宋体" w:cs="宋体" w:hint="eastAsia"/>
                <w:kern w:val="0"/>
                <w:sz w:val="21"/>
                <w:szCs w:val="24"/>
              </w:rPr>
              <w:t>2.政府采购政策功能的执行和落实情况（1分），落实不到位的酌情扣分。</w:t>
            </w:r>
          </w:p>
        </w:tc>
        <w:tc>
          <w:tcPr>
            <w:tcW w:w="835" w:type="dxa"/>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2</w:t>
            </w:r>
          </w:p>
        </w:tc>
      </w:tr>
      <w:tr w:rsidR="00FC160C">
        <w:trPr>
          <w:trHeight w:val="1819"/>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center"/>
              <w:rPr>
                <w:rFonts w:ascii="宋体" w:eastAsia="宋体"/>
                <w:kern w:val="0"/>
                <w:sz w:val="21"/>
                <w:szCs w:val="24"/>
              </w:rPr>
            </w:pPr>
          </w:p>
        </w:tc>
        <w:tc>
          <w:tcPr>
            <w:tcW w:w="851" w:type="dxa"/>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财务合规性</w:t>
            </w:r>
          </w:p>
        </w:tc>
        <w:tc>
          <w:tcPr>
            <w:tcW w:w="567" w:type="dxa"/>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3</w:t>
            </w:r>
          </w:p>
        </w:tc>
        <w:tc>
          <w:tcPr>
            <w:tcW w:w="3181" w:type="dxa"/>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hAnsi="宋体" w:cs="宋体"/>
                <w:kern w:val="0"/>
                <w:sz w:val="21"/>
                <w:szCs w:val="24"/>
              </w:rPr>
            </w:pPr>
            <w:r>
              <w:rPr>
                <w:rFonts w:ascii="宋体" w:eastAsia="宋体" w:hAnsi="宋体" w:cs="宋体" w:hint="eastAsia"/>
                <w:kern w:val="0"/>
                <w:sz w:val="21"/>
                <w:szCs w:val="24"/>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7229" w:type="dxa"/>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420"/>
              <w:rPr>
                <w:rFonts w:ascii="宋体" w:eastAsia="宋体" w:hAnsi="宋体" w:cs="宋体"/>
                <w:kern w:val="0"/>
                <w:sz w:val="21"/>
                <w:szCs w:val="24"/>
              </w:rPr>
            </w:pPr>
            <w:r>
              <w:rPr>
                <w:rFonts w:ascii="宋体" w:eastAsia="宋体" w:hAnsi="宋体" w:cs="宋体"/>
                <w:kern w:val="0"/>
                <w:sz w:val="21"/>
                <w:szCs w:val="24"/>
              </w:rPr>
              <w:t>1.</w:t>
            </w:r>
            <w:r>
              <w:rPr>
                <w:rFonts w:ascii="宋体" w:eastAsia="宋体" w:hAnsi="宋体" w:cs="宋体" w:hint="eastAsia"/>
                <w:kern w:val="0"/>
                <w:sz w:val="21"/>
                <w:szCs w:val="24"/>
              </w:rPr>
              <w:t>资金支出规范性（1分）。资金管理、费用标准、支付符合有关制度规定，按事项完成进度支付资金的，得1分，否则酌情扣分。</w:t>
            </w:r>
            <w:r>
              <w:rPr>
                <w:rFonts w:ascii="宋体" w:eastAsia="宋体"/>
                <w:kern w:val="0"/>
                <w:sz w:val="21"/>
                <w:szCs w:val="24"/>
              </w:rPr>
              <w:br/>
            </w:r>
            <w:r>
              <w:rPr>
                <w:rFonts w:ascii="宋体" w:eastAsia="宋体" w:hAnsi="宋体" w:cs="宋体" w:hint="eastAsia"/>
                <w:kern w:val="0"/>
                <w:sz w:val="21"/>
                <w:szCs w:val="24"/>
              </w:rPr>
              <w:t>2.资金调整、调剂规范性（1分）。调整、调剂资金累计在本单位部门预算总规模10%以内的，得1分；超出10%的，超出一个百分点扣0.1分，直至1分扣完为止。</w:t>
            </w:r>
          </w:p>
          <w:p w:rsidR="00FC160C" w:rsidRDefault="00481A9C">
            <w:pPr>
              <w:widowControl/>
              <w:spacing w:line="320" w:lineRule="exact"/>
              <w:ind w:firstLine="420"/>
              <w:rPr>
                <w:rFonts w:ascii="宋体" w:eastAsia="宋体" w:hAnsi="宋体" w:cs="宋体"/>
                <w:kern w:val="0"/>
                <w:sz w:val="21"/>
                <w:szCs w:val="24"/>
              </w:rPr>
            </w:pPr>
            <w:r>
              <w:rPr>
                <w:rFonts w:ascii="宋体" w:eastAsia="宋体" w:hAnsi="宋体" w:cs="宋体" w:hint="eastAsia"/>
                <w:kern w:val="0"/>
                <w:sz w:val="21"/>
                <w:szCs w:val="24"/>
              </w:rPr>
              <w:t>3.会计核算规范性（1分）。规范执行会计核算制度得1分，未按规定设专账核算、支出凭证不符合规定或其他核算不规范，酌情扣分。</w:t>
            </w:r>
          </w:p>
          <w:p w:rsidR="00FC160C" w:rsidRDefault="00481A9C">
            <w:pPr>
              <w:widowControl/>
              <w:spacing w:line="320" w:lineRule="exact"/>
              <w:ind w:firstLineChars="0" w:firstLine="420"/>
              <w:rPr>
                <w:rFonts w:ascii="宋体" w:eastAsia="宋体"/>
                <w:kern w:val="0"/>
                <w:sz w:val="21"/>
                <w:szCs w:val="24"/>
              </w:rPr>
            </w:pPr>
            <w:r>
              <w:rPr>
                <w:rFonts w:ascii="宋体" w:eastAsia="宋体" w:hAnsi="宋体" w:cs="宋体" w:hint="eastAsia"/>
                <w:kern w:val="0"/>
                <w:sz w:val="21"/>
                <w:szCs w:val="24"/>
              </w:rPr>
              <w:t>4.发生超范围、超标准支出，虚列支出，截留、挤占、挪用资金的，以及其他不符合制度规定支出，本项指标得0分。</w:t>
            </w:r>
          </w:p>
        </w:tc>
        <w:tc>
          <w:tcPr>
            <w:tcW w:w="835" w:type="dxa"/>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3</w:t>
            </w:r>
          </w:p>
        </w:tc>
      </w:tr>
      <w:tr w:rsidR="00FC160C">
        <w:trPr>
          <w:trHeight w:val="2254"/>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center"/>
              <w:rPr>
                <w:rFonts w:ascii="宋体" w:eastAsia="宋体"/>
                <w:kern w:val="0"/>
                <w:sz w:val="21"/>
                <w:szCs w:val="24"/>
              </w:rPr>
            </w:pP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预决算信息公开</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3</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部门（单位）在被评价年度是否按照政府信息公开有关规定公开相关预决算信息，用以反映部门（单位）预决算管理的公开透明情况。</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405"/>
              <w:rPr>
                <w:rFonts w:ascii="宋体" w:eastAsia="宋体" w:hAnsi="宋体" w:cs="宋体"/>
                <w:kern w:val="0"/>
                <w:sz w:val="21"/>
                <w:szCs w:val="24"/>
              </w:rPr>
            </w:pPr>
            <w:r>
              <w:rPr>
                <w:rFonts w:ascii="宋体" w:eastAsia="宋体" w:hAnsi="宋体" w:cs="宋体"/>
                <w:kern w:val="0"/>
                <w:sz w:val="21"/>
                <w:szCs w:val="24"/>
              </w:rPr>
              <w:t>1.</w:t>
            </w:r>
            <w:r>
              <w:rPr>
                <w:rFonts w:ascii="宋体" w:eastAsia="宋体" w:hAnsi="宋体" w:cs="宋体" w:hint="eastAsia"/>
                <w:kern w:val="0"/>
                <w:sz w:val="21"/>
                <w:szCs w:val="24"/>
              </w:rPr>
              <w:t>部门预算公开（1.5分），按以下标准分档计分：</w:t>
            </w:r>
            <w:r>
              <w:rPr>
                <w:rFonts w:ascii="宋体" w:eastAsia="宋体"/>
                <w:kern w:val="0"/>
                <w:sz w:val="21"/>
                <w:szCs w:val="24"/>
              </w:rPr>
              <w:br/>
            </w:r>
            <w:r>
              <w:rPr>
                <w:rFonts w:ascii="宋体" w:eastAsia="宋体" w:hAnsi="宋体" w:cs="宋体" w:hint="eastAsia"/>
                <w:kern w:val="0"/>
                <w:sz w:val="21"/>
                <w:szCs w:val="24"/>
              </w:rPr>
              <w:t>（</w:t>
            </w:r>
            <w:r>
              <w:rPr>
                <w:rFonts w:ascii="宋体" w:eastAsia="宋体" w:hAnsi="宋体" w:cs="宋体"/>
                <w:kern w:val="0"/>
                <w:sz w:val="21"/>
                <w:szCs w:val="24"/>
              </w:rPr>
              <w:t>1</w:t>
            </w:r>
            <w:r>
              <w:rPr>
                <w:rFonts w:ascii="宋体" w:eastAsia="宋体" w:hAnsi="宋体" w:cs="宋体" w:hint="eastAsia"/>
                <w:kern w:val="0"/>
                <w:sz w:val="21"/>
                <w:szCs w:val="24"/>
              </w:rPr>
              <w:t>）按规定内容、时限、范围等各项要求进行公开的，得1.5分。</w:t>
            </w:r>
            <w:r>
              <w:rPr>
                <w:rFonts w:ascii="宋体" w:eastAsia="宋体"/>
                <w:kern w:val="0"/>
                <w:sz w:val="21"/>
                <w:szCs w:val="24"/>
              </w:rPr>
              <w:br/>
            </w:r>
            <w:r>
              <w:rPr>
                <w:rFonts w:ascii="宋体" w:eastAsia="宋体" w:hAnsi="宋体" w:cs="宋体" w:hint="eastAsia"/>
                <w:kern w:val="0"/>
                <w:sz w:val="21"/>
                <w:szCs w:val="24"/>
              </w:rPr>
              <w:t>（</w:t>
            </w:r>
            <w:r>
              <w:rPr>
                <w:rFonts w:ascii="宋体" w:eastAsia="宋体" w:hAnsi="宋体" w:cs="宋体"/>
                <w:kern w:val="0"/>
                <w:sz w:val="21"/>
                <w:szCs w:val="24"/>
              </w:rPr>
              <w:t>2</w:t>
            </w:r>
            <w:r>
              <w:rPr>
                <w:rFonts w:ascii="宋体" w:eastAsia="宋体" w:hAnsi="宋体" w:cs="宋体" w:hint="eastAsia"/>
                <w:kern w:val="0"/>
                <w:sz w:val="21"/>
                <w:szCs w:val="24"/>
              </w:rPr>
              <w:t>）进行了公开，存在不符合时限、内容、范围等要求的，得</w:t>
            </w:r>
            <w:r>
              <w:rPr>
                <w:rFonts w:ascii="宋体" w:eastAsia="宋体" w:hAnsi="宋体" w:cs="宋体"/>
                <w:kern w:val="0"/>
                <w:sz w:val="21"/>
                <w:szCs w:val="24"/>
              </w:rPr>
              <w:t>1</w:t>
            </w:r>
            <w:r>
              <w:rPr>
                <w:rFonts w:ascii="宋体" w:eastAsia="宋体" w:hAnsi="宋体" w:cs="宋体" w:hint="eastAsia"/>
                <w:kern w:val="0"/>
                <w:sz w:val="21"/>
                <w:szCs w:val="24"/>
              </w:rPr>
              <w:t>分。</w:t>
            </w:r>
            <w:r>
              <w:rPr>
                <w:rFonts w:ascii="宋体" w:eastAsia="宋体"/>
                <w:kern w:val="0"/>
                <w:sz w:val="21"/>
                <w:szCs w:val="24"/>
              </w:rPr>
              <w:br/>
            </w:r>
            <w:r>
              <w:rPr>
                <w:rFonts w:ascii="宋体" w:eastAsia="宋体" w:hAnsi="宋体" w:cs="宋体" w:hint="eastAsia"/>
                <w:kern w:val="0"/>
                <w:sz w:val="21"/>
                <w:szCs w:val="24"/>
              </w:rPr>
              <w:t>（</w:t>
            </w:r>
            <w:r>
              <w:rPr>
                <w:rFonts w:ascii="宋体" w:eastAsia="宋体" w:hAnsi="宋体" w:cs="宋体"/>
                <w:kern w:val="0"/>
                <w:sz w:val="21"/>
                <w:szCs w:val="24"/>
              </w:rPr>
              <w:t>3</w:t>
            </w:r>
            <w:r>
              <w:rPr>
                <w:rFonts w:ascii="宋体" w:eastAsia="宋体" w:hAnsi="宋体" w:cs="宋体" w:hint="eastAsia"/>
                <w:kern w:val="0"/>
                <w:sz w:val="21"/>
                <w:szCs w:val="24"/>
              </w:rPr>
              <w:t>）没有进行公开的，得</w:t>
            </w:r>
            <w:r>
              <w:rPr>
                <w:rFonts w:ascii="宋体" w:eastAsia="宋体" w:cs="宋体"/>
                <w:kern w:val="0"/>
                <w:sz w:val="21"/>
                <w:szCs w:val="24"/>
              </w:rPr>
              <w:t>0</w:t>
            </w:r>
            <w:r>
              <w:rPr>
                <w:rFonts w:ascii="宋体" w:eastAsia="宋体" w:hAnsi="宋体" w:cs="宋体" w:hint="eastAsia"/>
                <w:kern w:val="0"/>
                <w:sz w:val="21"/>
                <w:szCs w:val="24"/>
              </w:rPr>
              <w:t>分。</w:t>
            </w:r>
            <w:r>
              <w:rPr>
                <w:rFonts w:ascii="宋体" w:eastAsia="宋体"/>
                <w:kern w:val="0"/>
                <w:sz w:val="21"/>
                <w:szCs w:val="24"/>
              </w:rPr>
              <w:br/>
            </w:r>
            <w:r>
              <w:rPr>
                <w:rFonts w:ascii="宋体" w:eastAsia="宋体" w:hAnsi="宋体" w:cs="宋体"/>
                <w:kern w:val="0"/>
                <w:sz w:val="21"/>
                <w:szCs w:val="24"/>
              </w:rPr>
              <w:t xml:space="preserve">    2.</w:t>
            </w:r>
            <w:r>
              <w:rPr>
                <w:rFonts w:ascii="宋体" w:eastAsia="宋体" w:hAnsi="宋体" w:cs="宋体" w:hint="eastAsia"/>
                <w:kern w:val="0"/>
                <w:sz w:val="21"/>
                <w:szCs w:val="24"/>
              </w:rPr>
              <w:t>部门决算公开（1.5分），按以下标准分档计分：</w:t>
            </w:r>
            <w:r>
              <w:rPr>
                <w:rFonts w:ascii="宋体" w:eastAsia="宋体"/>
                <w:kern w:val="0"/>
                <w:sz w:val="21"/>
                <w:szCs w:val="24"/>
              </w:rPr>
              <w:br/>
            </w:r>
            <w:r>
              <w:rPr>
                <w:rFonts w:ascii="宋体" w:eastAsia="宋体" w:hAnsi="宋体" w:cs="宋体" w:hint="eastAsia"/>
                <w:kern w:val="0"/>
                <w:sz w:val="21"/>
                <w:szCs w:val="24"/>
              </w:rPr>
              <w:t>（</w:t>
            </w:r>
            <w:r>
              <w:rPr>
                <w:rFonts w:ascii="宋体" w:eastAsia="宋体" w:hAnsi="宋体" w:cs="宋体"/>
                <w:kern w:val="0"/>
                <w:sz w:val="21"/>
                <w:szCs w:val="24"/>
              </w:rPr>
              <w:t>1</w:t>
            </w:r>
            <w:r>
              <w:rPr>
                <w:rFonts w:ascii="宋体" w:eastAsia="宋体" w:hAnsi="宋体" w:cs="宋体" w:hint="eastAsia"/>
                <w:kern w:val="0"/>
                <w:sz w:val="21"/>
                <w:szCs w:val="24"/>
              </w:rPr>
              <w:t>）按规定内容、时限、范围等各项要求进行公开的，得1.5分。</w:t>
            </w:r>
            <w:r>
              <w:rPr>
                <w:rFonts w:ascii="宋体" w:eastAsia="宋体"/>
                <w:kern w:val="0"/>
                <w:sz w:val="21"/>
                <w:szCs w:val="24"/>
              </w:rPr>
              <w:br/>
            </w:r>
            <w:r>
              <w:rPr>
                <w:rFonts w:ascii="宋体" w:eastAsia="宋体" w:hAnsi="宋体" w:cs="宋体" w:hint="eastAsia"/>
                <w:kern w:val="0"/>
                <w:sz w:val="21"/>
                <w:szCs w:val="24"/>
              </w:rPr>
              <w:t>（</w:t>
            </w:r>
            <w:r>
              <w:rPr>
                <w:rFonts w:ascii="宋体" w:eastAsia="宋体" w:hAnsi="宋体" w:cs="宋体"/>
                <w:kern w:val="0"/>
                <w:sz w:val="21"/>
                <w:szCs w:val="24"/>
              </w:rPr>
              <w:t>2</w:t>
            </w:r>
            <w:r>
              <w:rPr>
                <w:rFonts w:ascii="宋体" w:eastAsia="宋体" w:hAnsi="宋体" w:cs="宋体" w:hint="eastAsia"/>
                <w:kern w:val="0"/>
                <w:sz w:val="21"/>
                <w:szCs w:val="24"/>
              </w:rPr>
              <w:t>）进行了公开，存在不符合时限、内容、范围等要求的，得</w:t>
            </w:r>
            <w:r>
              <w:rPr>
                <w:rFonts w:ascii="宋体" w:eastAsia="宋体" w:hAnsi="宋体" w:cs="宋体"/>
                <w:kern w:val="0"/>
                <w:sz w:val="21"/>
                <w:szCs w:val="24"/>
              </w:rPr>
              <w:t>1</w:t>
            </w:r>
            <w:r>
              <w:rPr>
                <w:rFonts w:ascii="宋体" w:eastAsia="宋体" w:hAnsi="宋体" w:cs="宋体" w:hint="eastAsia"/>
                <w:kern w:val="0"/>
                <w:sz w:val="21"/>
                <w:szCs w:val="24"/>
              </w:rPr>
              <w:t>分。</w:t>
            </w:r>
            <w:r>
              <w:rPr>
                <w:rFonts w:ascii="宋体" w:eastAsia="宋体"/>
                <w:kern w:val="0"/>
                <w:sz w:val="21"/>
                <w:szCs w:val="24"/>
              </w:rPr>
              <w:br/>
            </w:r>
            <w:r>
              <w:rPr>
                <w:rFonts w:ascii="宋体" w:eastAsia="宋体" w:hAnsi="宋体" w:cs="宋体" w:hint="eastAsia"/>
                <w:kern w:val="0"/>
                <w:sz w:val="21"/>
                <w:szCs w:val="24"/>
              </w:rPr>
              <w:t>（</w:t>
            </w:r>
            <w:r>
              <w:rPr>
                <w:rFonts w:ascii="宋体" w:eastAsia="宋体" w:hAnsi="宋体" w:cs="宋体"/>
                <w:kern w:val="0"/>
                <w:sz w:val="21"/>
                <w:szCs w:val="24"/>
              </w:rPr>
              <w:t>3</w:t>
            </w:r>
            <w:r>
              <w:rPr>
                <w:rFonts w:ascii="宋体" w:eastAsia="宋体" w:hAnsi="宋体" w:cs="宋体" w:hint="eastAsia"/>
                <w:kern w:val="0"/>
                <w:sz w:val="21"/>
                <w:szCs w:val="24"/>
              </w:rPr>
              <w:t>）没有进行公开的，得</w:t>
            </w:r>
            <w:r>
              <w:rPr>
                <w:rFonts w:ascii="宋体" w:eastAsia="宋体" w:cs="宋体"/>
                <w:kern w:val="0"/>
                <w:sz w:val="21"/>
                <w:szCs w:val="24"/>
              </w:rPr>
              <w:t>0</w:t>
            </w:r>
            <w:r>
              <w:rPr>
                <w:rFonts w:ascii="宋体" w:eastAsia="宋体" w:hAnsi="宋体" w:cs="宋体" w:hint="eastAsia"/>
                <w:kern w:val="0"/>
                <w:sz w:val="21"/>
                <w:szCs w:val="24"/>
              </w:rPr>
              <w:t>分。</w:t>
            </w:r>
          </w:p>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3.涉密部门（单位）按规定不需要公开相关预决算信息的直接得分。</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3</w:t>
            </w:r>
          </w:p>
        </w:tc>
      </w:tr>
      <w:tr w:rsidR="00FC160C">
        <w:trPr>
          <w:trHeight w:val="1491"/>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项目管理</w:t>
            </w: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4</w:t>
            </w: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项目实施程序</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kern w:val="0"/>
                <w:sz w:val="21"/>
                <w:szCs w:val="24"/>
              </w:rPr>
              <w:t>2</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部门（单位）所有项目支出实施过程是否规范</w:t>
            </w:r>
            <w:r>
              <w:rPr>
                <w:rFonts w:ascii="宋体" w:eastAsia="宋体" w:cs="宋体"/>
                <w:kern w:val="0"/>
                <w:sz w:val="21"/>
                <w:szCs w:val="24"/>
              </w:rPr>
              <w:t>,</w:t>
            </w:r>
            <w:r>
              <w:rPr>
                <w:rFonts w:ascii="宋体" w:eastAsia="宋体" w:hAnsi="宋体" w:cs="宋体" w:hint="eastAsia"/>
                <w:kern w:val="0"/>
                <w:sz w:val="21"/>
                <w:szCs w:val="24"/>
              </w:rPr>
              <w:t>包括是否符合申报条件；申报、批复程序是否符合相关管理办法；项目招投标、调整、完成验收等是否履行相应手续等。</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kern w:val="0"/>
                <w:sz w:val="21"/>
                <w:szCs w:val="24"/>
              </w:rPr>
              <w:t xml:space="preserve">    1.</w:t>
            </w:r>
            <w:r>
              <w:rPr>
                <w:rFonts w:ascii="宋体" w:eastAsia="宋体" w:hAnsi="宋体" w:cs="宋体" w:hint="eastAsia"/>
                <w:kern w:val="0"/>
                <w:sz w:val="21"/>
                <w:szCs w:val="24"/>
              </w:rPr>
              <w:t>项目的设立、调整按规定履行报批程序（</w:t>
            </w:r>
            <w:r>
              <w:rPr>
                <w:rFonts w:ascii="宋体" w:eastAsia="宋体" w:hAnsi="宋体" w:cs="宋体"/>
                <w:kern w:val="0"/>
                <w:sz w:val="21"/>
                <w:szCs w:val="24"/>
              </w:rPr>
              <w:t>1</w:t>
            </w:r>
            <w:r>
              <w:rPr>
                <w:rFonts w:ascii="宋体" w:eastAsia="宋体" w:hAnsi="宋体" w:cs="宋体" w:hint="eastAsia"/>
                <w:kern w:val="0"/>
                <w:sz w:val="21"/>
                <w:szCs w:val="24"/>
              </w:rPr>
              <w:t>分）；</w:t>
            </w:r>
            <w:r>
              <w:rPr>
                <w:rFonts w:ascii="宋体" w:eastAsia="宋体"/>
                <w:kern w:val="0"/>
                <w:sz w:val="21"/>
                <w:szCs w:val="24"/>
              </w:rPr>
              <w:br/>
            </w:r>
            <w:r>
              <w:rPr>
                <w:rFonts w:ascii="宋体" w:eastAsia="宋体" w:hAnsi="宋体" w:cs="宋体"/>
                <w:kern w:val="0"/>
                <w:sz w:val="21"/>
                <w:szCs w:val="24"/>
              </w:rPr>
              <w:t xml:space="preserve">    2.</w:t>
            </w:r>
            <w:r>
              <w:rPr>
                <w:rFonts w:ascii="宋体" w:eastAsia="宋体" w:hAnsi="宋体" w:cs="宋体" w:hint="eastAsia"/>
                <w:kern w:val="0"/>
                <w:sz w:val="21"/>
                <w:szCs w:val="24"/>
              </w:rPr>
              <w:t>项目招投标、建设、验收以及方案实施均严格执行相关制度规定（</w:t>
            </w:r>
            <w:r>
              <w:rPr>
                <w:rFonts w:ascii="宋体" w:eastAsia="宋体" w:hAnsi="宋体" w:cs="宋体"/>
                <w:kern w:val="0"/>
                <w:sz w:val="21"/>
                <w:szCs w:val="24"/>
              </w:rPr>
              <w:t>1</w:t>
            </w:r>
            <w:r>
              <w:rPr>
                <w:rFonts w:ascii="宋体" w:eastAsia="宋体" w:hAnsi="宋体" w:cs="宋体" w:hint="eastAsia"/>
                <w:kern w:val="0"/>
                <w:sz w:val="21"/>
                <w:szCs w:val="24"/>
              </w:rPr>
              <w:t>分）。</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2</w:t>
            </w:r>
          </w:p>
        </w:tc>
      </w:tr>
      <w:tr w:rsidR="00FC160C">
        <w:trPr>
          <w:trHeight w:val="1527"/>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center"/>
              <w:rPr>
                <w:rFonts w:ascii="宋体" w:eastAsia="宋体"/>
                <w:kern w:val="0"/>
                <w:sz w:val="21"/>
                <w:szCs w:val="24"/>
              </w:rPr>
            </w:pP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hAnsi="宋体" w:cs="宋体"/>
                <w:kern w:val="0"/>
                <w:sz w:val="21"/>
                <w:szCs w:val="24"/>
              </w:rPr>
            </w:pPr>
            <w:r>
              <w:rPr>
                <w:rFonts w:ascii="宋体" w:eastAsia="宋体" w:hAnsi="宋体" w:cs="宋体" w:hint="eastAsia"/>
                <w:kern w:val="0"/>
                <w:sz w:val="21"/>
                <w:szCs w:val="24"/>
              </w:rPr>
              <w:t>项目</w:t>
            </w:r>
          </w:p>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监管</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2</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部门（单位）对所实施项目（包括部门主管的专项资金和专项经费分配给市、区实施的项目）的检查、监控、督促整改等管理情况。</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420"/>
              <w:rPr>
                <w:rFonts w:ascii="宋体" w:eastAsia="宋体"/>
                <w:kern w:val="0"/>
                <w:sz w:val="21"/>
                <w:szCs w:val="24"/>
              </w:rPr>
            </w:pPr>
            <w:r>
              <w:rPr>
                <w:rFonts w:ascii="宋体" w:eastAsia="宋体" w:hAnsi="宋体" w:cs="宋体"/>
                <w:kern w:val="0"/>
                <w:sz w:val="21"/>
                <w:szCs w:val="24"/>
              </w:rPr>
              <w:t>1.</w:t>
            </w:r>
            <w:r>
              <w:rPr>
                <w:rFonts w:ascii="宋体" w:eastAsia="宋体" w:hAnsi="宋体" w:cs="宋体" w:hint="eastAsia"/>
                <w:kern w:val="0"/>
                <w:sz w:val="21"/>
                <w:szCs w:val="24"/>
              </w:rPr>
              <w:t>资金使用单位、基层资金管理单位建立有效资金管理和绩效运行监控机制，且执行情况良好（1分）；</w:t>
            </w:r>
            <w:r>
              <w:rPr>
                <w:rFonts w:ascii="宋体" w:eastAsia="宋体"/>
                <w:kern w:val="0"/>
                <w:sz w:val="21"/>
                <w:szCs w:val="24"/>
              </w:rPr>
              <w:br/>
            </w:r>
            <w:r>
              <w:rPr>
                <w:rFonts w:ascii="宋体" w:eastAsia="宋体" w:hAnsi="宋体" w:cs="宋体"/>
                <w:kern w:val="0"/>
                <w:sz w:val="21"/>
                <w:szCs w:val="24"/>
              </w:rPr>
              <w:t xml:space="preserve">    2.</w:t>
            </w:r>
            <w:r>
              <w:rPr>
                <w:rFonts w:ascii="宋体" w:eastAsia="宋体" w:hAnsi="宋体" w:cs="宋体" w:hint="eastAsia"/>
                <w:kern w:val="0"/>
                <w:sz w:val="21"/>
                <w:szCs w:val="24"/>
              </w:rPr>
              <w:t>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2</w:t>
            </w:r>
          </w:p>
        </w:tc>
      </w:tr>
      <w:tr w:rsidR="00FC160C">
        <w:trPr>
          <w:trHeight w:val="1369"/>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资产管理</w:t>
            </w: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3</w:t>
            </w: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资产管理安全性</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kern w:val="0"/>
                <w:sz w:val="21"/>
                <w:szCs w:val="24"/>
              </w:rPr>
              <w:t>2</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部门（单位）的资产是否保存完整、使用合规、配置合理、处置规范、收入及时足额上缴，用于反映和考核部门（单位）资产安全运行情况。</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kern w:val="0"/>
                <w:sz w:val="21"/>
                <w:szCs w:val="24"/>
              </w:rPr>
              <w:t xml:space="preserve">    1.</w:t>
            </w:r>
            <w:r>
              <w:rPr>
                <w:rFonts w:ascii="宋体" w:eastAsia="宋体" w:hAnsi="宋体" w:cs="宋体" w:hint="eastAsia"/>
                <w:kern w:val="0"/>
                <w:sz w:val="21"/>
                <w:szCs w:val="24"/>
              </w:rPr>
              <w:t>资产配置合理、保管完整，账实相符（</w:t>
            </w:r>
            <w:r>
              <w:rPr>
                <w:rFonts w:ascii="宋体" w:eastAsia="宋体" w:hAnsi="宋体" w:cs="宋体"/>
                <w:kern w:val="0"/>
                <w:sz w:val="21"/>
                <w:szCs w:val="24"/>
              </w:rPr>
              <w:t>1</w:t>
            </w:r>
            <w:r>
              <w:rPr>
                <w:rFonts w:ascii="宋体" w:eastAsia="宋体" w:hAnsi="宋体" w:cs="宋体" w:hint="eastAsia"/>
                <w:kern w:val="0"/>
                <w:sz w:val="21"/>
                <w:szCs w:val="24"/>
              </w:rPr>
              <w:t>分）；</w:t>
            </w:r>
            <w:r>
              <w:rPr>
                <w:rFonts w:ascii="宋体" w:eastAsia="宋体"/>
                <w:kern w:val="0"/>
                <w:sz w:val="21"/>
                <w:szCs w:val="24"/>
              </w:rPr>
              <w:br/>
            </w:r>
            <w:r>
              <w:rPr>
                <w:rFonts w:ascii="宋体" w:eastAsia="宋体" w:hAnsi="宋体" w:cs="宋体"/>
                <w:kern w:val="0"/>
                <w:sz w:val="21"/>
                <w:szCs w:val="24"/>
              </w:rPr>
              <w:t xml:space="preserve">    2.</w:t>
            </w:r>
            <w:r>
              <w:rPr>
                <w:rFonts w:ascii="宋体" w:eastAsia="宋体" w:hAnsi="宋体" w:cs="宋体" w:hint="eastAsia"/>
                <w:kern w:val="0"/>
                <w:sz w:val="21"/>
                <w:szCs w:val="24"/>
              </w:rPr>
              <w:t>资产处置规范，有偿使用及处置收入及时足额上缴（</w:t>
            </w:r>
            <w:r>
              <w:rPr>
                <w:rFonts w:ascii="宋体" w:eastAsia="宋体" w:hAnsi="宋体" w:cs="宋体"/>
                <w:kern w:val="0"/>
                <w:sz w:val="21"/>
                <w:szCs w:val="24"/>
              </w:rPr>
              <w:t>1</w:t>
            </w:r>
            <w:r>
              <w:rPr>
                <w:rFonts w:ascii="宋体" w:eastAsia="宋体" w:hAnsi="宋体" w:cs="宋体" w:hint="eastAsia"/>
                <w:kern w:val="0"/>
                <w:sz w:val="21"/>
                <w:szCs w:val="24"/>
              </w:rPr>
              <w:t>分）。</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2</w:t>
            </w:r>
          </w:p>
        </w:tc>
      </w:tr>
      <w:tr w:rsidR="00FC160C">
        <w:trPr>
          <w:trHeight w:val="1314"/>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center"/>
              <w:rPr>
                <w:rFonts w:ascii="宋体" w:eastAsia="宋体"/>
                <w:kern w:val="0"/>
                <w:sz w:val="21"/>
                <w:szCs w:val="24"/>
              </w:rPr>
            </w:pP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jc w:val="left"/>
              <w:rPr>
                <w:rFonts w:ascii="宋体" w:eastAsia="宋体"/>
                <w:kern w:val="0"/>
                <w:sz w:val="21"/>
                <w:szCs w:val="24"/>
              </w:rPr>
            </w:pPr>
            <w:r>
              <w:rPr>
                <w:rFonts w:ascii="宋体" w:eastAsia="宋体" w:hAnsi="宋体" w:cs="宋体" w:hint="eastAsia"/>
                <w:kern w:val="0"/>
                <w:sz w:val="21"/>
                <w:szCs w:val="24"/>
              </w:rPr>
              <w:t>固定资产利用率</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jc w:val="center"/>
              <w:rPr>
                <w:rFonts w:ascii="宋体" w:eastAsia="宋体"/>
                <w:kern w:val="0"/>
                <w:sz w:val="21"/>
                <w:szCs w:val="24"/>
              </w:rPr>
            </w:pPr>
            <w:r>
              <w:rPr>
                <w:rFonts w:ascii="宋体" w:eastAsia="宋体" w:hAnsi="宋体" w:cs="宋体" w:hint="eastAsia"/>
                <w:kern w:val="0"/>
                <w:sz w:val="21"/>
                <w:szCs w:val="24"/>
              </w:rPr>
              <w:t>1</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rPr>
                <w:rFonts w:ascii="宋体" w:eastAsia="宋体"/>
                <w:kern w:val="0"/>
                <w:sz w:val="21"/>
                <w:szCs w:val="24"/>
              </w:rPr>
            </w:pPr>
            <w:r>
              <w:rPr>
                <w:rFonts w:ascii="宋体" w:eastAsia="宋体" w:hAnsi="宋体" w:cs="宋体" w:hint="eastAsia"/>
                <w:kern w:val="0"/>
                <w:sz w:val="21"/>
                <w:szCs w:val="24"/>
              </w:rPr>
              <w:t>部门（单位）实际在用固定资产总额与所有固定资产总额的比例，用以反映和考核部门（单位）固定资产使用效率程度。</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420"/>
              <w:rPr>
                <w:rFonts w:ascii="宋体" w:eastAsia="宋体" w:hAnsi="宋体" w:cs="宋体"/>
                <w:kern w:val="0"/>
                <w:sz w:val="21"/>
                <w:szCs w:val="24"/>
              </w:rPr>
            </w:pPr>
            <w:r>
              <w:rPr>
                <w:rFonts w:ascii="宋体" w:eastAsia="宋体" w:hAnsi="宋体" w:cs="宋体" w:hint="eastAsia"/>
                <w:kern w:val="0"/>
                <w:sz w:val="21"/>
                <w:szCs w:val="24"/>
              </w:rPr>
              <w:t>固定资产利用率=（实际在用固定资产总额/所有固定资产总额）×</w:t>
            </w:r>
            <w:r>
              <w:rPr>
                <w:rFonts w:ascii="宋体" w:eastAsia="宋体" w:hAnsi="宋体" w:cs="宋体"/>
                <w:kern w:val="0"/>
                <w:sz w:val="21"/>
                <w:szCs w:val="24"/>
              </w:rPr>
              <w:t xml:space="preserve">100%    </w:t>
            </w:r>
          </w:p>
          <w:p w:rsidR="00FC160C" w:rsidRDefault="00481A9C">
            <w:pPr>
              <w:widowControl/>
              <w:spacing w:line="300" w:lineRule="exact"/>
              <w:ind w:firstLine="420"/>
              <w:rPr>
                <w:rFonts w:ascii="宋体" w:eastAsia="宋体"/>
                <w:kern w:val="0"/>
                <w:sz w:val="21"/>
                <w:szCs w:val="24"/>
              </w:rPr>
            </w:pPr>
            <w:r>
              <w:rPr>
                <w:rFonts w:ascii="宋体" w:eastAsia="宋体" w:hAnsi="宋体" w:cs="宋体"/>
                <w:kern w:val="0"/>
                <w:sz w:val="21"/>
                <w:szCs w:val="24"/>
              </w:rPr>
              <w:t>1.</w:t>
            </w:r>
            <w:r>
              <w:rPr>
                <w:rFonts w:ascii="宋体" w:eastAsia="宋体" w:hAnsi="宋体" w:cs="宋体" w:hint="eastAsia"/>
                <w:kern w:val="0"/>
                <w:sz w:val="21"/>
                <w:szCs w:val="24"/>
              </w:rPr>
              <w:t>固定资产利用率≥</w:t>
            </w:r>
            <w:r>
              <w:rPr>
                <w:rFonts w:ascii="宋体" w:eastAsia="宋体" w:hAnsi="宋体" w:cs="宋体"/>
                <w:kern w:val="0"/>
                <w:sz w:val="21"/>
                <w:szCs w:val="24"/>
              </w:rPr>
              <w:t>90%</w:t>
            </w:r>
            <w:r>
              <w:rPr>
                <w:rFonts w:ascii="宋体" w:eastAsia="宋体" w:hAnsi="宋体" w:cs="宋体" w:hint="eastAsia"/>
                <w:kern w:val="0"/>
                <w:sz w:val="21"/>
                <w:szCs w:val="24"/>
              </w:rPr>
              <w:t>的，得1分；</w:t>
            </w:r>
            <w:r>
              <w:rPr>
                <w:rFonts w:ascii="宋体" w:eastAsia="宋体"/>
                <w:kern w:val="0"/>
                <w:sz w:val="21"/>
                <w:szCs w:val="24"/>
              </w:rPr>
              <w:br/>
            </w:r>
            <w:r>
              <w:rPr>
                <w:rFonts w:ascii="宋体" w:eastAsia="宋体" w:hAnsi="宋体" w:cs="宋体"/>
                <w:kern w:val="0"/>
                <w:sz w:val="21"/>
                <w:szCs w:val="24"/>
              </w:rPr>
              <w:t xml:space="preserve">    2.90%</w:t>
            </w:r>
            <w:r>
              <w:rPr>
                <w:rFonts w:ascii="宋体" w:eastAsia="宋体" w:hAnsi="宋体" w:cs="宋体" w:hint="eastAsia"/>
                <w:kern w:val="0"/>
                <w:sz w:val="21"/>
                <w:szCs w:val="24"/>
              </w:rPr>
              <w:t>＞固定资产利用率≥</w:t>
            </w:r>
            <w:r>
              <w:rPr>
                <w:rFonts w:ascii="宋体" w:eastAsia="宋体" w:hAnsi="宋体" w:cs="宋体"/>
                <w:kern w:val="0"/>
                <w:sz w:val="21"/>
                <w:szCs w:val="24"/>
              </w:rPr>
              <w:t>75%</w:t>
            </w:r>
            <w:r>
              <w:rPr>
                <w:rFonts w:ascii="宋体" w:eastAsia="宋体" w:hAnsi="宋体" w:cs="宋体" w:hint="eastAsia"/>
                <w:kern w:val="0"/>
                <w:sz w:val="21"/>
                <w:szCs w:val="24"/>
              </w:rPr>
              <w:t>的，得0.7分；</w:t>
            </w:r>
            <w:r>
              <w:rPr>
                <w:rFonts w:ascii="宋体" w:eastAsia="宋体"/>
                <w:kern w:val="0"/>
                <w:sz w:val="21"/>
                <w:szCs w:val="24"/>
              </w:rPr>
              <w:br/>
            </w:r>
            <w:r>
              <w:rPr>
                <w:rFonts w:ascii="宋体" w:eastAsia="宋体" w:hAnsi="宋体" w:cs="宋体"/>
                <w:kern w:val="0"/>
                <w:sz w:val="21"/>
                <w:szCs w:val="24"/>
              </w:rPr>
              <w:t xml:space="preserve">    3.75%</w:t>
            </w:r>
            <w:r>
              <w:rPr>
                <w:rFonts w:ascii="宋体" w:eastAsia="宋体" w:hAnsi="宋体" w:cs="宋体" w:hint="eastAsia"/>
                <w:kern w:val="0"/>
                <w:sz w:val="21"/>
                <w:szCs w:val="24"/>
              </w:rPr>
              <w:t>＞固定资产利用率≥</w:t>
            </w:r>
            <w:r>
              <w:rPr>
                <w:rFonts w:ascii="宋体" w:eastAsia="宋体" w:hAnsi="宋体" w:cs="宋体"/>
                <w:kern w:val="0"/>
                <w:sz w:val="21"/>
                <w:szCs w:val="24"/>
              </w:rPr>
              <w:t>60%</w:t>
            </w:r>
            <w:r>
              <w:rPr>
                <w:rFonts w:ascii="宋体" w:eastAsia="宋体" w:hAnsi="宋体" w:cs="宋体" w:hint="eastAsia"/>
                <w:kern w:val="0"/>
                <w:sz w:val="21"/>
                <w:szCs w:val="24"/>
              </w:rPr>
              <w:t>的，得</w:t>
            </w:r>
            <w:r>
              <w:rPr>
                <w:rFonts w:ascii="宋体" w:eastAsia="宋体" w:hAnsi="宋体" w:cs="宋体"/>
                <w:kern w:val="0"/>
                <w:sz w:val="21"/>
                <w:szCs w:val="24"/>
              </w:rPr>
              <w:t>0.</w:t>
            </w:r>
            <w:r>
              <w:rPr>
                <w:rFonts w:ascii="宋体" w:eastAsia="宋体" w:hAnsi="宋体" w:cs="宋体" w:hint="eastAsia"/>
                <w:kern w:val="0"/>
                <w:sz w:val="21"/>
                <w:szCs w:val="24"/>
              </w:rPr>
              <w:t>4分；</w:t>
            </w:r>
            <w:r>
              <w:rPr>
                <w:rFonts w:ascii="宋体" w:eastAsia="宋体"/>
                <w:kern w:val="0"/>
                <w:sz w:val="21"/>
                <w:szCs w:val="24"/>
              </w:rPr>
              <w:br/>
            </w:r>
            <w:r>
              <w:rPr>
                <w:rFonts w:ascii="宋体" w:eastAsia="宋体" w:hAnsi="宋体" w:cs="宋体"/>
                <w:kern w:val="0"/>
                <w:sz w:val="21"/>
                <w:szCs w:val="24"/>
              </w:rPr>
              <w:t xml:space="preserve">    4.</w:t>
            </w:r>
            <w:r>
              <w:rPr>
                <w:rFonts w:ascii="宋体" w:eastAsia="宋体" w:hAnsi="宋体" w:cs="宋体" w:hint="eastAsia"/>
                <w:kern w:val="0"/>
                <w:sz w:val="21"/>
                <w:szCs w:val="24"/>
              </w:rPr>
              <w:t>固定资产利用率＜</w:t>
            </w:r>
            <w:r>
              <w:rPr>
                <w:rFonts w:ascii="宋体" w:eastAsia="宋体" w:hAnsi="宋体" w:cs="宋体"/>
                <w:kern w:val="0"/>
                <w:sz w:val="21"/>
                <w:szCs w:val="24"/>
              </w:rPr>
              <w:t>60%</w:t>
            </w:r>
            <w:r>
              <w:rPr>
                <w:rFonts w:ascii="宋体" w:eastAsia="宋体" w:hAnsi="宋体" w:cs="宋体" w:hint="eastAsia"/>
                <w:kern w:val="0"/>
                <w:sz w:val="21"/>
                <w:szCs w:val="24"/>
              </w:rPr>
              <w:t>的，得</w:t>
            </w:r>
            <w:r>
              <w:rPr>
                <w:rFonts w:ascii="宋体" w:eastAsia="宋体" w:cs="宋体"/>
                <w:kern w:val="0"/>
                <w:sz w:val="21"/>
                <w:szCs w:val="24"/>
              </w:rPr>
              <w:t>0</w:t>
            </w:r>
            <w:r>
              <w:rPr>
                <w:rFonts w:ascii="宋体" w:eastAsia="宋体" w:hAnsi="宋体" w:cs="宋体" w:hint="eastAsia"/>
                <w:kern w:val="0"/>
                <w:sz w:val="21"/>
                <w:szCs w:val="24"/>
              </w:rPr>
              <w:t>分。</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1</w:t>
            </w:r>
          </w:p>
        </w:tc>
      </w:tr>
      <w:tr w:rsidR="00FC160C">
        <w:trPr>
          <w:trHeight w:val="1559"/>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val="restart"/>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人员管理</w:t>
            </w:r>
          </w:p>
        </w:tc>
        <w:tc>
          <w:tcPr>
            <w:tcW w:w="567" w:type="dxa"/>
            <w:vMerge w:val="restart"/>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2</w:t>
            </w:r>
          </w:p>
        </w:tc>
        <w:tc>
          <w:tcPr>
            <w:tcW w:w="851" w:type="dxa"/>
            <w:tcBorders>
              <w:top w:val="single" w:sz="4" w:space="0" w:color="auto"/>
              <w:left w:val="nil"/>
              <w:bottom w:val="single" w:sz="4" w:space="0" w:color="auto"/>
              <w:right w:val="single" w:sz="4" w:space="0" w:color="auto"/>
            </w:tcBorders>
            <w:noWrap/>
            <w:vAlign w:val="center"/>
          </w:tcPr>
          <w:p w:rsidR="00FC160C" w:rsidRDefault="00481A9C">
            <w:pPr>
              <w:widowControl/>
              <w:spacing w:line="300" w:lineRule="exact"/>
              <w:ind w:firstLineChars="0" w:firstLine="0"/>
              <w:jc w:val="left"/>
              <w:rPr>
                <w:rFonts w:ascii="宋体" w:eastAsia="宋体"/>
                <w:kern w:val="0"/>
                <w:sz w:val="21"/>
                <w:szCs w:val="24"/>
              </w:rPr>
            </w:pPr>
            <w:r>
              <w:rPr>
                <w:rFonts w:ascii="宋体" w:eastAsia="宋体" w:hAnsi="宋体" w:cs="宋体" w:hint="eastAsia"/>
                <w:kern w:val="0"/>
                <w:sz w:val="21"/>
                <w:szCs w:val="24"/>
              </w:rPr>
              <w:t>财政供养人员控制率</w:t>
            </w:r>
          </w:p>
        </w:tc>
        <w:tc>
          <w:tcPr>
            <w:tcW w:w="567" w:type="dxa"/>
            <w:tcBorders>
              <w:top w:val="single" w:sz="4" w:space="0" w:color="auto"/>
              <w:left w:val="nil"/>
              <w:bottom w:val="single" w:sz="4" w:space="0" w:color="auto"/>
              <w:right w:val="single" w:sz="4" w:space="0" w:color="auto"/>
            </w:tcBorders>
            <w:noWrap/>
            <w:vAlign w:val="center"/>
          </w:tcPr>
          <w:p w:rsidR="00FC160C" w:rsidRDefault="00481A9C">
            <w:pPr>
              <w:widowControl/>
              <w:spacing w:line="300" w:lineRule="exact"/>
              <w:ind w:firstLineChars="0" w:firstLine="0"/>
              <w:jc w:val="center"/>
              <w:rPr>
                <w:rFonts w:ascii="宋体" w:eastAsia="宋体"/>
                <w:kern w:val="0"/>
                <w:sz w:val="21"/>
                <w:szCs w:val="24"/>
              </w:rPr>
            </w:pPr>
            <w:r>
              <w:rPr>
                <w:rFonts w:ascii="宋体" w:eastAsia="宋体" w:hAnsi="宋体" w:cs="宋体"/>
                <w:kern w:val="0"/>
                <w:sz w:val="21"/>
                <w:szCs w:val="24"/>
              </w:rPr>
              <w:t>1</w:t>
            </w:r>
          </w:p>
        </w:tc>
        <w:tc>
          <w:tcPr>
            <w:tcW w:w="3181" w:type="dxa"/>
            <w:tcBorders>
              <w:top w:val="single" w:sz="4" w:space="0" w:color="auto"/>
              <w:left w:val="nil"/>
              <w:bottom w:val="single" w:sz="4" w:space="0" w:color="auto"/>
              <w:right w:val="single" w:sz="4" w:space="0" w:color="auto"/>
            </w:tcBorders>
            <w:noWrap/>
            <w:vAlign w:val="center"/>
          </w:tcPr>
          <w:p w:rsidR="00FC160C" w:rsidRDefault="00481A9C">
            <w:pPr>
              <w:widowControl/>
              <w:spacing w:line="300" w:lineRule="exact"/>
              <w:ind w:firstLineChars="0" w:firstLine="0"/>
              <w:rPr>
                <w:rFonts w:ascii="宋体" w:eastAsia="宋体"/>
                <w:kern w:val="0"/>
                <w:sz w:val="21"/>
                <w:szCs w:val="24"/>
              </w:rPr>
            </w:pPr>
            <w:r>
              <w:rPr>
                <w:rFonts w:ascii="宋体" w:eastAsia="宋体" w:hAnsi="宋体" w:cs="宋体" w:hint="eastAsia"/>
                <w:kern w:val="0"/>
                <w:sz w:val="21"/>
                <w:szCs w:val="24"/>
              </w:rPr>
              <w:t>部门（单位）本年度在编人数（含工勤人员）与核定编制数（含工勤人员）的比率。</w:t>
            </w:r>
          </w:p>
        </w:tc>
        <w:tc>
          <w:tcPr>
            <w:tcW w:w="7229" w:type="dxa"/>
            <w:tcBorders>
              <w:top w:val="single" w:sz="4" w:space="0" w:color="auto"/>
              <w:left w:val="nil"/>
              <w:bottom w:val="single" w:sz="4" w:space="0" w:color="auto"/>
              <w:right w:val="single" w:sz="4" w:space="0" w:color="auto"/>
            </w:tcBorders>
            <w:noWrap/>
            <w:vAlign w:val="center"/>
          </w:tcPr>
          <w:p w:rsidR="00FC160C" w:rsidRDefault="00481A9C">
            <w:pPr>
              <w:widowControl/>
              <w:spacing w:line="300" w:lineRule="exact"/>
              <w:ind w:firstLine="420"/>
              <w:rPr>
                <w:rFonts w:ascii="宋体" w:eastAsia="宋体" w:hAnsi="宋体" w:cs="宋体"/>
                <w:kern w:val="0"/>
                <w:sz w:val="21"/>
                <w:szCs w:val="24"/>
              </w:rPr>
            </w:pPr>
            <w:r>
              <w:rPr>
                <w:rFonts w:ascii="宋体" w:eastAsia="宋体" w:hAnsi="宋体" w:cs="宋体" w:hint="eastAsia"/>
                <w:kern w:val="0"/>
                <w:sz w:val="21"/>
                <w:szCs w:val="24"/>
              </w:rPr>
              <w:t>财政供养人员控制率=本年度在编人数（含工勤人员）/核定编制数（含工勤人员）</w:t>
            </w:r>
          </w:p>
          <w:p w:rsidR="00FC160C" w:rsidRDefault="00481A9C">
            <w:pPr>
              <w:widowControl/>
              <w:spacing w:line="300" w:lineRule="exact"/>
              <w:ind w:firstLineChars="0" w:firstLine="0"/>
              <w:rPr>
                <w:rFonts w:ascii="宋体" w:eastAsia="宋体" w:hAnsi="宋体" w:cs="宋体"/>
                <w:kern w:val="0"/>
                <w:sz w:val="21"/>
                <w:szCs w:val="24"/>
              </w:rPr>
            </w:pPr>
            <w:r>
              <w:rPr>
                <w:rFonts w:ascii="宋体" w:eastAsia="宋体" w:hAnsi="宋体" w:cs="宋体" w:hint="eastAsia"/>
                <w:kern w:val="0"/>
                <w:sz w:val="21"/>
                <w:szCs w:val="24"/>
              </w:rPr>
              <w:t xml:space="preserve"> 1.财政供养人员控制率≤</w:t>
            </w:r>
            <w:r>
              <w:rPr>
                <w:rFonts w:ascii="宋体" w:eastAsia="宋体" w:hAnsi="宋体" w:cs="宋体"/>
                <w:kern w:val="0"/>
                <w:sz w:val="21"/>
                <w:szCs w:val="24"/>
              </w:rPr>
              <w:t>100%</w:t>
            </w:r>
            <w:r>
              <w:rPr>
                <w:rFonts w:ascii="宋体" w:eastAsia="宋体" w:hAnsi="宋体" w:cs="宋体" w:hint="eastAsia"/>
                <w:kern w:val="0"/>
                <w:sz w:val="21"/>
                <w:szCs w:val="24"/>
              </w:rPr>
              <w:t>的，得1分；</w:t>
            </w:r>
          </w:p>
          <w:p w:rsidR="00FC160C" w:rsidRDefault="00481A9C">
            <w:pPr>
              <w:widowControl/>
              <w:spacing w:line="300" w:lineRule="exact"/>
              <w:ind w:firstLineChars="0" w:firstLine="0"/>
              <w:rPr>
                <w:rFonts w:ascii="宋体" w:eastAsia="宋体"/>
                <w:kern w:val="0"/>
                <w:sz w:val="21"/>
                <w:szCs w:val="24"/>
              </w:rPr>
            </w:pPr>
            <w:r>
              <w:rPr>
                <w:rFonts w:ascii="宋体" w:eastAsia="宋体" w:hint="eastAsia"/>
                <w:kern w:val="0"/>
                <w:sz w:val="21"/>
                <w:szCs w:val="24"/>
              </w:rPr>
              <w:t xml:space="preserve">   2.</w:t>
            </w:r>
            <w:r>
              <w:rPr>
                <w:rFonts w:ascii="宋体" w:eastAsia="宋体" w:hAnsi="宋体" w:cs="宋体" w:hint="eastAsia"/>
                <w:kern w:val="0"/>
                <w:sz w:val="21"/>
                <w:szCs w:val="24"/>
              </w:rPr>
              <w:t>财政供养人员控制率＞</w:t>
            </w:r>
            <w:r>
              <w:rPr>
                <w:rFonts w:ascii="宋体" w:eastAsia="宋体" w:hAnsi="宋体" w:cs="宋体"/>
                <w:kern w:val="0"/>
                <w:sz w:val="21"/>
                <w:szCs w:val="24"/>
              </w:rPr>
              <w:t>100%</w:t>
            </w:r>
            <w:r>
              <w:rPr>
                <w:rFonts w:ascii="宋体" w:eastAsia="宋体" w:hAnsi="宋体" w:cs="宋体" w:hint="eastAsia"/>
                <w:kern w:val="0"/>
                <w:sz w:val="21"/>
                <w:szCs w:val="24"/>
              </w:rPr>
              <w:t>的，得0分。</w:t>
            </w:r>
          </w:p>
        </w:tc>
        <w:tc>
          <w:tcPr>
            <w:tcW w:w="835" w:type="dxa"/>
            <w:tcBorders>
              <w:top w:val="single" w:sz="4" w:space="0" w:color="auto"/>
              <w:left w:val="nil"/>
              <w:bottom w:val="single" w:sz="4" w:space="0" w:color="auto"/>
              <w:right w:val="single" w:sz="4" w:space="0" w:color="auto"/>
            </w:tcBorders>
            <w:noWrap/>
            <w:vAlign w:val="center"/>
          </w:tcPr>
          <w:p w:rsidR="00FC160C" w:rsidRDefault="00481A9C">
            <w:pPr>
              <w:widowControl/>
              <w:spacing w:line="300" w:lineRule="exact"/>
              <w:ind w:firstLineChars="0" w:firstLine="0"/>
              <w:jc w:val="center"/>
              <w:rPr>
                <w:rFonts w:ascii="宋体" w:eastAsia="宋体"/>
                <w:kern w:val="0"/>
                <w:sz w:val="21"/>
                <w:szCs w:val="24"/>
              </w:rPr>
            </w:pPr>
            <w:r>
              <w:rPr>
                <w:rFonts w:ascii="宋体" w:eastAsia="宋体" w:hint="eastAsia"/>
                <w:kern w:val="0"/>
                <w:sz w:val="21"/>
                <w:szCs w:val="24"/>
              </w:rPr>
              <w:t>1</w:t>
            </w:r>
          </w:p>
        </w:tc>
      </w:tr>
      <w:tr w:rsidR="00FC160C">
        <w:trPr>
          <w:trHeight w:val="1267"/>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single" w:sz="4" w:space="0" w:color="auto"/>
              <w:left w:val="nil"/>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single" w:sz="4" w:space="0" w:color="auto"/>
              <w:left w:val="nil"/>
              <w:bottom w:val="single" w:sz="4" w:space="0" w:color="auto"/>
              <w:right w:val="single" w:sz="4" w:space="0" w:color="auto"/>
            </w:tcBorders>
            <w:noWrap/>
            <w:vAlign w:val="center"/>
          </w:tcPr>
          <w:p w:rsidR="00FC160C" w:rsidRDefault="00FC160C">
            <w:pPr>
              <w:widowControl/>
              <w:spacing w:line="320" w:lineRule="exact"/>
              <w:ind w:firstLineChars="0" w:firstLine="0"/>
              <w:jc w:val="center"/>
              <w:rPr>
                <w:rFonts w:ascii="宋体" w:eastAsia="宋体"/>
                <w:kern w:val="0"/>
                <w:sz w:val="21"/>
                <w:szCs w:val="24"/>
              </w:rPr>
            </w:pPr>
          </w:p>
        </w:tc>
        <w:tc>
          <w:tcPr>
            <w:tcW w:w="851" w:type="dxa"/>
            <w:tcBorders>
              <w:top w:val="single" w:sz="4" w:space="0" w:color="auto"/>
              <w:left w:val="nil"/>
              <w:bottom w:val="single" w:sz="4" w:space="0" w:color="auto"/>
              <w:right w:val="single" w:sz="4" w:space="0" w:color="auto"/>
            </w:tcBorders>
            <w:noWrap/>
            <w:vAlign w:val="center"/>
          </w:tcPr>
          <w:p w:rsidR="00FC160C" w:rsidRDefault="00481A9C">
            <w:pPr>
              <w:widowControl/>
              <w:spacing w:line="300" w:lineRule="exact"/>
              <w:ind w:firstLineChars="0" w:firstLine="0"/>
              <w:jc w:val="left"/>
              <w:rPr>
                <w:rFonts w:ascii="宋体" w:eastAsia="宋体"/>
                <w:kern w:val="0"/>
                <w:sz w:val="21"/>
                <w:szCs w:val="24"/>
              </w:rPr>
            </w:pPr>
            <w:r>
              <w:rPr>
                <w:rFonts w:ascii="宋体" w:eastAsia="宋体" w:hAnsi="宋体" w:cs="宋体" w:hint="eastAsia"/>
                <w:kern w:val="0"/>
                <w:sz w:val="21"/>
                <w:szCs w:val="24"/>
              </w:rPr>
              <w:t>编外人员控制率</w:t>
            </w:r>
          </w:p>
        </w:tc>
        <w:tc>
          <w:tcPr>
            <w:tcW w:w="567" w:type="dxa"/>
            <w:tcBorders>
              <w:top w:val="single" w:sz="4" w:space="0" w:color="auto"/>
              <w:left w:val="nil"/>
              <w:bottom w:val="single" w:sz="4" w:space="0" w:color="auto"/>
              <w:right w:val="single" w:sz="4" w:space="0" w:color="auto"/>
            </w:tcBorders>
            <w:noWrap/>
            <w:vAlign w:val="center"/>
          </w:tcPr>
          <w:p w:rsidR="00FC160C" w:rsidRDefault="00481A9C">
            <w:pPr>
              <w:widowControl/>
              <w:spacing w:line="300" w:lineRule="exact"/>
              <w:ind w:firstLineChars="0" w:firstLine="0"/>
              <w:jc w:val="center"/>
              <w:rPr>
                <w:rFonts w:ascii="宋体" w:eastAsia="宋体"/>
                <w:kern w:val="0"/>
                <w:sz w:val="21"/>
                <w:szCs w:val="24"/>
              </w:rPr>
            </w:pPr>
            <w:r>
              <w:rPr>
                <w:rFonts w:ascii="宋体" w:eastAsia="宋体" w:hAnsi="宋体" w:cs="宋体" w:hint="eastAsia"/>
                <w:kern w:val="0"/>
                <w:sz w:val="21"/>
                <w:szCs w:val="24"/>
              </w:rPr>
              <w:t>1</w:t>
            </w:r>
          </w:p>
        </w:tc>
        <w:tc>
          <w:tcPr>
            <w:tcW w:w="3181" w:type="dxa"/>
            <w:tcBorders>
              <w:top w:val="single" w:sz="4" w:space="0" w:color="auto"/>
              <w:left w:val="nil"/>
              <w:bottom w:val="single" w:sz="4" w:space="0" w:color="auto"/>
              <w:right w:val="single" w:sz="4" w:space="0" w:color="auto"/>
            </w:tcBorders>
            <w:noWrap/>
            <w:vAlign w:val="center"/>
          </w:tcPr>
          <w:p w:rsidR="00FC160C" w:rsidRDefault="00481A9C">
            <w:pPr>
              <w:widowControl/>
              <w:spacing w:line="300" w:lineRule="exact"/>
              <w:ind w:firstLineChars="0" w:firstLine="0"/>
              <w:rPr>
                <w:rFonts w:ascii="宋体" w:eastAsia="宋体"/>
                <w:kern w:val="0"/>
                <w:sz w:val="21"/>
                <w:szCs w:val="24"/>
              </w:rPr>
            </w:pPr>
            <w:r>
              <w:rPr>
                <w:rFonts w:ascii="宋体" w:eastAsia="宋体" w:hAnsi="宋体" w:cs="宋体" w:hint="eastAsia"/>
                <w:kern w:val="0"/>
                <w:sz w:val="21"/>
                <w:szCs w:val="24"/>
              </w:rPr>
              <w:t>部门（单位）本年度使用劳务派遣人员数量（含直接聘用的编外人员）与在职人员总数（在编</w:t>
            </w:r>
            <w:r>
              <w:rPr>
                <w:rFonts w:ascii="宋体" w:eastAsia="宋体" w:hAnsi="宋体" w:cs="宋体"/>
                <w:kern w:val="0"/>
                <w:sz w:val="21"/>
                <w:szCs w:val="24"/>
              </w:rPr>
              <w:t>+</w:t>
            </w:r>
            <w:r>
              <w:rPr>
                <w:rFonts w:ascii="宋体" w:eastAsia="宋体" w:hAnsi="宋体" w:cs="宋体" w:hint="eastAsia"/>
                <w:kern w:val="0"/>
                <w:sz w:val="21"/>
                <w:szCs w:val="24"/>
              </w:rPr>
              <w:t>编外）的比率。</w:t>
            </w:r>
          </w:p>
        </w:tc>
        <w:tc>
          <w:tcPr>
            <w:tcW w:w="7229" w:type="dxa"/>
            <w:tcBorders>
              <w:top w:val="single" w:sz="4" w:space="0" w:color="auto"/>
              <w:left w:val="nil"/>
              <w:bottom w:val="single" w:sz="4" w:space="0" w:color="auto"/>
              <w:right w:val="single" w:sz="4" w:space="0" w:color="auto"/>
            </w:tcBorders>
            <w:noWrap/>
            <w:vAlign w:val="center"/>
          </w:tcPr>
          <w:p w:rsidR="00FC160C" w:rsidRDefault="00481A9C">
            <w:pPr>
              <w:widowControl/>
              <w:spacing w:line="300" w:lineRule="exact"/>
              <w:ind w:firstLine="420"/>
              <w:rPr>
                <w:rFonts w:ascii="宋体" w:eastAsia="宋体"/>
                <w:kern w:val="0"/>
                <w:sz w:val="21"/>
                <w:szCs w:val="24"/>
              </w:rPr>
            </w:pPr>
            <w:r>
              <w:rPr>
                <w:rFonts w:ascii="宋体" w:eastAsia="宋体" w:hAnsi="宋体" w:cs="宋体"/>
                <w:kern w:val="0"/>
                <w:sz w:val="21"/>
                <w:szCs w:val="24"/>
              </w:rPr>
              <w:t>1.</w:t>
            </w:r>
            <w:r>
              <w:rPr>
                <w:rFonts w:ascii="宋体" w:eastAsia="宋体" w:hAnsi="宋体" w:cs="宋体" w:hint="eastAsia"/>
                <w:kern w:val="0"/>
                <w:sz w:val="21"/>
                <w:szCs w:val="24"/>
              </w:rPr>
              <w:t>比率＜</w:t>
            </w:r>
            <w:r>
              <w:rPr>
                <w:rFonts w:ascii="宋体" w:eastAsia="宋体" w:hAnsi="宋体" w:cs="宋体"/>
                <w:kern w:val="0"/>
                <w:sz w:val="21"/>
                <w:szCs w:val="24"/>
              </w:rPr>
              <w:t>5%</w:t>
            </w:r>
            <w:r>
              <w:rPr>
                <w:rFonts w:ascii="宋体" w:eastAsia="宋体" w:hAnsi="宋体" w:cs="宋体" w:hint="eastAsia"/>
                <w:kern w:val="0"/>
                <w:sz w:val="21"/>
                <w:szCs w:val="24"/>
              </w:rPr>
              <w:t>的，得1分；</w:t>
            </w:r>
          </w:p>
          <w:p w:rsidR="00FC160C" w:rsidRDefault="00481A9C">
            <w:pPr>
              <w:widowControl/>
              <w:spacing w:line="300" w:lineRule="exact"/>
              <w:ind w:firstLine="420"/>
              <w:rPr>
                <w:rFonts w:ascii="宋体" w:eastAsia="宋体"/>
                <w:kern w:val="0"/>
                <w:sz w:val="21"/>
                <w:szCs w:val="24"/>
              </w:rPr>
            </w:pPr>
            <w:r>
              <w:rPr>
                <w:rFonts w:ascii="宋体" w:eastAsia="宋体" w:hAnsi="宋体" w:cs="宋体"/>
                <w:kern w:val="0"/>
                <w:sz w:val="21"/>
                <w:szCs w:val="24"/>
              </w:rPr>
              <w:t>2.5%</w:t>
            </w:r>
            <w:r>
              <w:rPr>
                <w:rFonts w:ascii="宋体" w:eastAsia="宋体" w:hAnsi="宋体" w:cs="宋体" w:hint="eastAsia"/>
                <w:kern w:val="0"/>
                <w:sz w:val="21"/>
                <w:szCs w:val="24"/>
              </w:rPr>
              <w:t>≤比率≤</w:t>
            </w:r>
            <w:r>
              <w:rPr>
                <w:rFonts w:ascii="宋体" w:eastAsia="宋体" w:hAnsi="宋体" w:cs="宋体"/>
                <w:kern w:val="0"/>
                <w:sz w:val="21"/>
                <w:szCs w:val="24"/>
              </w:rPr>
              <w:t>10%</w:t>
            </w:r>
            <w:r>
              <w:rPr>
                <w:rFonts w:ascii="宋体" w:eastAsia="宋体" w:hAnsi="宋体" w:cs="宋体" w:hint="eastAsia"/>
                <w:kern w:val="0"/>
                <w:sz w:val="21"/>
                <w:szCs w:val="24"/>
              </w:rPr>
              <w:t>的，得0.5分；</w:t>
            </w:r>
            <w:r>
              <w:rPr>
                <w:rFonts w:ascii="宋体" w:eastAsia="宋体"/>
                <w:kern w:val="0"/>
                <w:sz w:val="21"/>
                <w:szCs w:val="24"/>
              </w:rPr>
              <w:br/>
            </w:r>
            <w:r>
              <w:rPr>
                <w:rFonts w:ascii="宋体" w:eastAsia="宋体" w:hAnsi="宋体" w:cs="宋体"/>
                <w:kern w:val="0"/>
                <w:sz w:val="21"/>
                <w:szCs w:val="24"/>
              </w:rPr>
              <w:t xml:space="preserve">    3</w:t>
            </w:r>
            <w:r>
              <w:rPr>
                <w:rFonts w:ascii="宋体" w:eastAsia="宋体" w:cs="宋体"/>
                <w:kern w:val="0"/>
                <w:sz w:val="21"/>
                <w:szCs w:val="24"/>
              </w:rPr>
              <w:t>.</w:t>
            </w:r>
            <w:r>
              <w:rPr>
                <w:rFonts w:ascii="宋体" w:eastAsia="宋体" w:hAnsi="宋体" w:cs="宋体" w:hint="eastAsia"/>
                <w:kern w:val="0"/>
                <w:sz w:val="21"/>
                <w:szCs w:val="24"/>
              </w:rPr>
              <w:t>比率＞</w:t>
            </w:r>
            <w:r>
              <w:rPr>
                <w:rFonts w:ascii="宋体" w:eastAsia="宋体" w:hAnsi="宋体" w:cs="宋体"/>
                <w:kern w:val="0"/>
                <w:sz w:val="21"/>
                <w:szCs w:val="24"/>
              </w:rPr>
              <w:t>10%</w:t>
            </w:r>
            <w:r>
              <w:rPr>
                <w:rFonts w:ascii="宋体" w:eastAsia="宋体" w:hAnsi="宋体" w:cs="宋体" w:hint="eastAsia"/>
                <w:kern w:val="0"/>
                <w:sz w:val="21"/>
                <w:szCs w:val="24"/>
              </w:rPr>
              <w:t>的，得</w:t>
            </w:r>
            <w:r>
              <w:rPr>
                <w:rFonts w:ascii="宋体" w:eastAsia="宋体" w:cs="宋体"/>
                <w:kern w:val="0"/>
                <w:sz w:val="21"/>
                <w:szCs w:val="24"/>
              </w:rPr>
              <w:t>0</w:t>
            </w:r>
            <w:r>
              <w:rPr>
                <w:rFonts w:ascii="宋体" w:eastAsia="宋体" w:hAnsi="宋体" w:cs="宋体" w:hint="eastAsia"/>
                <w:kern w:val="0"/>
                <w:sz w:val="21"/>
                <w:szCs w:val="24"/>
              </w:rPr>
              <w:t>分。</w:t>
            </w:r>
          </w:p>
        </w:tc>
        <w:tc>
          <w:tcPr>
            <w:tcW w:w="835" w:type="dxa"/>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0</w:t>
            </w:r>
          </w:p>
        </w:tc>
      </w:tr>
      <w:tr w:rsidR="00FC160C">
        <w:trPr>
          <w:trHeight w:val="1521"/>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制度管理</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3</w:t>
            </w: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jc w:val="left"/>
              <w:rPr>
                <w:rFonts w:ascii="宋体" w:eastAsia="宋体"/>
                <w:kern w:val="0"/>
                <w:sz w:val="21"/>
                <w:szCs w:val="24"/>
              </w:rPr>
            </w:pPr>
            <w:r>
              <w:rPr>
                <w:rFonts w:ascii="宋体" w:eastAsia="宋体" w:hAnsi="宋体" w:cs="宋体" w:hint="eastAsia"/>
                <w:kern w:val="0"/>
                <w:sz w:val="21"/>
                <w:szCs w:val="24"/>
              </w:rPr>
              <w:t>管理制度健全性</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jc w:val="center"/>
              <w:rPr>
                <w:rFonts w:ascii="宋体" w:eastAsia="宋体"/>
                <w:kern w:val="0"/>
                <w:sz w:val="21"/>
                <w:szCs w:val="24"/>
              </w:rPr>
            </w:pPr>
            <w:r>
              <w:rPr>
                <w:rFonts w:ascii="宋体" w:eastAsia="宋体" w:hAnsi="宋体" w:cs="宋体" w:hint="eastAsia"/>
                <w:kern w:val="0"/>
                <w:sz w:val="21"/>
                <w:szCs w:val="24"/>
              </w:rPr>
              <w:t>3</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rPr>
                <w:rFonts w:ascii="宋体" w:eastAsia="宋体"/>
                <w:kern w:val="0"/>
                <w:sz w:val="21"/>
                <w:szCs w:val="24"/>
              </w:rPr>
            </w:pPr>
            <w:r>
              <w:rPr>
                <w:rFonts w:ascii="宋体" w:eastAsia="宋体" w:hAnsi="宋体" w:cs="宋体" w:hint="eastAsia"/>
                <w:kern w:val="0"/>
                <w:sz w:val="21"/>
                <w:szCs w:val="24"/>
              </w:rPr>
              <w:t>部门（单位）制定了相应的预算资金、财务管理和预算绩效管理等制度并严格执行，用以反映部门（单位）的管理制度对其完成主要职责和促进事业发展的保障情况。</w:t>
            </w:r>
          </w:p>
        </w:tc>
        <w:tc>
          <w:tcPr>
            <w:tcW w:w="7229" w:type="dxa"/>
            <w:tcBorders>
              <w:top w:val="nil"/>
              <w:left w:val="nil"/>
              <w:bottom w:val="single" w:sz="4" w:space="0" w:color="auto"/>
              <w:right w:val="single" w:sz="4" w:space="0" w:color="auto"/>
            </w:tcBorders>
            <w:noWrap/>
          </w:tcPr>
          <w:p w:rsidR="00FC160C" w:rsidRDefault="00481A9C">
            <w:pPr>
              <w:widowControl/>
              <w:spacing w:line="300" w:lineRule="exact"/>
              <w:ind w:firstLineChars="0" w:firstLine="0"/>
              <w:jc w:val="left"/>
              <w:rPr>
                <w:rFonts w:ascii="宋体" w:eastAsia="宋体"/>
                <w:kern w:val="0"/>
                <w:sz w:val="21"/>
                <w:szCs w:val="24"/>
              </w:rPr>
            </w:pPr>
            <w:r>
              <w:rPr>
                <w:rFonts w:ascii="宋体" w:eastAsia="宋体" w:hAnsi="宋体" w:cs="宋体"/>
                <w:kern w:val="0"/>
                <w:sz w:val="21"/>
                <w:szCs w:val="24"/>
              </w:rPr>
              <w:t xml:space="preserve">    1.</w:t>
            </w:r>
            <w:r>
              <w:rPr>
                <w:rFonts w:ascii="宋体" w:eastAsia="宋体" w:hAnsi="宋体" w:cs="宋体" w:hint="eastAsia"/>
                <w:kern w:val="0"/>
                <w:sz w:val="21"/>
                <w:szCs w:val="24"/>
              </w:rPr>
              <w:t>部门制定了财政资金管理、财务管理、内部控制等制度（0.5分）；</w:t>
            </w:r>
            <w:r>
              <w:rPr>
                <w:rFonts w:ascii="宋体" w:eastAsia="宋体"/>
                <w:kern w:val="0"/>
                <w:sz w:val="21"/>
                <w:szCs w:val="24"/>
              </w:rPr>
              <w:br/>
            </w:r>
            <w:r>
              <w:rPr>
                <w:rFonts w:ascii="宋体" w:eastAsia="宋体" w:hAnsi="宋体" w:cs="宋体"/>
                <w:kern w:val="0"/>
                <w:sz w:val="21"/>
                <w:szCs w:val="24"/>
              </w:rPr>
              <w:t>2.</w:t>
            </w:r>
            <w:r>
              <w:rPr>
                <w:rFonts w:ascii="宋体" w:eastAsia="宋体" w:hAnsi="宋体" w:cs="宋体" w:hint="eastAsia"/>
                <w:kern w:val="0"/>
                <w:sz w:val="21"/>
                <w:szCs w:val="24"/>
              </w:rPr>
              <w:t>上述财政资金管理、财务管理、内部控制等制度得到有效执行（1.5分）；</w:t>
            </w:r>
            <w:r>
              <w:rPr>
                <w:rFonts w:ascii="宋体" w:eastAsia="宋体"/>
                <w:kern w:val="0"/>
                <w:sz w:val="21"/>
                <w:szCs w:val="24"/>
              </w:rPr>
              <w:br/>
            </w:r>
            <w:r>
              <w:rPr>
                <w:rFonts w:ascii="宋体" w:eastAsia="宋体" w:hAnsi="宋体" w:cs="宋体"/>
                <w:kern w:val="0"/>
                <w:sz w:val="21"/>
                <w:szCs w:val="24"/>
              </w:rPr>
              <w:t xml:space="preserve">    3.</w:t>
            </w:r>
            <w:r>
              <w:rPr>
                <w:rFonts w:ascii="宋体" w:eastAsia="宋体" w:hAnsi="宋体" w:cs="宋体" w:hint="eastAsia"/>
                <w:kern w:val="0"/>
                <w:sz w:val="21"/>
                <w:szCs w:val="24"/>
              </w:rPr>
              <w:t>部门按照预算和绩效管理一体化的要求制定本部门全面实施预算绩效管理的制度或工作方案，组织指导本级及下属单位开展事前评估、绩效目标编报、绩效监控、绩效评价和评价结果应用等工作（</w:t>
            </w:r>
            <w:r>
              <w:rPr>
                <w:rFonts w:ascii="宋体" w:eastAsia="宋体" w:hAnsi="宋体" w:cs="宋体"/>
                <w:kern w:val="0"/>
                <w:sz w:val="21"/>
                <w:szCs w:val="24"/>
              </w:rPr>
              <w:t>1</w:t>
            </w:r>
            <w:r>
              <w:rPr>
                <w:rFonts w:ascii="宋体" w:eastAsia="宋体" w:hAnsi="宋体" w:cs="宋体" w:hint="eastAsia"/>
                <w:kern w:val="0"/>
                <w:sz w:val="21"/>
                <w:szCs w:val="24"/>
              </w:rPr>
              <w:t>分）。</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0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3</w:t>
            </w:r>
          </w:p>
        </w:tc>
      </w:tr>
      <w:tr w:rsidR="00FC160C">
        <w:trPr>
          <w:trHeight w:val="360"/>
          <w:jc w:val="center"/>
        </w:trPr>
        <w:tc>
          <w:tcPr>
            <w:tcW w:w="57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部门绩效</w:t>
            </w: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kern w:val="0"/>
                <w:sz w:val="21"/>
                <w:szCs w:val="24"/>
              </w:rPr>
              <w:t>5</w:t>
            </w:r>
            <w:r>
              <w:rPr>
                <w:rFonts w:ascii="宋体" w:eastAsia="宋体" w:hAnsi="宋体" w:cs="宋体" w:hint="eastAsia"/>
                <w:kern w:val="0"/>
                <w:sz w:val="21"/>
                <w:szCs w:val="24"/>
              </w:rPr>
              <w:t>5</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经济性</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kern w:val="0"/>
                <w:sz w:val="21"/>
                <w:szCs w:val="24"/>
              </w:rPr>
              <w:t>6</w:t>
            </w: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公用经费控制率</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kern w:val="0"/>
                <w:sz w:val="21"/>
                <w:szCs w:val="24"/>
              </w:rPr>
              <w:t>6</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部门（单位）本年度实际支出的公用经费总额与预算安排的公用经费总额的比率，用以反映和考核部门（单位）对机构运转成本的实际控制程度。</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420"/>
              <w:rPr>
                <w:rFonts w:ascii="宋体" w:eastAsia="宋体" w:cs="宋体"/>
                <w:kern w:val="0"/>
                <w:sz w:val="21"/>
                <w:szCs w:val="24"/>
              </w:rPr>
            </w:pPr>
            <w:r>
              <w:rPr>
                <w:rFonts w:ascii="宋体" w:eastAsia="宋体" w:hAnsi="宋体" w:cs="宋体"/>
                <w:kern w:val="0"/>
                <w:sz w:val="21"/>
                <w:szCs w:val="24"/>
              </w:rPr>
              <w:t>1.</w:t>
            </w:r>
            <w:r>
              <w:rPr>
                <w:rFonts w:ascii="宋体" w:eastAsia="宋体" w:hAnsi="宋体" w:cs="宋体" w:hint="eastAsia"/>
                <w:kern w:val="0"/>
                <w:sz w:val="21"/>
                <w:szCs w:val="24"/>
              </w:rPr>
              <w:t>“三公”经费控制率=“三公”经费实际支出数/“三公”经费预算安排数×</w:t>
            </w:r>
            <w:r>
              <w:rPr>
                <w:rFonts w:ascii="宋体" w:eastAsia="宋体" w:hAnsi="宋体" w:cs="宋体"/>
                <w:kern w:val="0"/>
                <w:sz w:val="21"/>
                <w:szCs w:val="24"/>
              </w:rPr>
              <w:t>100%</w:t>
            </w:r>
          </w:p>
          <w:p w:rsidR="00FC160C" w:rsidRDefault="00481A9C">
            <w:pPr>
              <w:widowControl/>
              <w:spacing w:line="320" w:lineRule="exact"/>
              <w:ind w:firstLineChars="150" w:firstLine="315"/>
              <w:rPr>
                <w:rFonts w:ascii="宋体" w:eastAsia="宋体" w:hAnsi="宋体" w:cs="宋体"/>
                <w:kern w:val="0"/>
                <w:sz w:val="21"/>
                <w:szCs w:val="24"/>
              </w:rPr>
            </w:pPr>
            <w:r>
              <w:rPr>
                <w:rFonts w:ascii="宋体" w:eastAsia="宋体" w:cs="宋体" w:hint="eastAsia"/>
                <w:kern w:val="0"/>
                <w:sz w:val="21"/>
                <w:szCs w:val="24"/>
              </w:rPr>
              <w:t>（1）</w:t>
            </w:r>
            <w:r>
              <w:rPr>
                <w:rFonts w:ascii="宋体" w:eastAsia="宋体" w:hAnsi="宋体" w:cs="宋体" w:hint="eastAsia"/>
                <w:kern w:val="0"/>
                <w:sz w:val="21"/>
                <w:szCs w:val="24"/>
              </w:rPr>
              <w:t>“三公”经费控制率＜90%的，得3分；</w:t>
            </w:r>
          </w:p>
          <w:p w:rsidR="00FC160C" w:rsidRDefault="00481A9C">
            <w:pPr>
              <w:widowControl/>
              <w:spacing w:line="320" w:lineRule="exact"/>
              <w:ind w:firstLineChars="150" w:firstLine="315"/>
              <w:rPr>
                <w:rFonts w:ascii="宋体" w:eastAsia="宋体" w:hAnsi="宋体" w:cs="宋体"/>
                <w:kern w:val="0"/>
                <w:sz w:val="21"/>
                <w:szCs w:val="24"/>
              </w:rPr>
            </w:pPr>
            <w:r>
              <w:rPr>
                <w:rFonts w:ascii="宋体" w:eastAsia="宋体" w:hAnsi="宋体" w:cs="宋体" w:hint="eastAsia"/>
                <w:kern w:val="0"/>
                <w:sz w:val="21"/>
                <w:szCs w:val="24"/>
              </w:rPr>
              <w:t>（2）90%≤“三公”经费控制率≤100%的，得2分；</w:t>
            </w:r>
          </w:p>
          <w:p w:rsidR="00FC160C" w:rsidRDefault="00481A9C">
            <w:pPr>
              <w:widowControl/>
              <w:spacing w:line="320" w:lineRule="exact"/>
              <w:ind w:firstLineChars="150" w:firstLine="315"/>
              <w:rPr>
                <w:rFonts w:ascii="宋体" w:eastAsia="宋体" w:hAnsi="宋体" w:cs="宋体"/>
                <w:kern w:val="0"/>
                <w:sz w:val="21"/>
                <w:szCs w:val="24"/>
              </w:rPr>
            </w:pPr>
            <w:r>
              <w:rPr>
                <w:rFonts w:ascii="宋体" w:eastAsia="宋体" w:hint="eastAsia"/>
                <w:kern w:val="0"/>
                <w:sz w:val="21"/>
                <w:szCs w:val="24"/>
              </w:rPr>
              <w:t>（3）</w:t>
            </w:r>
            <w:r>
              <w:rPr>
                <w:rFonts w:ascii="宋体" w:eastAsia="宋体" w:hAnsi="宋体" w:cs="宋体" w:hint="eastAsia"/>
                <w:kern w:val="0"/>
                <w:sz w:val="21"/>
                <w:szCs w:val="24"/>
              </w:rPr>
              <w:t>“三公”经费控制率＞100%的，得0分。</w:t>
            </w:r>
            <w:r>
              <w:rPr>
                <w:rFonts w:ascii="宋体" w:eastAsia="宋体"/>
                <w:kern w:val="0"/>
                <w:sz w:val="21"/>
                <w:szCs w:val="24"/>
              </w:rPr>
              <w:br/>
            </w:r>
            <w:r>
              <w:rPr>
                <w:rFonts w:ascii="宋体" w:eastAsia="宋体" w:hAnsi="宋体" w:cs="宋体"/>
                <w:kern w:val="0"/>
                <w:sz w:val="21"/>
                <w:szCs w:val="24"/>
              </w:rPr>
              <w:t xml:space="preserve">    2.</w:t>
            </w:r>
            <w:r>
              <w:rPr>
                <w:rFonts w:ascii="宋体" w:eastAsia="宋体" w:hAnsi="宋体" w:cs="宋体" w:hint="eastAsia"/>
                <w:kern w:val="0"/>
                <w:sz w:val="21"/>
                <w:szCs w:val="24"/>
              </w:rPr>
              <w:t xml:space="preserve"> 日常公用经费控制率=日常公用经费决算数/日常公用经费调整预算数×</w:t>
            </w:r>
            <w:r>
              <w:rPr>
                <w:rFonts w:ascii="宋体" w:eastAsia="宋体" w:hAnsi="宋体" w:cs="宋体"/>
                <w:kern w:val="0"/>
                <w:sz w:val="21"/>
                <w:szCs w:val="24"/>
              </w:rPr>
              <w:t>100%</w:t>
            </w:r>
          </w:p>
          <w:p w:rsidR="00FC160C" w:rsidRDefault="00481A9C">
            <w:pPr>
              <w:widowControl/>
              <w:spacing w:line="320" w:lineRule="exact"/>
              <w:ind w:firstLineChars="150" w:firstLine="315"/>
              <w:rPr>
                <w:rFonts w:ascii="宋体" w:eastAsia="宋体" w:hAnsi="宋体" w:cs="宋体"/>
                <w:kern w:val="0"/>
                <w:sz w:val="21"/>
                <w:szCs w:val="24"/>
              </w:rPr>
            </w:pPr>
            <w:r>
              <w:rPr>
                <w:rFonts w:ascii="宋体" w:eastAsia="宋体" w:cs="宋体" w:hint="eastAsia"/>
                <w:kern w:val="0"/>
                <w:sz w:val="21"/>
                <w:szCs w:val="24"/>
              </w:rPr>
              <w:t>（1）</w:t>
            </w:r>
            <w:r>
              <w:rPr>
                <w:rFonts w:ascii="宋体" w:eastAsia="宋体" w:hAnsi="宋体" w:cs="宋体" w:hint="eastAsia"/>
                <w:kern w:val="0"/>
                <w:sz w:val="21"/>
                <w:szCs w:val="24"/>
              </w:rPr>
              <w:t>日常公用经费控制率＜90%的，得3分；</w:t>
            </w:r>
          </w:p>
          <w:p w:rsidR="00FC160C" w:rsidRDefault="00481A9C">
            <w:pPr>
              <w:widowControl/>
              <w:spacing w:line="320" w:lineRule="exact"/>
              <w:ind w:firstLineChars="150" w:firstLine="315"/>
              <w:rPr>
                <w:rFonts w:ascii="宋体" w:eastAsia="宋体" w:hAnsi="宋体" w:cs="宋体"/>
                <w:kern w:val="0"/>
                <w:sz w:val="21"/>
                <w:szCs w:val="24"/>
              </w:rPr>
            </w:pPr>
            <w:r>
              <w:rPr>
                <w:rFonts w:ascii="宋体" w:eastAsia="宋体" w:hAnsi="宋体" w:cs="宋体" w:hint="eastAsia"/>
                <w:kern w:val="0"/>
                <w:sz w:val="21"/>
                <w:szCs w:val="24"/>
              </w:rPr>
              <w:lastRenderedPageBreak/>
              <w:t>（2）90%≤日常公用经费控制率≤100%的，得2分；</w:t>
            </w:r>
          </w:p>
          <w:p w:rsidR="00FC160C" w:rsidRDefault="00481A9C">
            <w:pPr>
              <w:widowControl/>
              <w:spacing w:line="320" w:lineRule="exact"/>
              <w:ind w:firstLineChars="150" w:firstLine="315"/>
              <w:rPr>
                <w:rFonts w:ascii="宋体" w:eastAsia="宋体" w:hAnsi="宋体" w:cs="宋体"/>
                <w:kern w:val="0"/>
                <w:sz w:val="21"/>
                <w:szCs w:val="24"/>
              </w:rPr>
            </w:pPr>
            <w:r>
              <w:rPr>
                <w:rFonts w:ascii="宋体" w:eastAsia="宋体" w:hint="eastAsia"/>
                <w:kern w:val="0"/>
                <w:sz w:val="21"/>
                <w:szCs w:val="24"/>
              </w:rPr>
              <w:t>（3）</w:t>
            </w:r>
            <w:r>
              <w:rPr>
                <w:rFonts w:ascii="宋体" w:eastAsia="宋体" w:hAnsi="宋体" w:cs="宋体" w:hint="eastAsia"/>
                <w:kern w:val="0"/>
                <w:sz w:val="21"/>
                <w:szCs w:val="24"/>
              </w:rPr>
              <w:t>日常公用经费控制率＞100%的，得0分。</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lastRenderedPageBreak/>
              <w:t>5</w:t>
            </w:r>
          </w:p>
        </w:tc>
      </w:tr>
      <w:tr w:rsidR="00FC160C">
        <w:trPr>
          <w:trHeight w:val="2767"/>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FC160C" w:rsidRDefault="00481A9C">
            <w:pPr>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效率性</w:t>
            </w:r>
          </w:p>
        </w:tc>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FC160C" w:rsidRDefault="00481A9C">
            <w:pPr>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20</w:t>
            </w: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预算执行率</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kern w:val="0"/>
                <w:sz w:val="21"/>
                <w:szCs w:val="24"/>
              </w:rPr>
              <w:t>6</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部门（单位）部门预算实际支付进度和既定支付进度的匹配情况，反映和考核部门（单位）预算执行的及时性和均衡性。</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hAnsi="宋体" w:cs="宋体"/>
                <w:kern w:val="0"/>
                <w:sz w:val="21"/>
                <w:szCs w:val="24"/>
              </w:rPr>
            </w:pPr>
            <w:r>
              <w:rPr>
                <w:rFonts w:ascii="宋体" w:eastAsia="宋体" w:hAnsi="宋体" w:cs="宋体" w:hint="eastAsia"/>
                <w:kern w:val="0"/>
                <w:sz w:val="21"/>
                <w:szCs w:val="24"/>
              </w:rPr>
              <w:t>1.一季度预算执行率得分=（一季度部门预算支出进度/序时进度25%）×1分</w:t>
            </w:r>
          </w:p>
          <w:p w:rsidR="00FC160C" w:rsidRDefault="00481A9C">
            <w:pPr>
              <w:widowControl/>
              <w:spacing w:line="320" w:lineRule="exact"/>
              <w:ind w:firstLineChars="0" w:firstLine="0"/>
              <w:rPr>
                <w:rFonts w:ascii="宋体" w:eastAsia="宋体" w:hAnsi="宋体" w:cs="宋体"/>
                <w:kern w:val="0"/>
                <w:sz w:val="21"/>
                <w:szCs w:val="24"/>
              </w:rPr>
            </w:pPr>
            <w:r>
              <w:rPr>
                <w:rFonts w:ascii="宋体" w:eastAsia="宋体" w:hAnsi="宋体" w:cs="宋体" w:hint="eastAsia"/>
                <w:kern w:val="0"/>
                <w:sz w:val="21"/>
                <w:szCs w:val="24"/>
              </w:rPr>
              <w:t>2.二季度预算执行率得分=（二季度部门预算支出进度/序时进度50%）×1分</w:t>
            </w:r>
          </w:p>
          <w:p w:rsidR="00FC160C" w:rsidRDefault="00481A9C">
            <w:pPr>
              <w:widowControl/>
              <w:spacing w:line="320" w:lineRule="exact"/>
              <w:ind w:firstLineChars="0" w:firstLine="0"/>
              <w:rPr>
                <w:rFonts w:ascii="宋体" w:eastAsia="宋体" w:hAnsi="宋体" w:cs="宋体"/>
                <w:kern w:val="0"/>
                <w:sz w:val="21"/>
                <w:szCs w:val="24"/>
              </w:rPr>
            </w:pPr>
            <w:r>
              <w:rPr>
                <w:rFonts w:ascii="宋体" w:eastAsia="宋体" w:hAnsi="宋体" w:cs="宋体" w:hint="eastAsia"/>
                <w:kern w:val="0"/>
                <w:sz w:val="21"/>
                <w:szCs w:val="24"/>
              </w:rPr>
              <w:t>3.三季度预算执行率得分=（三季度部门预算支出进度/序时进度75%）×1分</w:t>
            </w:r>
          </w:p>
          <w:p w:rsidR="00FC160C" w:rsidRDefault="00481A9C">
            <w:pPr>
              <w:widowControl/>
              <w:spacing w:line="320" w:lineRule="exact"/>
              <w:ind w:firstLineChars="0" w:firstLine="0"/>
              <w:rPr>
                <w:rFonts w:ascii="宋体" w:eastAsia="宋体" w:hAnsi="宋体" w:cs="宋体"/>
                <w:kern w:val="0"/>
                <w:sz w:val="21"/>
                <w:szCs w:val="24"/>
              </w:rPr>
            </w:pPr>
            <w:r>
              <w:rPr>
                <w:rFonts w:ascii="宋体" w:eastAsia="宋体" w:hAnsi="宋体" w:cs="宋体" w:hint="eastAsia"/>
                <w:kern w:val="0"/>
                <w:sz w:val="21"/>
                <w:szCs w:val="24"/>
              </w:rPr>
              <w:t>4.四季度预算执行率得分=（四季度部门预算支出进度/序时进度100%）×1分</w:t>
            </w:r>
          </w:p>
          <w:p w:rsidR="00FC160C" w:rsidRDefault="00481A9C">
            <w:pPr>
              <w:widowControl/>
              <w:spacing w:line="320" w:lineRule="exact"/>
              <w:ind w:firstLineChars="0" w:firstLine="0"/>
              <w:rPr>
                <w:rFonts w:ascii="宋体" w:eastAsia="宋体" w:hAnsi="宋体" w:cs="宋体"/>
                <w:kern w:val="0"/>
                <w:sz w:val="21"/>
                <w:szCs w:val="24"/>
              </w:rPr>
            </w:pPr>
            <w:r>
              <w:rPr>
                <w:rFonts w:ascii="宋体" w:eastAsia="宋体" w:hAnsi="宋体" w:cs="宋体" w:hint="eastAsia"/>
                <w:kern w:val="0"/>
                <w:sz w:val="21"/>
                <w:szCs w:val="24"/>
              </w:rPr>
              <w:t>5.全年平均支出进度得分</w:t>
            </w:r>
            <w:r>
              <w:rPr>
                <w:rFonts w:ascii="宋体" w:eastAsia="宋体" w:hAnsi="宋体" w:cs="宋体"/>
                <w:kern w:val="0"/>
                <w:sz w:val="21"/>
                <w:szCs w:val="24"/>
              </w:rPr>
              <w:t>=</w:t>
            </w:r>
            <w:r>
              <w:rPr>
                <w:rFonts w:ascii="宋体" w:eastAsia="宋体" w:hAnsi="宋体" w:cs="宋体" w:hint="eastAsia"/>
                <w:kern w:val="0"/>
                <w:sz w:val="21"/>
                <w:szCs w:val="24"/>
              </w:rPr>
              <w:t>全年平均执行率×2分</w:t>
            </w:r>
          </w:p>
          <w:p w:rsidR="00FC160C" w:rsidRDefault="00481A9C">
            <w:pPr>
              <w:widowControl/>
              <w:spacing w:line="320" w:lineRule="exact"/>
              <w:ind w:firstLineChars="0" w:firstLine="405"/>
              <w:rPr>
                <w:rFonts w:ascii="宋体" w:eastAsia="宋体" w:hAnsi="宋体" w:cs="宋体"/>
                <w:kern w:val="0"/>
                <w:sz w:val="21"/>
                <w:szCs w:val="24"/>
              </w:rPr>
            </w:pPr>
            <w:r>
              <w:rPr>
                <w:rFonts w:ascii="宋体" w:eastAsia="宋体" w:hAnsi="宋体" w:cs="宋体" w:hint="eastAsia"/>
                <w:kern w:val="0"/>
                <w:sz w:val="21"/>
                <w:szCs w:val="24"/>
              </w:rPr>
              <w:t>其中：全年平均执行率</w:t>
            </w:r>
            <w:r>
              <w:rPr>
                <w:rFonts w:ascii="宋体" w:eastAsia="宋体" w:hAnsi="宋体" w:cs="宋体"/>
                <w:kern w:val="0"/>
                <w:sz w:val="21"/>
                <w:szCs w:val="24"/>
              </w:rPr>
              <w:t>=</w:t>
            </w:r>
            <w:r>
              <w:rPr>
                <w:rFonts w:ascii="宋体" w:eastAsia="宋体" w:hAnsi="宋体" w:cs="宋体" w:hint="eastAsia"/>
                <w:kern w:val="0"/>
                <w:sz w:val="21"/>
                <w:szCs w:val="24"/>
              </w:rPr>
              <w:t>∑（每个季度的执行率）÷</w:t>
            </w:r>
            <w:r>
              <w:rPr>
                <w:rFonts w:ascii="宋体" w:eastAsia="宋体" w:hAnsi="宋体" w:cs="宋体"/>
                <w:kern w:val="0"/>
                <w:sz w:val="21"/>
                <w:szCs w:val="24"/>
              </w:rPr>
              <w:t>4</w:t>
            </w:r>
          </w:p>
          <w:p w:rsidR="00FC160C" w:rsidRDefault="00FC160C">
            <w:pPr>
              <w:widowControl/>
              <w:spacing w:line="320" w:lineRule="exact"/>
              <w:ind w:firstLineChars="0" w:firstLine="405"/>
              <w:rPr>
                <w:rFonts w:ascii="宋体" w:eastAsia="宋体" w:hAnsi="宋体" w:cs="宋体"/>
                <w:kern w:val="0"/>
                <w:sz w:val="21"/>
                <w:szCs w:val="24"/>
              </w:rPr>
            </w:pPr>
          </w:p>
          <w:p w:rsidR="00FC160C" w:rsidRDefault="00481A9C">
            <w:pPr>
              <w:widowControl/>
              <w:spacing w:line="320" w:lineRule="exact"/>
              <w:ind w:firstLineChars="0" w:firstLine="0"/>
              <w:rPr>
                <w:rFonts w:ascii="宋体" w:eastAsia="宋体" w:hAnsi="宋体" w:cs="宋体"/>
                <w:kern w:val="0"/>
                <w:sz w:val="21"/>
                <w:szCs w:val="24"/>
              </w:rPr>
            </w:pPr>
            <w:r>
              <w:rPr>
                <w:rFonts w:ascii="宋体" w:eastAsia="宋体" w:hAnsi="宋体" w:cs="宋体" w:hint="eastAsia"/>
                <w:kern w:val="0"/>
                <w:sz w:val="21"/>
                <w:szCs w:val="24"/>
              </w:rPr>
              <w:t>季度支出进度=季度末月份累计支出进度（即3、6、9、12月月末支出进度）</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5.98</w:t>
            </w:r>
          </w:p>
        </w:tc>
      </w:tr>
      <w:tr w:rsidR="00FC160C">
        <w:trPr>
          <w:trHeight w:val="1404"/>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single" w:sz="4" w:space="0" w:color="auto"/>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single" w:sz="4" w:space="0" w:color="auto"/>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center"/>
              <w:rPr>
                <w:rFonts w:ascii="宋体" w:eastAsia="宋体"/>
                <w:kern w:val="0"/>
                <w:sz w:val="21"/>
                <w:szCs w:val="24"/>
              </w:rPr>
            </w:pP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重点工作完成情况</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8</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部门（单位）完成党委、政府、人大和上级部门下达或交办的重要事项或工作的完成情况，反映部门对重点工作的办理落实程度。</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420"/>
              <w:rPr>
                <w:rFonts w:ascii="宋体" w:eastAsia="宋体" w:hAnsi="宋体" w:cs="宋体"/>
                <w:kern w:val="0"/>
                <w:sz w:val="21"/>
                <w:szCs w:val="24"/>
              </w:rPr>
            </w:pPr>
            <w:r>
              <w:rPr>
                <w:rFonts w:ascii="宋体" w:eastAsia="宋体" w:hAnsi="宋体" w:cs="宋体" w:hint="eastAsia"/>
                <w:kern w:val="0"/>
                <w:sz w:val="21"/>
                <w:szCs w:val="24"/>
              </w:rPr>
              <w:t>重点工作是指中央和省相关部门、市委、市政府、市人大交办或下达的工作任务。全部按期保质保量完成得8分；一项重点工作没有完成扣4分，扣完为止。</w:t>
            </w:r>
          </w:p>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注：重点工作完成情况可以参考市委市政府督查部门或其他权威部门的统计数据（如有）。</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8</w:t>
            </w:r>
          </w:p>
        </w:tc>
      </w:tr>
      <w:tr w:rsidR="00FC160C">
        <w:trPr>
          <w:trHeight w:val="892"/>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single" w:sz="4" w:space="0" w:color="auto"/>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single" w:sz="4" w:space="0" w:color="auto"/>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center"/>
              <w:rPr>
                <w:rFonts w:ascii="宋体" w:eastAsia="宋体"/>
                <w:kern w:val="0"/>
                <w:sz w:val="21"/>
                <w:szCs w:val="24"/>
              </w:rPr>
            </w:pP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项目完成及时性</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kern w:val="0"/>
                <w:sz w:val="21"/>
                <w:szCs w:val="24"/>
              </w:rPr>
              <w:t>6</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部门（单位）项目完成情况与预期时间对比的情况。</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420"/>
              <w:rPr>
                <w:rFonts w:ascii="宋体" w:eastAsia="宋体"/>
                <w:kern w:val="0"/>
                <w:sz w:val="21"/>
                <w:szCs w:val="24"/>
              </w:rPr>
            </w:pPr>
            <w:r>
              <w:rPr>
                <w:rFonts w:ascii="宋体" w:eastAsia="宋体" w:hAnsi="宋体" w:cs="宋体"/>
                <w:kern w:val="0"/>
                <w:sz w:val="21"/>
                <w:szCs w:val="24"/>
              </w:rPr>
              <w:t>1.</w:t>
            </w:r>
            <w:r>
              <w:rPr>
                <w:rFonts w:ascii="宋体" w:eastAsia="宋体" w:hAnsi="宋体" w:cs="宋体" w:hint="eastAsia"/>
                <w:kern w:val="0"/>
                <w:sz w:val="21"/>
                <w:szCs w:val="24"/>
              </w:rPr>
              <w:t>所有部门预算安排的项目均按计划时间完成（</w:t>
            </w:r>
            <w:r>
              <w:rPr>
                <w:rFonts w:ascii="宋体" w:eastAsia="宋体" w:hAnsi="宋体" w:cs="宋体"/>
                <w:kern w:val="0"/>
                <w:sz w:val="21"/>
                <w:szCs w:val="24"/>
              </w:rPr>
              <w:t>6</w:t>
            </w:r>
            <w:r>
              <w:rPr>
                <w:rFonts w:ascii="宋体" w:eastAsia="宋体" w:hAnsi="宋体" w:cs="宋体" w:hint="eastAsia"/>
                <w:kern w:val="0"/>
                <w:sz w:val="21"/>
                <w:szCs w:val="24"/>
              </w:rPr>
              <w:t>分）；</w:t>
            </w:r>
          </w:p>
          <w:p w:rsidR="00FC160C" w:rsidRDefault="00481A9C">
            <w:pPr>
              <w:widowControl/>
              <w:spacing w:line="320" w:lineRule="exact"/>
              <w:ind w:firstLine="420"/>
              <w:rPr>
                <w:rFonts w:ascii="宋体" w:eastAsia="宋体"/>
                <w:kern w:val="0"/>
                <w:sz w:val="21"/>
                <w:szCs w:val="24"/>
              </w:rPr>
            </w:pPr>
            <w:r>
              <w:rPr>
                <w:rFonts w:ascii="宋体" w:eastAsia="宋体" w:hAnsi="宋体" w:cs="宋体"/>
                <w:kern w:val="0"/>
                <w:sz w:val="21"/>
                <w:szCs w:val="24"/>
              </w:rPr>
              <w:t>2.</w:t>
            </w:r>
            <w:r>
              <w:rPr>
                <w:rFonts w:ascii="宋体" w:eastAsia="宋体" w:hAnsi="宋体" w:cs="宋体" w:hint="eastAsia"/>
                <w:kern w:val="0"/>
                <w:sz w:val="21"/>
                <w:szCs w:val="24"/>
              </w:rPr>
              <w:t>部分项目未按计划时间完成的，本指标得分</w:t>
            </w:r>
            <w:r>
              <w:rPr>
                <w:rFonts w:ascii="宋体" w:eastAsia="宋体" w:hAnsi="宋体" w:cs="宋体"/>
                <w:kern w:val="0"/>
                <w:sz w:val="21"/>
                <w:szCs w:val="24"/>
              </w:rPr>
              <w:t>=</w:t>
            </w:r>
            <w:r>
              <w:rPr>
                <w:rFonts w:ascii="宋体" w:eastAsia="宋体" w:hAnsi="宋体" w:cs="宋体" w:hint="eastAsia"/>
                <w:kern w:val="0"/>
                <w:sz w:val="21"/>
                <w:szCs w:val="24"/>
              </w:rPr>
              <w:t>已完成项目数</w:t>
            </w:r>
            <w:r>
              <w:rPr>
                <w:rFonts w:ascii="宋体" w:eastAsia="宋体" w:hAnsi="宋体" w:cs="宋体"/>
                <w:kern w:val="0"/>
                <w:sz w:val="21"/>
                <w:szCs w:val="24"/>
              </w:rPr>
              <w:t>/</w:t>
            </w:r>
            <w:r>
              <w:rPr>
                <w:rFonts w:ascii="宋体" w:eastAsia="宋体" w:hAnsi="宋体" w:cs="宋体" w:hint="eastAsia"/>
                <w:kern w:val="0"/>
                <w:sz w:val="21"/>
                <w:szCs w:val="24"/>
              </w:rPr>
              <w:t>计划完成项目总数×</w:t>
            </w:r>
            <w:r>
              <w:rPr>
                <w:rFonts w:ascii="宋体" w:eastAsia="宋体" w:hAnsi="宋体" w:cs="宋体"/>
                <w:kern w:val="0"/>
                <w:sz w:val="21"/>
                <w:szCs w:val="24"/>
              </w:rPr>
              <w:t>6</w:t>
            </w:r>
            <w:r>
              <w:rPr>
                <w:rFonts w:ascii="宋体" w:eastAsia="宋体" w:hAnsi="宋体" w:cs="宋体" w:hint="eastAsia"/>
                <w:kern w:val="0"/>
                <w:sz w:val="21"/>
                <w:szCs w:val="24"/>
              </w:rPr>
              <w:t>分。</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6</w:t>
            </w:r>
          </w:p>
        </w:tc>
      </w:tr>
      <w:tr w:rsidR="00FC160C">
        <w:trPr>
          <w:trHeight w:val="1260"/>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效果性</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kern w:val="0"/>
                <w:sz w:val="21"/>
                <w:szCs w:val="24"/>
              </w:rPr>
              <w:t>20</w:t>
            </w: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社会效益、经济效益、生态效益及可持续影响等</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kern w:val="0"/>
                <w:sz w:val="21"/>
                <w:szCs w:val="24"/>
              </w:rPr>
              <w:t>20</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部门（单位）履行职责、完成各项重大政策和项目的效果，以及对经济发展、社会发展、生态环境所带来的直接或间接影响。</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405"/>
              <w:rPr>
                <w:rFonts w:ascii="宋体" w:eastAsia="宋体" w:hAnsi="宋体" w:cs="宋体"/>
                <w:kern w:val="0"/>
                <w:sz w:val="21"/>
                <w:szCs w:val="24"/>
              </w:rPr>
            </w:pPr>
            <w:r>
              <w:rPr>
                <w:rFonts w:ascii="宋体" w:eastAsia="宋体" w:hAnsi="宋体" w:cs="宋体" w:hint="eastAsia"/>
                <w:kern w:val="0"/>
                <w:sz w:val="21"/>
                <w:szCs w:val="24"/>
              </w:rPr>
              <w:t>根据部门（单位）职责，结合部门整体支出绩效目标，合理设置个性化绩效指标，通过绩效指标完成情况与目标值对比分析进行评分，未实现绩效目标的酌情扣分。</w:t>
            </w:r>
          </w:p>
          <w:p w:rsidR="00FC160C" w:rsidRDefault="00481A9C">
            <w:pPr>
              <w:widowControl/>
              <w:spacing w:line="320" w:lineRule="exact"/>
              <w:ind w:firstLineChars="0" w:firstLine="405"/>
              <w:rPr>
                <w:rFonts w:ascii="宋体" w:eastAsia="宋体"/>
                <w:kern w:val="0"/>
                <w:sz w:val="21"/>
                <w:szCs w:val="24"/>
              </w:rPr>
            </w:pPr>
            <w:r>
              <w:rPr>
                <w:rFonts w:ascii="宋体" w:eastAsia="宋体" w:hAnsi="宋体" w:cs="宋体" w:hint="eastAsia"/>
                <w:kern w:val="0"/>
                <w:sz w:val="21"/>
                <w:szCs w:val="24"/>
              </w:rPr>
              <w:t>根据部门（部门）履职内容和性质，从社会效益、经济效益、生态效益、可持续影响等方面，至少选择三个方面对工作实效和效益进行评价。</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18</w:t>
            </w:r>
          </w:p>
        </w:tc>
      </w:tr>
      <w:tr w:rsidR="00FC160C">
        <w:trPr>
          <w:trHeight w:val="90"/>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公平性</w:t>
            </w:r>
          </w:p>
        </w:tc>
        <w:tc>
          <w:tcPr>
            <w:tcW w:w="567" w:type="dxa"/>
            <w:vMerge w:val="restart"/>
            <w:tcBorders>
              <w:top w:val="nil"/>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9</w:t>
            </w: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群众信访办理情况</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kern w:val="0"/>
                <w:sz w:val="21"/>
                <w:szCs w:val="24"/>
              </w:rPr>
              <w:t>3</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部门（单位）对群众信访意见的完成情况及及时性，反映部门（单位）对服务群众的重视程度。</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150" w:firstLine="315"/>
              <w:rPr>
                <w:rFonts w:ascii="宋体" w:eastAsia="宋体" w:hAnsi="宋体" w:cs="宋体"/>
                <w:kern w:val="0"/>
                <w:sz w:val="21"/>
                <w:szCs w:val="24"/>
              </w:rPr>
            </w:pPr>
            <w:r>
              <w:rPr>
                <w:rFonts w:ascii="宋体" w:eastAsia="宋体" w:hAnsi="宋体" w:cs="宋体"/>
                <w:kern w:val="0"/>
                <w:sz w:val="21"/>
                <w:szCs w:val="24"/>
              </w:rPr>
              <w:t>1.</w:t>
            </w:r>
            <w:r>
              <w:rPr>
                <w:rFonts w:ascii="宋体" w:eastAsia="宋体" w:hAnsi="宋体" w:cs="宋体" w:hint="eastAsia"/>
                <w:kern w:val="0"/>
                <w:sz w:val="21"/>
                <w:szCs w:val="24"/>
              </w:rPr>
              <w:t>建立了便利的群众意见反映渠道和群众意见办理回复机制（</w:t>
            </w:r>
            <w:r>
              <w:rPr>
                <w:rFonts w:ascii="宋体" w:eastAsia="宋体" w:hAnsi="宋体" w:cs="宋体"/>
                <w:kern w:val="0"/>
                <w:sz w:val="21"/>
                <w:szCs w:val="24"/>
              </w:rPr>
              <w:t>1</w:t>
            </w:r>
            <w:r>
              <w:rPr>
                <w:rFonts w:ascii="宋体" w:eastAsia="宋体" w:hAnsi="宋体" w:cs="宋体" w:hint="eastAsia"/>
                <w:kern w:val="0"/>
                <w:sz w:val="21"/>
                <w:szCs w:val="24"/>
              </w:rPr>
              <w:t>分）；</w:t>
            </w:r>
          </w:p>
          <w:p w:rsidR="00FC160C" w:rsidRDefault="00481A9C">
            <w:pPr>
              <w:widowControl/>
              <w:spacing w:line="320" w:lineRule="exact"/>
              <w:ind w:firstLineChars="150" w:firstLine="315"/>
              <w:rPr>
                <w:rFonts w:ascii="宋体" w:eastAsia="宋体" w:hAnsi="宋体" w:cs="宋体"/>
                <w:kern w:val="0"/>
                <w:sz w:val="21"/>
                <w:szCs w:val="24"/>
              </w:rPr>
            </w:pPr>
            <w:r>
              <w:rPr>
                <w:rFonts w:ascii="宋体" w:eastAsia="宋体" w:hAnsi="宋体" w:cs="宋体"/>
                <w:kern w:val="0"/>
                <w:sz w:val="21"/>
                <w:szCs w:val="24"/>
              </w:rPr>
              <w:t>2.</w:t>
            </w:r>
            <w:r>
              <w:rPr>
                <w:rFonts w:ascii="宋体" w:eastAsia="宋体" w:hAnsi="宋体" w:cs="宋体" w:hint="eastAsia"/>
                <w:kern w:val="0"/>
                <w:sz w:val="21"/>
                <w:szCs w:val="24"/>
              </w:rPr>
              <w:t>当年度群众信访办理回复率达100%（</w:t>
            </w:r>
            <w:r>
              <w:rPr>
                <w:rFonts w:ascii="宋体" w:eastAsia="宋体" w:hAnsi="宋体" w:cs="宋体"/>
                <w:kern w:val="0"/>
                <w:sz w:val="21"/>
                <w:szCs w:val="24"/>
              </w:rPr>
              <w:t>1</w:t>
            </w:r>
            <w:r>
              <w:rPr>
                <w:rFonts w:ascii="宋体" w:eastAsia="宋体" w:hAnsi="宋体" w:cs="宋体" w:hint="eastAsia"/>
                <w:kern w:val="0"/>
                <w:sz w:val="21"/>
                <w:szCs w:val="24"/>
              </w:rPr>
              <w:t>分）；</w:t>
            </w:r>
          </w:p>
          <w:p w:rsidR="00FC160C" w:rsidRDefault="00481A9C">
            <w:pPr>
              <w:widowControl/>
              <w:spacing w:line="320" w:lineRule="exact"/>
              <w:ind w:firstLineChars="150" w:firstLine="315"/>
              <w:rPr>
                <w:rFonts w:ascii="宋体" w:eastAsia="宋体"/>
                <w:kern w:val="0"/>
                <w:sz w:val="21"/>
                <w:szCs w:val="24"/>
              </w:rPr>
            </w:pPr>
            <w:r>
              <w:rPr>
                <w:rFonts w:ascii="宋体" w:eastAsia="宋体" w:hAnsi="宋体" w:cs="宋体"/>
                <w:kern w:val="0"/>
                <w:sz w:val="21"/>
                <w:szCs w:val="24"/>
              </w:rPr>
              <w:t>3.</w:t>
            </w:r>
            <w:r>
              <w:rPr>
                <w:rFonts w:ascii="宋体" w:eastAsia="宋体" w:hAnsi="宋体" w:cs="宋体" w:hint="eastAsia"/>
                <w:kern w:val="0"/>
                <w:sz w:val="21"/>
                <w:szCs w:val="24"/>
              </w:rPr>
              <w:t>当年度群众信访及时办理回复率达100%，未发生超期（</w:t>
            </w:r>
            <w:r>
              <w:rPr>
                <w:rFonts w:ascii="宋体" w:eastAsia="宋体" w:hAnsi="宋体" w:cs="宋体"/>
                <w:kern w:val="0"/>
                <w:sz w:val="21"/>
                <w:szCs w:val="24"/>
              </w:rPr>
              <w:t>1</w:t>
            </w:r>
            <w:r>
              <w:rPr>
                <w:rFonts w:ascii="宋体" w:eastAsia="宋体" w:hAnsi="宋体" w:cs="宋体" w:hint="eastAsia"/>
                <w:kern w:val="0"/>
                <w:sz w:val="21"/>
                <w:szCs w:val="24"/>
              </w:rPr>
              <w:t>分）。</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3</w:t>
            </w:r>
          </w:p>
        </w:tc>
      </w:tr>
      <w:tr w:rsidR="00FC160C">
        <w:trPr>
          <w:trHeight w:val="1401"/>
          <w:jc w:val="center"/>
        </w:trPr>
        <w:tc>
          <w:tcPr>
            <w:tcW w:w="57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567" w:type="dxa"/>
            <w:vMerge/>
            <w:tcBorders>
              <w:top w:val="nil"/>
              <w:left w:val="single" w:sz="4" w:space="0" w:color="auto"/>
              <w:bottom w:val="single" w:sz="4" w:space="0" w:color="auto"/>
              <w:right w:val="single" w:sz="4" w:space="0" w:color="auto"/>
            </w:tcBorders>
            <w:noWrap/>
            <w:vAlign w:val="center"/>
          </w:tcPr>
          <w:p w:rsidR="00FC160C" w:rsidRDefault="00FC160C">
            <w:pPr>
              <w:widowControl/>
              <w:spacing w:line="320" w:lineRule="exact"/>
              <w:ind w:firstLineChars="0" w:firstLine="0"/>
              <w:jc w:val="left"/>
              <w:rPr>
                <w:rFonts w:ascii="宋体" w:eastAsia="宋体"/>
                <w:kern w:val="0"/>
                <w:sz w:val="21"/>
                <w:szCs w:val="24"/>
              </w:rPr>
            </w:pPr>
          </w:p>
        </w:tc>
        <w:tc>
          <w:tcPr>
            <w:tcW w:w="85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left"/>
              <w:rPr>
                <w:rFonts w:ascii="宋体" w:eastAsia="宋体"/>
                <w:kern w:val="0"/>
                <w:sz w:val="21"/>
                <w:szCs w:val="24"/>
              </w:rPr>
            </w:pPr>
            <w:r>
              <w:rPr>
                <w:rFonts w:ascii="宋体" w:eastAsia="宋体" w:hAnsi="宋体" w:cs="宋体" w:hint="eastAsia"/>
                <w:kern w:val="0"/>
                <w:sz w:val="21"/>
                <w:szCs w:val="24"/>
              </w:rPr>
              <w:t>公众或服务对象满意度</w:t>
            </w:r>
          </w:p>
        </w:tc>
        <w:tc>
          <w:tcPr>
            <w:tcW w:w="567"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kern w:val="0"/>
                <w:sz w:val="21"/>
                <w:szCs w:val="24"/>
              </w:rPr>
            </w:pPr>
            <w:r>
              <w:rPr>
                <w:rFonts w:ascii="宋体" w:eastAsia="宋体" w:hAnsi="宋体" w:cs="宋体" w:hint="eastAsia"/>
                <w:kern w:val="0"/>
                <w:sz w:val="21"/>
                <w:szCs w:val="24"/>
              </w:rPr>
              <w:t>6</w:t>
            </w:r>
          </w:p>
        </w:tc>
        <w:tc>
          <w:tcPr>
            <w:tcW w:w="3181"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rPr>
                <w:rFonts w:ascii="宋体" w:eastAsia="宋体"/>
                <w:kern w:val="0"/>
                <w:sz w:val="21"/>
                <w:szCs w:val="24"/>
              </w:rPr>
            </w:pPr>
            <w:r>
              <w:rPr>
                <w:rFonts w:ascii="宋体" w:eastAsia="宋体" w:hAnsi="宋体" w:cs="宋体" w:hint="eastAsia"/>
                <w:kern w:val="0"/>
                <w:sz w:val="21"/>
                <w:szCs w:val="24"/>
              </w:rPr>
              <w:t>反映社会公众或部门（单位）的服务对象对部门履职效果的满意度。</w:t>
            </w:r>
          </w:p>
        </w:tc>
        <w:tc>
          <w:tcPr>
            <w:tcW w:w="7229"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420"/>
              <w:rPr>
                <w:rFonts w:ascii="宋体" w:eastAsia="宋体" w:hAnsi="宋体" w:cs="宋体"/>
                <w:kern w:val="0"/>
                <w:sz w:val="21"/>
                <w:szCs w:val="24"/>
              </w:rPr>
            </w:pPr>
            <w:r>
              <w:rPr>
                <w:rFonts w:ascii="宋体" w:eastAsia="宋体" w:hAnsi="宋体" w:cs="宋体" w:hint="eastAsia"/>
                <w:kern w:val="0"/>
                <w:sz w:val="21"/>
                <w:szCs w:val="24"/>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分档计分。</w:t>
            </w:r>
          </w:p>
          <w:p w:rsidR="00FC160C" w:rsidRDefault="00481A9C">
            <w:pPr>
              <w:widowControl/>
              <w:spacing w:line="320" w:lineRule="exact"/>
              <w:ind w:firstLineChars="0" w:firstLine="420"/>
              <w:rPr>
                <w:rFonts w:ascii="宋体" w:eastAsia="宋体" w:hAnsi="宋体" w:cs="宋体"/>
                <w:kern w:val="0"/>
                <w:sz w:val="21"/>
                <w:szCs w:val="24"/>
              </w:rPr>
            </w:pPr>
            <w:r>
              <w:rPr>
                <w:rFonts w:ascii="宋体" w:eastAsia="宋体" w:hAnsi="宋体" w:cs="宋体" w:hint="eastAsia"/>
                <w:kern w:val="0"/>
                <w:sz w:val="21"/>
                <w:szCs w:val="24"/>
              </w:rPr>
              <w:t>1.满意度≥95%的，得6分；</w:t>
            </w:r>
          </w:p>
          <w:p w:rsidR="00FC160C" w:rsidRDefault="00481A9C">
            <w:pPr>
              <w:widowControl/>
              <w:spacing w:line="320" w:lineRule="exact"/>
              <w:ind w:firstLineChars="0" w:firstLine="420"/>
              <w:rPr>
                <w:rFonts w:ascii="宋体" w:eastAsia="宋体" w:hAnsi="宋体" w:cs="宋体"/>
                <w:kern w:val="0"/>
                <w:sz w:val="21"/>
                <w:szCs w:val="24"/>
              </w:rPr>
            </w:pPr>
            <w:r>
              <w:rPr>
                <w:rFonts w:ascii="宋体" w:eastAsia="宋体" w:hint="eastAsia"/>
                <w:kern w:val="0"/>
                <w:sz w:val="21"/>
                <w:szCs w:val="24"/>
              </w:rPr>
              <w:t>2.</w:t>
            </w:r>
            <w:r>
              <w:rPr>
                <w:rFonts w:ascii="宋体" w:eastAsia="宋体" w:hAnsi="宋体" w:cs="宋体" w:hint="eastAsia"/>
                <w:kern w:val="0"/>
                <w:sz w:val="21"/>
                <w:szCs w:val="24"/>
              </w:rPr>
              <w:t xml:space="preserve"> 90%≤满意度＜95%的，得4分；</w:t>
            </w:r>
          </w:p>
          <w:p w:rsidR="00FC160C" w:rsidRDefault="00481A9C">
            <w:pPr>
              <w:widowControl/>
              <w:spacing w:line="320" w:lineRule="exact"/>
              <w:ind w:firstLineChars="0" w:firstLine="420"/>
              <w:rPr>
                <w:rFonts w:ascii="宋体" w:eastAsia="宋体" w:hAnsi="宋体" w:cs="宋体"/>
                <w:kern w:val="0"/>
                <w:sz w:val="21"/>
                <w:szCs w:val="24"/>
              </w:rPr>
            </w:pPr>
            <w:r>
              <w:rPr>
                <w:rFonts w:ascii="宋体" w:eastAsia="宋体" w:hAnsi="宋体" w:cs="宋体" w:hint="eastAsia"/>
                <w:kern w:val="0"/>
                <w:sz w:val="21"/>
                <w:szCs w:val="24"/>
              </w:rPr>
              <w:t>3. 80%≤满意度＜90%的，得2分；</w:t>
            </w:r>
          </w:p>
          <w:p w:rsidR="00FC160C" w:rsidRDefault="00481A9C">
            <w:pPr>
              <w:widowControl/>
              <w:spacing w:line="320" w:lineRule="exact"/>
              <w:ind w:firstLineChars="0" w:firstLine="420"/>
              <w:rPr>
                <w:rFonts w:ascii="宋体" w:eastAsia="宋体"/>
                <w:kern w:val="0"/>
                <w:sz w:val="21"/>
                <w:szCs w:val="24"/>
              </w:rPr>
            </w:pPr>
            <w:r>
              <w:rPr>
                <w:rFonts w:ascii="宋体" w:eastAsia="宋体" w:hAnsi="宋体" w:cs="宋体" w:hint="eastAsia"/>
                <w:kern w:val="0"/>
                <w:sz w:val="21"/>
                <w:szCs w:val="24"/>
              </w:rPr>
              <w:t>4. 满意度＜80%的，得1分。</w:t>
            </w:r>
          </w:p>
        </w:tc>
        <w:tc>
          <w:tcPr>
            <w:tcW w:w="835" w:type="dxa"/>
            <w:tcBorders>
              <w:top w:val="nil"/>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6</w:t>
            </w:r>
          </w:p>
        </w:tc>
      </w:tr>
      <w:tr w:rsidR="00FC160C">
        <w:trPr>
          <w:trHeight w:val="641"/>
          <w:jc w:val="center"/>
        </w:trPr>
        <w:tc>
          <w:tcPr>
            <w:tcW w:w="14106" w:type="dxa"/>
            <w:gridSpan w:val="8"/>
            <w:tcBorders>
              <w:top w:val="single" w:sz="4" w:space="0" w:color="auto"/>
              <w:left w:val="single" w:sz="4" w:space="0" w:color="auto"/>
              <w:bottom w:val="single" w:sz="4" w:space="0" w:color="auto"/>
              <w:right w:val="single" w:sz="4" w:space="0" w:color="auto"/>
            </w:tcBorders>
            <w:noWrap/>
            <w:vAlign w:val="center"/>
          </w:tcPr>
          <w:p w:rsidR="00FC160C" w:rsidRDefault="00481A9C">
            <w:pPr>
              <w:widowControl/>
              <w:spacing w:line="320" w:lineRule="exact"/>
              <w:ind w:firstLineChars="0" w:firstLine="420"/>
              <w:jc w:val="center"/>
              <w:rPr>
                <w:rFonts w:ascii="宋体" w:eastAsia="宋体" w:hAnsi="宋体" w:cs="宋体"/>
                <w:kern w:val="0"/>
                <w:sz w:val="21"/>
                <w:szCs w:val="24"/>
              </w:rPr>
            </w:pPr>
            <w:r>
              <w:rPr>
                <w:rFonts w:ascii="宋体" w:eastAsia="宋体" w:hAnsi="宋体" w:cs="宋体" w:hint="eastAsia"/>
                <w:kern w:val="0"/>
                <w:sz w:val="21"/>
                <w:szCs w:val="24"/>
              </w:rPr>
              <w:t>合计</w:t>
            </w:r>
          </w:p>
        </w:tc>
        <w:tc>
          <w:tcPr>
            <w:tcW w:w="835" w:type="dxa"/>
            <w:tcBorders>
              <w:top w:val="single" w:sz="4" w:space="0" w:color="auto"/>
              <w:left w:val="nil"/>
              <w:bottom w:val="single" w:sz="4" w:space="0" w:color="auto"/>
              <w:right w:val="single" w:sz="4" w:space="0" w:color="auto"/>
            </w:tcBorders>
            <w:noWrap/>
            <w:vAlign w:val="center"/>
          </w:tcPr>
          <w:p w:rsidR="00FC160C" w:rsidRDefault="00481A9C">
            <w:pPr>
              <w:widowControl/>
              <w:spacing w:line="320" w:lineRule="exact"/>
              <w:ind w:firstLineChars="0" w:firstLine="0"/>
              <w:jc w:val="center"/>
              <w:rPr>
                <w:rFonts w:ascii="宋体" w:eastAsia="宋体" w:hAnsi="宋体" w:cs="宋体"/>
                <w:kern w:val="0"/>
                <w:sz w:val="21"/>
                <w:szCs w:val="24"/>
              </w:rPr>
            </w:pPr>
            <w:r>
              <w:rPr>
                <w:rFonts w:ascii="宋体" w:eastAsia="宋体" w:hAnsi="宋体" w:cs="宋体" w:hint="eastAsia"/>
                <w:kern w:val="0"/>
                <w:sz w:val="21"/>
                <w:szCs w:val="24"/>
              </w:rPr>
              <w:t>94.98</w:t>
            </w:r>
          </w:p>
        </w:tc>
      </w:tr>
    </w:tbl>
    <w:p w:rsidR="00FC160C" w:rsidRDefault="00FC160C">
      <w:pPr>
        <w:ind w:firstLineChars="0" w:firstLine="0"/>
      </w:pPr>
    </w:p>
    <w:sectPr w:rsidR="00FC160C" w:rsidSect="00FC160C">
      <w:pgSz w:w="16839" w:h="11907" w:orient="landscape"/>
      <w:pgMar w:top="1134" w:right="1440" w:bottom="85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4FE" w:rsidRDefault="008204FE">
      <w:pPr>
        <w:spacing w:line="240" w:lineRule="auto"/>
        <w:ind w:firstLine="640"/>
      </w:pPr>
      <w:r>
        <w:separator/>
      </w:r>
    </w:p>
  </w:endnote>
  <w:endnote w:type="continuationSeparator" w:id="1">
    <w:p w:rsidR="008204FE" w:rsidRDefault="008204F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dobe 楷体 Std R">
    <w:altName w:val="楷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FZXiaoBiaoSong-B05S">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0C" w:rsidRDefault="00FC160C">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0C" w:rsidRDefault="00FC160C">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0C" w:rsidRDefault="00FC160C">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4FE" w:rsidRDefault="008204FE">
      <w:pPr>
        <w:spacing w:line="240" w:lineRule="auto"/>
        <w:ind w:firstLine="640"/>
      </w:pPr>
      <w:r>
        <w:separator/>
      </w:r>
    </w:p>
  </w:footnote>
  <w:footnote w:type="continuationSeparator" w:id="1">
    <w:p w:rsidR="008204FE" w:rsidRDefault="008204F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0C" w:rsidRDefault="00FC160C">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0C" w:rsidRDefault="00FC160C">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0C" w:rsidRDefault="00FC160C">
    <w:pPr>
      <w:pStyle w:val="a7"/>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A8D"/>
    <w:rsid w:val="00000265"/>
    <w:rsid w:val="000004AC"/>
    <w:rsid w:val="00000E1E"/>
    <w:rsid w:val="00000FF1"/>
    <w:rsid w:val="00001DED"/>
    <w:rsid w:val="00003F34"/>
    <w:rsid w:val="00005364"/>
    <w:rsid w:val="00005EC7"/>
    <w:rsid w:val="00010ED1"/>
    <w:rsid w:val="0001254F"/>
    <w:rsid w:val="00012B1B"/>
    <w:rsid w:val="00015287"/>
    <w:rsid w:val="00015ABE"/>
    <w:rsid w:val="00016CBA"/>
    <w:rsid w:val="00022255"/>
    <w:rsid w:val="00022427"/>
    <w:rsid w:val="00022E37"/>
    <w:rsid w:val="00024C52"/>
    <w:rsid w:val="000253C0"/>
    <w:rsid w:val="000267D3"/>
    <w:rsid w:val="00034CEC"/>
    <w:rsid w:val="000362BC"/>
    <w:rsid w:val="000403F1"/>
    <w:rsid w:val="00042242"/>
    <w:rsid w:val="000422CE"/>
    <w:rsid w:val="000427E8"/>
    <w:rsid w:val="00050747"/>
    <w:rsid w:val="00055422"/>
    <w:rsid w:val="00057389"/>
    <w:rsid w:val="00061D77"/>
    <w:rsid w:val="000637E7"/>
    <w:rsid w:val="00063C9C"/>
    <w:rsid w:val="00066C97"/>
    <w:rsid w:val="00071F2E"/>
    <w:rsid w:val="0007273F"/>
    <w:rsid w:val="000757DF"/>
    <w:rsid w:val="00076550"/>
    <w:rsid w:val="00080B86"/>
    <w:rsid w:val="00083BDE"/>
    <w:rsid w:val="000858EC"/>
    <w:rsid w:val="00086F4E"/>
    <w:rsid w:val="00090F9F"/>
    <w:rsid w:val="00092329"/>
    <w:rsid w:val="00093455"/>
    <w:rsid w:val="00095292"/>
    <w:rsid w:val="00097E2D"/>
    <w:rsid w:val="000A25FA"/>
    <w:rsid w:val="000A5170"/>
    <w:rsid w:val="000A6CE3"/>
    <w:rsid w:val="000A7CC2"/>
    <w:rsid w:val="000B051F"/>
    <w:rsid w:val="000B2DA9"/>
    <w:rsid w:val="000B3250"/>
    <w:rsid w:val="000B4FCC"/>
    <w:rsid w:val="000B52CE"/>
    <w:rsid w:val="000B7499"/>
    <w:rsid w:val="000C06E3"/>
    <w:rsid w:val="000C1761"/>
    <w:rsid w:val="000C1F66"/>
    <w:rsid w:val="000C3FB6"/>
    <w:rsid w:val="000C5DD7"/>
    <w:rsid w:val="000C7F39"/>
    <w:rsid w:val="000D0640"/>
    <w:rsid w:val="000D1587"/>
    <w:rsid w:val="000D3E58"/>
    <w:rsid w:val="000D463B"/>
    <w:rsid w:val="000D4E7B"/>
    <w:rsid w:val="000D587E"/>
    <w:rsid w:val="000D5ECC"/>
    <w:rsid w:val="000E2096"/>
    <w:rsid w:val="000E287A"/>
    <w:rsid w:val="000E3034"/>
    <w:rsid w:val="000E3331"/>
    <w:rsid w:val="000E4510"/>
    <w:rsid w:val="000E5026"/>
    <w:rsid w:val="000E6E71"/>
    <w:rsid w:val="000E70CA"/>
    <w:rsid w:val="000F0F9F"/>
    <w:rsid w:val="000F2D4F"/>
    <w:rsid w:val="000F45E9"/>
    <w:rsid w:val="000F4BD7"/>
    <w:rsid w:val="000F593E"/>
    <w:rsid w:val="00100682"/>
    <w:rsid w:val="00101CB2"/>
    <w:rsid w:val="0010262D"/>
    <w:rsid w:val="00102F9E"/>
    <w:rsid w:val="00105AB2"/>
    <w:rsid w:val="00106365"/>
    <w:rsid w:val="00106FC7"/>
    <w:rsid w:val="001102B7"/>
    <w:rsid w:val="00113985"/>
    <w:rsid w:val="001142B5"/>
    <w:rsid w:val="0011547A"/>
    <w:rsid w:val="0011658B"/>
    <w:rsid w:val="00116C03"/>
    <w:rsid w:val="00117E42"/>
    <w:rsid w:val="00123ED3"/>
    <w:rsid w:val="001243FD"/>
    <w:rsid w:val="00125488"/>
    <w:rsid w:val="0012641A"/>
    <w:rsid w:val="00131CEC"/>
    <w:rsid w:val="00133487"/>
    <w:rsid w:val="0013458A"/>
    <w:rsid w:val="00137211"/>
    <w:rsid w:val="00137946"/>
    <w:rsid w:val="00140498"/>
    <w:rsid w:val="00144345"/>
    <w:rsid w:val="00144D03"/>
    <w:rsid w:val="0014567C"/>
    <w:rsid w:val="00145AA3"/>
    <w:rsid w:val="001500D9"/>
    <w:rsid w:val="00150AB1"/>
    <w:rsid w:val="0015131B"/>
    <w:rsid w:val="001516AA"/>
    <w:rsid w:val="00152FAE"/>
    <w:rsid w:val="00155F14"/>
    <w:rsid w:val="00156F7B"/>
    <w:rsid w:val="00157271"/>
    <w:rsid w:val="00162168"/>
    <w:rsid w:val="00162E2E"/>
    <w:rsid w:val="00167D1F"/>
    <w:rsid w:val="00167FE3"/>
    <w:rsid w:val="0017101A"/>
    <w:rsid w:val="00176BE6"/>
    <w:rsid w:val="00177D53"/>
    <w:rsid w:val="00181EA7"/>
    <w:rsid w:val="00186083"/>
    <w:rsid w:val="001863A0"/>
    <w:rsid w:val="00197896"/>
    <w:rsid w:val="00197F25"/>
    <w:rsid w:val="001A079A"/>
    <w:rsid w:val="001A10A8"/>
    <w:rsid w:val="001A2C66"/>
    <w:rsid w:val="001A320E"/>
    <w:rsid w:val="001A4FCA"/>
    <w:rsid w:val="001A6E11"/>
    <w:rsid w:val="001B05E4"/>
    <w:rsid w:val="001B327B"/>
    <w:rsid w:val="001B376B"/>
    <w:rsid w:val="001B3FA3"/>
    <w:rsid w:val="001B7006"/>
    <w:rsid w:val="001B7B67"/>
    <w:rsid w:val="001C08DD"/>
    <w:rsid w:val="001C44D5"/>
    <w:rsid w:val="001C5BCF"/>
    <w:rsid w:val="001C6068"/>
    <w:rsid w:val="001D27DF"/>
    <w:rsid w:val="001D374B"/>
    <w:rsid w:val="001D3797"/>
    <w:rsid w:val="001D39DB"/>
    <w:rsid w:val="001D576A"/>
    <w:rsid w:val="001E1A5E"/>
    <w:rsid w:val="001E443C"/>
    <w:rsid w:val="001E702E"/>
    <w:rsid w:val="001E7504"/>
    <w:rsid w:val="001F0171"/>
    <w:rsid w:val="001F466C"/>
    <w:rsid w:val="001F4D41"/>
    <w:rsid w:val="001F5AA4"/>
    <w:rsid w:val="001F5B8B"/>
    <w:rsid w:val="001F6B99"/>
    <w:rsid w:val="001F783F"/>
    <w:rsid w:val="002006E7"/>
    <w:rsid w:val="0020158B"/>
    <w:rsid w:val="00204288"/>
    <w:rsid w:val="00204A0E"/>
    <w:rsid w:val="002053F0"/>
    <w:rsid w:val="00213AFB"/>
    <w:rsid w:val="00215712"/>
    <w:rsid w:val="00215983"/>
    <w:rsid w:val="00217EA8"/>
    <w:rsid w:val="00222628"/>
    <w:rsid w:val="00222E9D"/>
    <w:rsid w:val="00223BB1"/>
    <w:rsid w:val="002270FB"/>
    <w:rsid w:val="002318E0"/>
    <w:rsid w:val="002353D5"/>
    <w:rsid w:val="00235966"/>
    <w:rsid w:val="00240845"/>
    <w:rsid w:val="00240A4A"/>
    <w:rsid w:val="0024187F"/>
    <w:rsid w:val="002436F1"/>
    <w:rsid w:val="002458E7"/>
    <w:rsid w:val="00246167"/>
    <w:rsid w:val="0025066F"/>
    <w:rsid w:val="00251105"/>
    <w:rsid w:val="00251777"/>
    <w:rsid w:val="002530A7"/>
    <w:rsid w:val="0025660C"/>
    <w:rsid w:val="002568D7"/>
    <w:rsid w:val="00260625"/>
    <w:rsid w:val="002625FA"/>
    <w:rsid w:val="00263FA0"/>
    <w:rsid w:val="00265620"/>
    <w:rsid w:val="00273D6F"/>
    <w:rsid w:val="00274B04"/>
    <w:rsid w:val="00275257"/>
    <w:rsid w:val="00275537"/>
    <w:rsid w:val="00276982"/>
    <w:rsid w:val="00276EF4"/>
    <w:rsid w:val="002829F4"/>
    <w:rsid w:val="00286111"/>
    <w:rsid w:val="00286357"/>
    <w:rsid w:val="002866F8"/>
    <w:rsid w:val="00290F1A"/>
    <w:rsid w:val="0029126B"/>
    <w:rsid w:val="00293B95"/>
    <w:rsid w:val="002A054C"/>
    <w:rsid w:val="002A110C"/>
    <w:rsid w:val="002A33B2"/>
    <w:rsid w:val="002A3777"/>
    <w:rsid w:val="002A52A8"/>
    <w:rsid w:val="002A5440"/>
    <w:rsid w:val="002B2D73"/>
    <w:rsid w:val="002B3881"/>
    <w:rsid w:val="002B398F"/>
    <w:rsid w:val="002B467A"/>
    <w:rsid w:val="002C2230"/>
    <w:rsid w:val="002C43EA"/>
    <w:rsid w:val="002C45FE"/>
    <w:rsid w:val="002C48FB"/>
    <w:rsid w:val="002C778F"/>
    <w:rsid w:val="002D1746"/>
    <w:rsid w:val="002D1FEC"/>
    <w:rsid w:val="002D2E9E"/>
    <w:rsid w:val="002D3722"/>
    <w:rsid w:val="002D41B3"/>
    <w:rsid w:val="002E00BB"/>
    <w:rsid w:val="002E0E8E"/>
    <w:rsid w:val="002E0FBC"/>
    <w:rsid w:val="002E3BC8"/>
    <w:rsid w:val="002E5878"/>
    <w:rsid w:val="002E68EE"/>
    <w:rsid w:val="002E73FB"/>
    <w:rsid w:val="002E74CA"/>
    <w:rsid w:val="002E7651"/>
    <w:rsid w:val="002F038F"/>
    <w:rsid w:val="002F1995"/>
    <w:rsid w:val="002F20AA"/>
    <w:rsid w:val="002F457B"/>
    <w:rsid w:val="002F7405"/>
    <w:rsid w:val="002F7F6B"/>
    <w:rsid w:val="00300663"/>
    <w:rsid w:val="00304B28"/>
    <w:rsid w:val="00306268"/>
    <w:rsid w:val="0031019B"/>
    <w:rsid w:val="00310B26"/>
    <w:rsid w:val="003124F6"/>
    <w:rsid w:val="0031266E"/>
    <w:rsid w:val="00312810"/>
    <w:rsid w:val="003157BD"/>
    <w:rsid w:val="00316B1E"/>
    <w:rsid w:val="00317D72"/>
    <w:rsid w:val="003229B2"/>
    <w:rsid w:val="00323ABA"/>
    <w:rsid w:val="00323B8D"/>
    <w:rsid w:val="00330085"/>
    <w:rsid w:val="00331A94"/>
    <w:rsid w:val="0033401E"/>
    <w:rsid w:val="003340E4"/>
    <w:rsid w:val="00334C6B"/>
    <w:rsid w:val="00335D5F"/>
    <w:rsid w:val="00336A34"/>
    <w:rsid w:val="00337FA3"/>
    <w:rsid w:val="0034038B"/>
    <w:rsid w:val="003428F4"/>
    <w:rsid w:val="00342D89"/>
    <w:rsid w:val="003440DC"/>
    <w:rsid w:val="003441BB"/>
    <w:rsid w:val="00345D39"/>
    <w:rsid w:val="00353F55"/>
    <w:rsid w:val="00354DC4"/>
    <w:rsid w:val="00357277"/>
    <w:rsid w:val="003577C2"/>
    <w:rsid w:val="00357F56"/>
    <w:rsid w:val="0036167D"/>
    <w:rsid w:val="00362AB8"/>
    <w:rsid w:val="003631BA"/>
    <w:rsid w:val="00371334"/>
    <w:rsid w:val="003718E5"/>
    <w:rsid w:val="003723B3"/>
    <w:rsid w:val="003729DE"/>
    <w:rsid w:val="00372A50"/>
    <w:rsid w:val="00373E73"/>
    <w:rsid w:val="00374099"/>
    <w:rsid w:val="00376FAE"/>
    <w:rsid w:val="0038481A"/>
    <w:rsid w:val="00385080"/>
    <w:rsid w:val="00387975"/>
    <w:rsid w:val="0039202D"/>
    <w:rsid w:val="0039458A"/>
    <w:rsid w:val="00394B68"/>
    <w:rsid w:val="003A0A35"/>
    <w:rsid w:val="003A0A6D"/>
    <w:rsid w:val="003A204D"/>
    <w:rsid w:val="003A2CE2"/>
    <w:rsid w:val="003A67B9"/>
    <w:rsid w:val="003A6D9C"/>
    <w:rsid w:val="003A7629"/>
    <w:rsid w:val="003B084C"/>
    <w:rsid w:val="003B1114"/>
    <w:rsid w:val="003B120C"/>
    <w:rsid w:val="003B1900"/>
    <w:rsid w:val="003B20D5"/>
    <w:rsid w:val="003B3F8C"/>
    <w:rsid w:val="003B412D"/>
    <w:rsid w:val="003B4344"/>
    <w:rsid w:val="003B5299"/>
    <w:rsid w:val="003B7CD1"/>
    <w:rsid w:val="003C1F6E"/>
    <w:rsid w:val="003C21C3"/>
    <w:rsid w:val="003C68E9"/>
    <w:rsid w:val="003C7457"/>
    <w:rsid w:val="003C78F0"/>
    <w:rsid w:val="003D1587"/>
    <w:rsid w:val="003D2B9B"/>
    <w:rsid w:val="003D3C46"/>
    <w:rsid w:val="003D3C7C"/>
    <w:rsid w:val="003D5362"/>
    <w:rsid w:val="003D66D9"/>
    <w:rsid w:val="003E06EE"/>
    <w:rsid w:val="003E0770"/>
    <w:rsid w:val="003E3C26"/>
    <w:rsid w:val="003E3EE1"/>
    <w:rsid w:val="003E4322"/>
    <w:rsid w:val="003E4B7D"/>
    <w:rsid w:val="003E529D"/>
    <w:rsid w:val="003F7EF1"/>
    <w:rsid w:val="00400043"/>
    <w:rsid w:val="00400E4A"/>
    <w:rsid w:val="004027E9"/>
    <w:rsid w:val="00403BA2"/>
    <w:rsid w:val="00413C1F"/>
    <w:rsid w:val="00415C3B"/>
    <w:rsid w:val="004170D0"/>
    <w:rsid w:val="004200DB"/>
    <w:rsid w:val="00422E96"/>
    <w:rsid w:val="00423F06"/>
    <w:rsid w:val="00430A6C"/>
    <w:rsid w:val="00433A59"/>
    <w:rsid w:val="00435EC1"/>
    <w:rsid w:val="0043691B"/>
    <w:rsid w:val="0044298A"/>
    <w:rsid w:val="0044534B"/>
    <w:rsid w:val="0044667D"/>
    <w:rsid w:val="00447035"/>
    <w:rsid w:val="00447BDD"/>
    <w:rsid w:val="004510F1"/>
    <w:rsid w:val="00452711"/>
    <w:rsid w:val="00452B60"/>
    <w:rsid w:val="00452F20"/>
    <w:rsid w:val="004567C8"/>
    <w:rsid w:val="00457077"/>
    <w:rsid w:val="00461068"/>
    <w:rsid w:val="004630E0"/>
    <w:rsid w:val="00463E18"/>
    <w:rsid w:val="004653CC"/>
    <w:rsid w:val="004708D0"/>
    <w:rsid w:val="004719FB"/>
    <w:rsid w:val="00471B64"/>
    <w:rsid w:val="004721F7"/>
    <w:rsid w:val="0047419B"/>
    <w:rsid w:val="0047562F"/>
    <w:rsid w:val="00476B89"/>
    <w:rsid w:val="00481A9C"/>
    <w:rsid w:val="004840EA"/>
    <w:rsid w:val="004857C5"/>
    <w:rsid w:val="0048637F"/>
    <w:rsid w:val="004876B1"/>
    <w:rsid w:val="004928F3"/>
    <w:rsid w:val="00495D0C"/>
    <w:rsid w:val="00495D76"/>
    <w:rsid w:val="004A196D"/>
    <w:rsid w:val="004A1CF4"/>
    <w:rsid w:val="004A2C97"/>
    <w:rsid w:val="004A3245"/>
    <w:rsid w:val="004A38F6"/>
    <w:rsid w:val="004A4315"/>
    <w:rsid w:val="004A610C"/>
    <w:rsid w:val="004A7461"/>
    <w:rsid w:val="004B3C22"/>
    <w:rsid w:val="004B3D83"/>
    <w:rsid w:val="004B40BA"/>
    <w:rsid w:val="004B413A"/>
    <w:rsid w:val="004B47F6"/>
    <w:rsid w:val="004B670F"/>
    <w:rsid w:val="004B6924"/>
    <w:rsid w:val="004B7465"/>
    <w:rsid w:val="004B7D99"/>
    <w:rsid w:val="004C04C9"/>
    <w:rsid w:val="004C0DF6"/>
    <w:rsid w:val="004C50B6"/>
    <w:rsid w:val="004C56F5"/>
    <w:rsid w:val="004C7511"/>
    <w:rsid w:val="004D039F"/>
    <w:rsid w:val="004D2F15"/>
    <w:rsid w:val="004D3A64"/>
    <w:rsid w:val="004D5274"/>
    <w:rsid w:val="004D5BD3"/>
    <w:rsid w:val="004D6D25"/>
    <w:rsid w:val="004D7D50"/>
    <w:rsid w:val="004E1650"/>
    <w:rsid w:val="004E3182"/>
    <w:rsid w:val="004E3850"/>
    <w:rsid w:val="004E5D6E"/>
    <w:rsid w:val="004E7241"/>
    <w:rsid w:val="004E72D7"/>
    <w:rsid w:val="004F00FE"/>
    <w:rsid w:val="004F4D05"/>
    <w:rsid w:val="00502C92"/>
    <w:rsid w:val="00502DE7"/>
    <w:rsid w:val="00505142"/>
    <w:rsid w:val="00505343"/>
    <w:rsid w:val="00507697"/>
    <w:rsid w:val="00511863"/>
    <w:rsid w:val="0051534C"/>
    <w:rsid w:val="00516355"/>
    <w:rsid w:val="0051731A"/>
    <w:rsid w:val="00523AE7"/>
    <w:rsid w:val="00523E0F"/>
    <w:rsid w:val="005248BB"/>
    <w:rsid w:val="005250B1"/>
    <w:rsid w:val="005268E6"/>
    <w:rsid w:val="005275E6"/>
    <w:rsid w:val="00527D00"/>
    <w:rsid w:val="00527EE5"/>
    <w:rsid w:val="00527FB4"/>
    <w:rsid w:val="00530762"/>
    <w:rsid w:val="0053798C"/>
    <w:rsid w:val="005403B1"/>
    <w:rsid w:val="00546D96"/>
    <w:rsid w:val="005513C1"/>
    <w:rsid w:val="0055208A"/>
    <w:rsid w:val="00552C11"/>
    <w:rsid w:val="00553952"/>
    <w:rsid w:val="00557702"/>
    <w:rsid w:val="0056146C"/>
    <w:rsid w:val="00562CA7"/>
    <w:rsid w:val="005635E1"/>
    <w:rsid w:val="00563ECF"/>
    <w:rsid w:val="00564345"/>
    <w:rsid w:val="0056488C"/>
    <w:rsid w:val="005655F0"/>
    <w:rsid w:val="00565DC7"/>
    <w:rsid w:val="00567EEA"/>
    <w:rsid w:val="005765F2"/>
    <w:rsid w:val="005812FC"/>
    <w:rsid w:val="005821AF"/>
    <w:rsid w:val="005833B3"/>
    <w:rsid w:val="0058344B"/>
    <w:rsid w:val="00585BEC"/>
    <w:rsid w:val="005908C1"/>
    <w:rsid w:val="00592C0D"/>
    <w:rsid w:val="005938A6"/>
    <w:rsid w:val="00594DD4"/>
    <w:rsid w:val="005967AE"/>
    <w:rsid w:val="005A11C6"/>
    <w:rsid w:val="005A190E"/>
    <w:rsid w:val="005A21E6"/>
    <w:rsid w:val="005A3D05"/>
    <w:rsid w:val="005A6F75"/>
    <w:rsid w:val="005A73AD"/>
    <w:rsid w:val="005B19B5"/>
    <w:rsid w:val="005B6031"/>
    <w:rsid w:val="005C2AED"/>
    <w:rsid w:val="005C3DB7"/>
    <w:rsid w:val="005C4BCF"/>
    <w:rsid w:val="005C793D"/>
    <w:rsid w:val="005C7E6C"/>
    <w:rsid w:val="005D04E2"/>
    <w:rsid w:val="005D4481"/>
    <w:rsid w:val="005D4819"/>
    <w:rsid w:val="005D54EC"/>
    <w:rsid w:val="005D58E2"/>
    <w:rsid w:val="005D6FD8"/>
    <w:rsid w:val="005E036F"/>
    <w:rsid w:val="005E0C76"/>
    <w:rsid w:val="005E0D18"/>
    <w:rsid w:val="005E0FF2"/>
    <w:rsid w:val="005E18E9"/>
    <w:rsid w:val="005E24CD"/>
    <w:rsid w:val="005E43C5"/>
    <w:rsid w:val="005E673D"/>
    <w:rsid w:val="005E69C1"/>
    <w:rsid w:val="005E744D"/>
    <w:rsid w:val="005F46B1"/>
    <w:rsid w:val="005F49A2"/>
    <w:rsid w:val="005F68E4"/>
    <w:rsid w:val="00600E18"/>
    <w:rsid w:val="00602FDE"/>
    <w:rsid w:val="006032A5"/>
    <w:rsid w:val="00604C15"/>
    <w:rsid w:val="0060567E"/>
    <w:rsid w:val="00605C17"/>
    <w:rsid w:val="006075DA"/>
    <w:rsid w:val="00607C19"/>
    <w:rsid w:val="006111A2"/>
    <w:rsid w:val="00612B48"/>
    <w:rsid w:val="0061314F"/>
    <w:rsid w:val="00614D3F"/>
    <w:rsid w:val="00615304"/>
    <w:rsid w:val="00615D6C"/>
    <w:rsid w:val="00616AB3"/>
    <w:rsid w:val="006226D4"/>
    <w:rsid w:val="0062661B"/>
    <w:rsid w:val="00626B9A"/>
    <w:rsid w:val="00626DB2"/>
    <w:rsid w:val="00626E5D"/>
    <w:rsid w:val="00630E0C"/>
    <w:rsid w:val="006327F2"/>
    <w:rsid w:val="00635CF2"/>
    <w:rsid w:val="006362C5"/>
    <w:rsid w:val="00636CF3"/>
    <w:rsid w:val="00636FAC"/>
    <w:rsid w:val="00640746"/>
    <w:rsid w:val="006417BC"/>
    <w:rsid w:val="00641CAE"/>
    <w:rsid w:val="00644732"/>
    <w:rsid w:val="00644919"/>
    <w:rsid w:val="006463AD"/>
    <w:rsid w:val="0065338E"/>
    <w:rsid w:val="00663734"/>
    <w:rsid w:val="00665199"/>
    <w:rsid w:val="006668F7"/>
    <w:rsid w:val="00666FD2"/>
    <w:rsid w:val="006673FA"/>
    <w:rsid w:val="00670E00"/>
    <w:rsid w:val="006710E5"/>
    <w:rsid w:val="00671ADC"/>
    <w:rsid w:val="006737E4"/>
    <w:rsid w:val="0067459B"/>
    <w:rsid w:val="00675D24"/>
    <w:rsid w:val="00676388"/>
    <w:rsid w:val="006847AA"/>
    <w:rsid w:val="00685D4C"/>
    <w:rsid w:val="006866A6"/>
    <w:rsid w:val="00687733"/>
    <w:rsid w:val="00690F59"/>
    <w:rsid w:val="00692067"/>
    <w:rsid w:val="00692237"/>
    <w:rsid w:val="00692B46"/>
    <w:rsid w:val="00693A54"/>
    <w:rsid w:val="00693B27"/>
    <w:rsid w:val="0069410C"/>
    <w:rsid w:val="006945C1"/>
    <w:rsid w:val="00696C86"/>
    <w:rsid w:val="006A08E5"/>
    <w:rsid w:val="006A0DAA"/>
    <w:rsid w:val="006A103D"/>
    <w:rsid w:val="006A2EE5"/>
    <w:rsid w:val="006A3A00"/>
    <w:rsid w:val="006A787B"/>
    <w:rsid w:val="006B336A"/>
    <w:rsid w:val="006B51D7"/>
    <w:rsid w:val="006B741F"/>
    <w:rsid w:val="006C09B8"/>
    <w:rsid w:val="006C145E"/>
    <w:rsid w:val="006C2072"/>
    <w:rsid w:val="006C4F41"/>
    <w:rsid w:val="006C5843"/>
    <w:rsid w:val="006D19BF"/>
    <w:rsid w:val="006D68FE"/>
    <w:rsid w:val="006D7AF4"/>
    <w:rsid w:val="006D7BD0"/>
    <w:rsid w:val="006E04CA"/>
    <w:rsid w:val="006E07BB"/>
    <w:rsid w:val="006E2C6E"/>
    <w:rsid w:val="006E3481"/>
    <w:rsid w:val="006E3E0A"/>
    <w:rsid w:val="006E434A"/>
    <w:rsid w:val="006F03C1"/>
    <w:rsid w:val="006F0724"/>
    <w:rsid w:val="006F275C"/>
    <w:rsid w:val="006F55F6"/>
    <w:rsid w:val="00701A0E"/>
    <w:rsid w:val="0070245B"/>
    <w:rsid w:val="0070683E"/>
    <w:rsid w:val="007073AA"/>
    <w:rsid w:val="0070785A"/>
    <w:rsid w:val="00710C5D"/>
    <w:rsid w:val="00712787"/>
    <w:rsid w:val="00712EE7"/>
    <w:rsid w:val="007152F6"/>
    <w:rsid w:val="007205BC"/>
    <w:rsid w:val="00721959"/>
    <w:rsid w:val="00721ADD"/>
    <w:rsid w:val="007275E2"/>
    <w:rsid w:val="007305E7"/>
    <w:rsid w:val="00731070"/>
    <w:rsid w:val="007314A1"/>
    <w:rsid w:val="007330F8"/>
    <w:rsid w:val="007341A4"/>
    <w:rsid w:val="007363BA"/>
    <w:rsid w:val="00736F77"/>
    <w:rsid w:val="00737284"/>
    <w:rsid w:val="007377FD"/>
    <w:rsid w:val="00737A79"/>
    <w:rsid w:val="00737BA6"/>
    <w:rsid w:val="0074385B"/>
    <w:rsid w:val="0074675E"/>
    <w:rsid w:val="0074718D"/>
    <w:rsid w:val="00750423"/>
    <w:rsid w:val="00751AC5"/>
    <w:rsid w:val="00751C95"/>
    <w:rsid w:val="00754F8A"/>
    <w:rsid w:val="0075545C"/>
    <w:rsid w:val="007563CF"/>
    <w:rsid w:val="007572C0"/>
    <w:rsid w:val="00762E2E"/>
    <w:rsid w:val="007676DB"/>
    <w:rsid w:val="00767C33"/>
    <w:rsid w:val="00767C43"/>
    <w:rsid w:val="00770821"/>
    <w:rsid w:val="007709B7"/>
    <w:rsid w:val="00772C56"/>
    <w:rsid w:val="00775633"/>
    <w:rsid w:val="007761BD"/>
    <w:rsid w:val="0077629E"/>
    <w:rsid w:val="007764F5"/>
    <w:rsid w:val="0078253A"/>
    <w:rsid w:val="00783283"/>
    <w:rsid w:val="00784BE4"/>
    <w:rsid w:val="007879D6"/>
    <w:rsid w:val="00791F1D"/>
    <w:rsid w:val="007923AB"/>
    <w:rsid w:val="00792BB1"/>
    <w:rsid w:val="00792ECC"/>
    <w:rsid w:val="00796F28"/>
    <w:rsid w:val="007972B7"/>
    <w:rsid w:val="007976EC"/>
    <w:rsid w:val="00797C10"/>
    <w:rsid w:val="007A1247"/>
    <w:rsid w:val="007A1810"/>
    <w:rsid w:val="007A23C2"/>
    <w:rsid w:val="007A2639"/>
    <w:rsid w:val="007A31C9"/>
    <w:rsid w:val="007A48CC"/>
    <w:rsid w:val="007A4D23"/>
    <w:rsid w:val="007A5836"/>
    <w:rsid w:val="007A64A4"/>
    <w:rsid w:val="007A6908"/>
    <w:rsid w:val="007A70D0"/>
    <w:rsid w:val="007A7975"/>
    <w:rsid w:val="007B02D9"/>
    <w:rsid w:val="007B1093"/>
    <w:rsid w:val="007B2271"/>
    <w:rsid w:val="007B2FFD"/>
    <w:rsid w:val="007B4CFF"/>
    <w:rsid w:val="007B5AB5"/>
    <w:rsid w:val="007C18BE"/>
    <w:rsid w:val="007C3692"/>
    <w:rsid w:val="007C577C"/>
    <w:rsid w:val="007C5A1D"/>
    <w:rsid w:val="007C6A8D"/>
    <w:rsid w:val="007C77C0"/>
    <w:rsid w:val="007C7EEF"/>
    <w:rsid w:val="007D3FA6"/>
    <w:rsid w:val="007D4CBD"/>
    <w:rsid w:val="007D7CFA"/>
    <w:rsid w:val="007E0545"/>
    <w:rsid w:val="007E0AA4"/>
    <w:rsid w:val="007E165E"/>
    <w:rsid w:val="007E16C0"/>
    <w:rsid w:val="007E4A5E"/>
    <w:rsid w:val="007E5B37"/>
    <w:rsid w:val="007E641C"/>
    <w:rsid w:val="007E7853"/>
    <w:rsid w:val="007F11FC"/>
    <w:rsid w:val="007F6202"/>
    <w:rsid w:val="00801F6C"/>
    <w:rsid w:val="0080548B"/>
    <w:rsid w:val="0080709A"/>
    <w:rsid w:val="0080730C"/>
    <w:rsid w:val="0081672B"/>
    <w:rsid w:val="00816B14"/>
    <w:rsid w:val="00817537"/>
    <w:rsid w:val="008177C6"/>
    <w:rsid w:val="008204FE"/>
    <w:rsid w:val="008206A5"/>
    <w:rsid w:val="00822221"/>
    <w:rsid w:val="00822329"/>
    <w:rsid w:val="008229F1"/>
    <w:rsid w:val="0082411F"/>
    <w:rsid w:val="00825BAE"/>
    <w:rsid w:val="008263E6"/>
    <w:rsid w:val="008271D6"/>
    <w:rsid w:val="008305A4"/>
    <w:rsid w:val="008309F0"/>
    <w:rsid w:val="00834C9A"/>
    <w:rsid w:val="00834F5B"/>
    <w:rsid w:val="00841E33"/>
    <w:rsid w:val="008443D8"/>
    <w:rsid w:val="00844F97"/>
    <w:rsid w:val="00846EB9"/>
    <w:rsid w:val="008471A0"/>
    <w:rsid w:val="0085373E"/>
    <w:rsid w:val="0085384E"/>
    <w:rsid w:val="00854C14"/>
    <w:rsid w:val="00854F8E"/>
    <w:rsid w:val="00855A6F"/>
    <w:rsid w:val="008565CD"/>
    <w:rsid w:val="00857697"/>
    <w:rsid w:val="00860BCF"/>
    <w:rsid w:val="0086188C"/>
    <w:rsid w:val="008629F9"/>
    <w:rsid w:val="0086370A"/>
    <w:rsid w:val="008658DA"/>
    <w:rsid w:val="00865A43"/>
    <w:rsid w:val="00866D4F"/>
    <w:rsid w:val="00866E12"/>
    <w:rsid w:val="0087017D"/>
    <w:rsid w:val="0087199A"/>
    <w:rsid w:val="00873FCC"/>
    <w:rsid w:val="00874718"/>
    <w:rsid w:val="00880F7D"/>
    <w:rsid w:val="00883C19"/>
    <w:rsid w:val="00886EBB"/>
    <w:rsid w:val="00887939"/>
    <w:rsid w:val="00895548"/>
    <w:rsid w:val="008959A8"/>
    <w:rsid w:val="00896534"/>
    <w:rsid w:val="008967EC"/>
    <w:rsid w:val="008A2199"/>
    <w:rsid w:val="008C01DD"/>
    <w:rsid w:val="008C0887"/>
    <w:rsid w:val="008C2941"/>
    <w:rsid w:val="008C4A5F"/>
    <w:rsid w:val="008C66DA"/>
    <w:rsid w:val="008C7606"/>
    <w:rsid w:val="008C7E6C"/>
    <w:rsid w:val="008D1434"/>
    <w:rsid w:val="008D299C"/>
    <w:rsid w:val="008D3C34"/>
    <w:rsid w:val="008D3D2B"/>
    <w:rsid w:val="008D5998"/>
    <w:rsid w:val="008D5E23"/>
    <w:rsid w:val="008D6A38"/>
    <w:rsid w:val="008D7966"/>
    <w:rsid w:val="008E0849"/>
    <w:rsid w:val="008E0C2C"/>
    <w:rsid w:val="008E1418"/>
    <w:rsid w:val="008E1D54"/>
    <w:rsid w:val="008E4E11"/>
    <w:rsid w:val="008E5AE4"/>
    <w:rsid w:val="008E7DF9"/>
    <w:rsid w:val="008F015F"/>
    <w:rsid w:val="008F135C"/>
    <w:rsid w:val="008F237B"/>
    <w:rsid w:val="008F6631"/>
    <w:rsid w:val="008F6830"/>
    <w:rsid w:val="00900E40"/>
    <w:rsid w:val="00902FE8"/>
    <w:rsid w:val="009050CB"/>
    <w:rsid w:val="00907B9F"/>
    <w:rsid w:val="009101D9"/>
    <w:rsid w:val="0091403A"/>
    <w:rsid w:val="0091516E"/>
    <w:rsid w:val="00915E4A"/>
    <w:rsid w:val="009162CF"/>
    <w:rsid w:val="00921A1D"/>
    <w:rsid w:val="00921C3B"/>
    <w:rsid w:val="00923F66"/>
    <w:rsid w:val="009254A3"/>
    <w:rsid w:val="00925D0A"/>
    <w:rsid w:val="009309FB"/>
    <w:rsid w:val="0093474A"/>
    <w:rsid w:val="009374E9"/>
    <w:rsid w:val="009407A1"/>
    <w:rsid w:val="0094109F"/>
    <w:rsid w:val="009427F9"/>
    <w:rsid w:val="0094287E"/>
    <w:rsid w:val="0094433A"/>
    <w:rsid w:val="009452AC"/>
    <w:rsid w:val="0094543E"/>
    <w:rsid w:val="009455AB"/>
    <w:rsid w:val="00946D42"/>
    <w:rsid w:val="0094704A"/>
    <w:rsid w:val="009516F1"/>
    <w:rsid w:val="00951A8F"/>
    <w:rsid w:val="00953783"/>
    <w:rsid w:val="00954066"/>
    <w:rsid w:val="00955AB7"/>
    <w:rsid w:val="00956C45"/>
    <w:rsid w:val="009574DD"/>
    <w:rsid w:val="009605ED"/>
    <w:rsid w:val="00961424"/>
    <w:rsid w:val="009618BD"/>
    <w:rsid w:val="00964948"/>
    <w:rsid w:val="00965ACF"/>
    <w:rsid w:val="00965E75"/>
    <w:rsid w:val="00967663"/>
    <w:rsid w:val="00971731"/>
    <w:rsid w:val="0097387C"/>
    <w:rsid w:val="00973D62"/>
    <w:rsid w:val="00974FDF"/>
    <w:rsid w:val="00975276"/>
    <w:rsid w:val="00976B5C"/>
    <w:rsid w:val="00976DFD"/>
    <w:rsid w:val="00977558"/>
    <w:rsid w:val="00977DA4"/>
    <w:rsid w:val="00983C54"/>
    <w:rsid w:val="00985399"/>
    <w:rsid w:val="00986055"/>
    <w:rsid w:val="00993C99"/>
    <w:rsid w:val="00994C5A"/>
    <w:rsid w:val="0099670B"/>
    <w:rsid w:val="00996B99"/>
    <w:rsid w:val="009A15AC"/>
    <w:rsid w:val="009A70B8"/>
    <w:rsid w:val="009B12BA"/>
    <w:rsid w:val="009B3184"/>
    <w:rsid w:val="009B61F4"/>
    <w:rsid w:val="009B6BB4"/>
    <w:rsid w:val="009B6C59"/>
    <w:rsid w:val="009C1AFD"/>
    <w:rsid w:val="009C3737"/>
    <w:rsid w:val="009C596B"/>
    <w:rsid w:val="009C617F"/>
    <w:rsid w:val="009C6A9A"/>
    <w:rsid w:val="009C716C"/>
    <w:rsid w:val="009D0CB4"/>
    <w:rsid w:val="009D146D"/>
    <w:rsid w:val="009E0F03"/>
    <w:rsid w:val="009E1261"/>
    <w:rsid w:val="009E251D"/>
    <w:rsid w:val="009E310B"/>
    <w:rsid w:val="009E4F34"/>
    <w:rsid w:val="009F031D"/>
    <w:rsid w:val="009F1D86"/>
    <w:rsid w:val="009F3140"/>
    <w:rsid w:val="009F33BE"/>
    <w:rsid w:val="009F46D8"/>
    <w:rsid w:val="009F5E58"/>
    <w:rsid w:val="009F74F6"/>
    <w:rsid w:val="00A00299"/>
    <w:rsid w:val="00A011E1"/>
    <w:rsid w:val="00A02979"/>
    <w:rsid w:val="00A0633B"/>
    <w:rsid w:val="00A141EB"/>
    <w:rsid w:val="00A15F15"/>
    <w:rsid w:val="00A1613F"/>
    <w:rsid w:val="00A178FF"/>
    <w:rsid w:val="00A20A56"/>
    <w:rsid w:val="00A21A37"/>
    <w:rsid w:val="00A21F56"/>
    <w:rsid w:val="00A24608"/>
    <w:rsid w:val="00A27061"/>
    <w:rsid w:val="00A27674"/>
    <w:rsid w:val="00A27798"/>
    <w:rsid w:val="00A321F2"/>
    <w:rsid w:val="00A323A4"/>
    <w:rsid w:val="00A327AA"/>
    <w:rsid w:val="00A35E44"/>
    <w:rsid w:val="00A40848"/>
    <w:rsid w:val="00A414E6"/>
    <w:rsid w:val="00A43642"/>
    <w:rsid w:val="00A46B78"/>
    <w:rsid w:val="00A46CE6"/>
    <w:rsid w:val="00A523AC"/>
    <w:rsid w:val="00A61C95"/>
    <w:rsid w:val="00A634EF"/>
    <w:rsid w:val="00A64772"/>
    <w:rsid w:val="00A65A2B"/>
    <w:rsid w:val="00A67115"/>
    <w:rsid w:val="00A67C60"/>
    <w:rsid w:val="00A722D5"/>
    <w:rsid w:val="00A77D81"/>
    <w:rsid w:val="00A8078F"/>
    <w:rsid w:val="00A80B5B"/>
    <w:rsid w:val="00A83A2F"/>
    <w:rsid w:val="00A83B21"/>
    <w:rsid w:val="00A84507"/>
    <w:rsid w:val="00A8502E"/>
    <w:rsid w:val="00A8648F"/>
    <w:rsid w:val="00A864A6"/>
    <w:rsid w:val="00A870B5"/>
    <w:rsid w:val="00A87D30"/>
    <w:rsid w:val="00A90026"/>
    <w:rsid w:val="00A913B5"/>
    <w:rsid w:val="00A91CBE"/>
    <w:rsid w:val="00A92F55"/>
    <w:rsid w:val="00A9334F"/>
    <w:rsid w:val="00A93AB6"/>
    <w:rsid w:val="00A95428"/>
    <w:rsid w:val="00A9594C"/>
    <w:rsid w:val="00A96DBF"/>
    <w:rsid w:val="00A96FF2"/>
    <w:rsid w:val="00A97164"/>
    <w:rsid w:val="00AA02FD"/>
    <w:rsid w:val="00AA4153"/>
    <w:rsid w:val="00AA5338"/>
    <w:rsid w:val="00AA7C6C"/>
    <w:rsid w:val="00AB17F3"/>
    <w:rsid w:val="00AB1F96"/>
    <w:rsid w:val="00AB4571"/>
    <w:rsid w:val="00AB74CF"/>
    <w:rsid w:val="00AC0871"/>
    <w:rsid w:val="00AC140F"/>
    <w:rsid w:val="00AC24ED"/>
    <w:rsid w:val="00AC3551"/>
    <w:rsid w:val="00AC40B8"/>
    <w:rsid w:val="00AC4379"/>
    <w:rsid w:val="00AC59CB"/>
    <w:rsid w:val="00AC5E94"/>
    <w:rsid w:val="00AD0CDB"/>
    <w:rsid w:val="00AD101C"/>
    <w:rsid w:val="00AD36B3"/>
    <w:rsid w:val="00AD4C3B"/>
    <w:rsid w:val="00AE09D3"/>
    <w:rsid w:val="00AE5E0B"/>
    <w:rsid w:val="00AF1638"/>
    <w:rsid w:val="00AF4D62"/>
    <w:rsid w:val="00AF5886"/>
    <w:rsid w:val="00B012E2"/>
    <w:rsid w:val="00B01D92"/>
    <w:rsid w:val="00B02DCD"/>
    <w:rsid w:val="00B0312C"/>
    <w:rsid w:val="00B038DD"/>
    <w:rsid w:val="00B04FAD"/>
    <w:rsid w:val="00B06245"/>
    <w:rsid w:val="00B075F5"/>
    <w:rsid w:val="00B07721"/>
    <w:rsid w:val="00B07E5D"/>
    <w:rsid w:val="00B1293E"/>
    <w:rsid w:val="00B12A18"/>
    <w:rsid w:val="00B136A5"/>
    <w:rsid w:val="00B14143"/>
    <w:rsid w:val="00B16374"/>
    <w:rsid w:val="00B277F3"/>
    <w:rsid w:val="00B304BB"/>
    <w:rsid w:val="00B34051"/>
    <w:rsid w:val="00B35980"/>
    <w:rsid w:val="00B364F9"/>
    <w:rsid w:val="00B37213"/>
    <w:rsid w:val="00B461B1"/>
    <w:rsid w:val="00B47EA2"/>
    <w:rsid w:val="00B5124E"/>
    <w:rsid w:val="00B5380F"/>
    <w:rsid w:val="00B54ADF"/>
    <w:rsid w:val="00B55414"/>
    <w:rsid w:val="00B55C47"/>
    <w:rsid w:val="00B5648E"/>
    <w:rsid w:val="00B56BC5"/>
    <w:rsid w:val="00B6107A"/>
    <w:rsid w:val="00B623BE"/>
    <w:rsid w:val="00B62753"/>
    <w:rsid w:val="00B64750"/>
    <w:rsid w:val="00B660EB"/>
    <w:rsid w:val="00B67328"/>
    <w:rsid w:val="00B71C60"/>
    <w:rsid w:val="00B753B4"/>
    <w:rsid w:val="00B754A8"/>
    <w:rsid w:val="00B76013"/>
    <w:rsid w:val="00B76326"/>
    <w:rsid w:val="00B77304"/>
    <w:rsid w:val="00B77990"/>
    <w:rsid w:val="00B77D56"/>
    <w:rsid w:val="00B8114E"/>
    <w:rsid w:val="00B816F0"/>
    <w:rsid w:val="00B83109"/>
    <w:rsid w:val="00B850FD"/>
    <w:rsid w:val="00B85C4D"/>
    <w:rsid w:val="00B9050E"/>
    <w:rsid w:val="00B91ADA"/>
    <w:rsid w:val="00B92402"/>
    <w:rsid w:val="00B958BB"/>
    <w:rsid w:val="00BA5CDE"/>
    <w:rsid w:val="00BB1302"/>
    <w:rsid w:val="00BB4AA9"/>
    <w:rsid w:val="00BB4D2B"/>
    <w:rsid w:val="00BB4EFA"/>
    <w:rsid w:val="00BB5E01"/>
    <w:rsid w:val="00BB6BDC"/>
    <w:rsid w:val="00BB7729"/>
    <w:rsid w:val="00BB7A05"/>
    <w:rsid w:val="00BC004B"/>
    <w:rsid w:val="00BC0841"/>
    <w:rsid w:val="00BC0910"/>
    <w:rsid w:val="00BC1D28"/>
    <w:rsid w:val="00BC25B6"/>
    <w:rsid w:val="00BC3279"/>
    <w:rsid w:val="00BC40E2"/>
    <w:rsid w:val="00BC42DC"/>
    <w:rsid w:val="00BC4EF2"/>
    <w:rsid w:val="00BD192D"/>
    <w:rsid w:val="00BD340F"/>
    <w:rsid w:val="00BD35C7"/>
    <w:rsid w:val="00BD3785"/>
    <w:rsid w:val="00BD4311"/>
    <w:rsid w:val="00BD5759"/>
    <w:rsid w:val="00BD7D77"/>
    <w:rsid w:val="00BE0ABE"/>
    <w:rsid w:val="00BE1DC0"/>
    <w:rsid w:val="00BE41D1"/>
    <w:rsid w:val="00BE7CDD"/>
    <w:rsid w:val="00BF0B51"/>
    <w:rsid w:val="00BF26A6"/>
    <w:rsid w:val="00BF5879"/>
    <w:rsid w:val="00C00D53"/>
    <w:rsid w:val="00C0171B"/>
    <w:rsid w:val="00C01C82"/>
    <w:rsid w:val="00C025E1"/>
    <w:rsid w:val="00C02AD2"/>
    <w:rsid w:val="00C03706"/>
    <w:rsid w:val="00C03FC0"/>
    <w:rsid w:val="00C10E8D"/>
    <w:rsid w:val="00C136BC"/>
    <w:rsid w:val="00C2096B"/>
    <w:rsid w:val="00C2157C"/>
    <w:rsid w:val="00C2287C"/>
    <w:rsid w:val="00C2392B"/>
    <w:rsid w:val="00C23E84"/>
    <w:rsid w:val="00C2633A"/>
    <w:rsid w:val="00C34531"/>
    <w:rsid w:val="00C34796"/>
    <w:rsid w:val="00C3741F"/>
    <w:rsid w:val="00C37803"/>
    <w:rsid w:val="00C3787B"/>
    <w:rsid w:val="00C4033C"/>
    <w:rsid w:val="00C409C6"/>
    <w:rsid w:val="00C40F4F"/>
    <w:rsid w:val="00C428D3"/>
    <w:rsid w:val="00C43AA3"/>
    <w:rsid w:val="00C44743"/>
    <w:rsid w:val="00C458CD"/>
    <w:rsid w:val="00C46CE7"/>
    <w:rsid w:val="00C47E3E"/>
    <w:rsid w:val="00C50BDC"/>
    <w:rsid w:val="00C6048F"/>
    <w:rsid w:val="00C608BF"/>
    <w:rsid w:val="00C60B5B"/>
    <w:rsid w:val="00C62516"/>
    <w:rsid w:val="00C65A92"/>
    <w:rsid w:val="00C702B8"/>
    <w:rsid w:val="00C73D3C"/>
    <w:rsid w:val="00C73F16"/>
    <w:rsid w:val="00C802DA"/>
    <w:rsid w:val="00C81B4D"/>
    <w:rsid w:val="00C82C89"/>
    <w:rsid w:val="00C873E2"/>
    <w:rsid w:val="00C96B9D"/>
    <w:rsid w:val="00C970B4"/>
    <w:rsid w:val="00CA7530"/>
    <w:rsid w:val="00CA7727"/>
    <w:rsid w:val="00CB41A0"/>
    <w:rsid w:val="00CB5CFB"/>
    <w:rsid w:val="00CB7750"/>
    <w:rsid w:val="00CB7FE9"/>
    <w:rsid w:val="00CC0E1B"/>
    <w:rsid w:val="00CC0E4C"/>
    <w:rsid w:val="00CC11C2"/>
    <w:rsid w:val="00CC3A79"/>
    <w:rsid w:val="00CC46D0"/>
    <w:rsid w:val="00CC72AC"/>
    <w:rsid w:val="00CC7C71"/>
    <w:rsid w:val="00CD49B9"/>
    <w:rsid w:val="00CD69A4"/>
    <w:rsid w:val="00CD7609"/>
    <w:rsid w:val="00CE051F"/>
    <w:rsid w:val="00CE2356"/>
    <w:rsid w:val="00CE49BF"/>
    <w:rsid w:val="00CE650B"/>
    <w:rsid w:val="00CF03D7"/>
    <w:rsid w:val="00CF0583"/>
    <w:rsid w:val="00CF13C4"/>
    <w:rsid w:val="00CF17BA"/>
    <w:rsid w:val="00CF20C3"/>
    <w:rsid w:val="00CF2DF2"/>
    <w:rsid w:val="00CF78D3"/>
    <w:rsid w:val="00D0545D"/>
    <w:rsid w:val="00D10732"/>
    <w:rsid w:val="00D15E24"/>
    <w:rsid w:val="00D27B0D"/>
    <w:rsid w:val="00D31A74"/>
    <w:rsid w:val="00D35955"/>
    <w:rsid w:val="00D362E5"/>
    <w:rsid w:val="00D45597"/>
    <w:rsid w:val="00D4633B"/>
    <w:rsid w:val="00D46932"/>
    <w:rsid w:val="00D50092"/>
    <w:rsid w:val="00D50E3A"/>
    <w:rsid w:val="00D5162A"/>
    <w:rsid w:val="00D5192C"/>
    <w:rsid w:val="00D553FC"/>
    <w:rsid w:val="00D575A2"/>
    <w:rsid w:val="00D613A7"/>
    <w:rsid w:val="00D64B03"/>
    <w:rsid w:val="00D65C4F"/>
    <w:rsid w:val="00D66BB1"/>
    <w:rsid w:val="00D70252"/>
    <w:rsid w:val="00D718AC"/>
    <w:rsid w:val="00D72CDB"/>
    <w:rsid w:val="00D74720"/>
    <w:rsid w:val="00D76584"/>
    <w:rsid w:val="00D77096"/>
    <w:rsid w:val="00D80E73"/>
    <w:rsid w:val="00D84441"/>
    <w:rsid w:val="00D856A1"/>
    <w:rsid w:val="00D86FE6"/>
    <w:rsid w:val="00D87CD4"/>
    <w:rsid w:val="00D92EFA"/>
    <w:rsid w:val="00D95EEA"/>
    <w:rsid w:val="00D960A6"/>
    <w:rsid w:val="00DA0477"/>
    <w:rsid w:val="00DA14D6"/>
    <w:rsid w:val="00DA1BEC"/>
    <w:rsid w:val="00DA6919"/>
    <w:rsid w:val="00DA7094"/>
    <w:rsid w:val="00DA7C21"/>
    <w:rsid w:val="00DB00AE"/>
    <w:rsid w:val="00DB445B"/>
    <w:rsid w:val="00DB6B43"/>
    <w:rsid w:val="00DB6FAF"/>
    <w:rsid w:val="00DC002F"/>
    <w:rsid w:val="00DC63A1"/>
    <w:rsid w:val="00DD1293"/>
    <w:rsid w:val="00DD30AE"/>
    <w:rsid w:val="00DD30DD"/>
    <w:rsid w:val="00DD4593"/>
    <w:rsid w:val="00DD6CB5"/>
    <w:rsid w:val="00DE0C56"/>
    <w:rsid w:val="00DE45BF"/>
    <w:rsid w:val="00DE5A56"/>
    <w:rsid w:val="00DE69A4"/>
    <w:rsid w:val="00DF01A9"/>
    <w:rsid w:val="00DF0EC9"/>
    <w:rsid w:val="00DF1C93"/>
    <w:rsid w:val="00DF2BF2"/>
    <w:rsid w:val="00DF34EF"/>
    <w:rsid w:val="00DF4876"/>
    <w:rsid w:val="00DF5EE2"/>
    <w:rsid w:val="00DF6252"/>
    <w:rsid w:val="00E01542"/>
    <w:rsid w:val="00E06013"/>
    <w:rsid w:val="00E07146"/>
    <w:rsid w:val="00E11C26"/>
    <w:rsid w:val="00E138A1"/>
    <w:rsid w:val="00E13C99"/>
    <w:rsid w:val="00E144A5"/>
    <w:rsid w:val="00E15878"/>
    <w:rsid w:val="00E166EA"/>
    <w:rsid w:val="00E21316"/>
    <w:rsid w:val="00E222A6"/>
    <w:rsid w:val="00E2368D"/>
    <w:rsid w:val="00E26013"/>
    <w:rsid w:val="00E30665"/>
    <w:rsid w:val="00E30BD3"/>
    <w:rsid w:val="00E3259B"/>
    <w:rsid w:val="00E33C7D"/>
    <w:rsid w:val="00E36ABB"/>
    <w:rsid w:val="00E37BC8"/>
    <w:rsid w:val="00E403C7"/>
    <w:rsid w:val="00E419A9"/>
    <w:rsid w:val="00E41B84"/>
    <w:rsid w:val="00E4492B"/>
    <w:rsid w:val="00E462DB"/>
    <w:rsid w:val="00E508CF"/>
    <w:rsid w:val="00E5262E"/>
    <w:rsid w:val="00E53171"/>
    <w:rsid w:val="00E542F3"/>
    <w:rsid w:val="00E54531"/>
    <w:rsid w:val="00E561B7"/>
    <w:rsid w:val="00E61598"/>
    <w:rsid w:val="00E623E9"/>
    <w:rsid w:val="00E62586"/>
    <w:rsid w:val="00E62D10"/>
    <w:rsid w:val="00E63BBC"/>
    <w:rsid w:val="00E65A73"/>
    <w:rsid w:val="00E704D2"/>
    <w:rsid w:val="00E70BDB"/>
    <w:rsid w:val="00E71D17"/>
    <w:rsid w:val="00E7254A"/>
    <w:rsid w:val="00E7383E"/>
    <w:rsid w:val="00E7783D"/>
    <w:rsid w:val="00E82E36"/>
    <w:rsid w:val="00E84EAF"/>
    <w:rsid w:val="00E91487"/>
    <w:rsid w:val="00E933C1"/>
    <w:rsid w:val="00E95C3F"/>
    <w:rsid w:val="00E95D07"/>
    <w:rsid w:val="00E975EF"/>
    <w:rsid w:val="00EA2BDF"/>
    <w:rsid w:val="00EA4568"/>
    <w:rsid w:val="00EA498F"/>
    <w:rsid w:val="00EA6046"/>
    <w:rsid w:val="00EA7588"/>
    <w:rsid w:val="00EA76C5"/>
    <w:rsid w:val="00EB279D"/>
    <w:rsid w:val="00EB39AF"/>
    <w:rsid w:val="00EB52C4"/>
    <w:rsid w:val="00EB56E0"/>
    <w:rsid w:val="00EB6A39"/>
    <w:rsid w:val="00EB75E1"/>
    <w:rsid w:val="00EB7615"/>
    <w:rsid w:val="00EC05A4"/>
    <w:rsid w:val="00EC48A1"/>
    <w:rsid w:val="00EC50FA"/>
    <w:rsid w:val="00EC5558"/>
    <w:rsid w:val="00EC68DE"/>
    <w:rsid w:val="00EC7287"/>
    <w:rsid w:val="00ED0F70"/>
    <w:rsid w:val="00ED2C6F"/>
    <w:rsid w:val="00ED36AD"/>
    <w:rsid w:val="00ED45EE"/>
    <w:rsid w:val="00EE0437"/>
    <w:rsid w:val="00EE60C6"/>
    <w:rsid w:val="00EF0826"/>
    <w:rsid w:val="00EF1606"/>
    <w:rsid w:val="00EF37D1"/>
    <w:rsid w:val="00EF64CE"/>
    <w:rsid w:val="00F006FB"/>
    <w:rsid w:val="00F01C54"/>
    <w:rsid w:val="00F02866"/>
    <w:rsid w:val="00F03918"/>
    <w:rsid w:val="00F0441D"/>
    <w:rsid w:val="00F05A29"/>
    <w:rsid w:val="00F05CC5"/>
    <w:rsid w:val="00F063E4"/>
    <w:rsid w:val="00F10EB3"/>
    <w:rsid w:val="00F1199B"/>
    <w:rsid w:val="00F14F73"/>
    <w:rsid w:val="00F17E2E"/>
    <w:rsid w:val="00F20907"/>
    <w:rsid w:val="00F2267D"/>
    <w:rsid w:val="00F22A33"/>
    <w:rsid w:val="00F2521D"/>
    <w:rsid w:val="00F262B9"/>
    <w:rsid w:val="00F2786B"/>
    <w:rsid w:val="00F3016A"/>
    <w:rsid w:val="00F33EC0"/>
    <w:rsid w:val="00F34D36"/>
    <w:rsid w:val="00F35CEA"/>
    <w:rsid w:val="00F363AB"/>
    <w:rsid w:val="00F375A4"/>
    <w:rsid w:val="00F37F5A"/>
    <w:rsid w:val="00F40840"/>
    <w:rsid w:val="00F40936"/>
    <w:rsid w:val="00F41BEF"/>
    <w:rsid w:val="00F41DED"/>
    <w:rsid w:val="00F44B23"/>
    <w:rsid w:val="00F479C9"/>
    <w:rsid w:val="00F50752"/>
    <w:rsid w:val="00F509EC"/>
    <w:rsid w:val="00F50FA4"/>
    <w:rsid w:val="00F51965"/>
    <w:rsid w:val="00F52517"/>
    <w:rsid w:val="00F526D7"/>
    <w:rsid w:val="00F53834"/>
    <w:rsid w:val="00F53A73"/>
    <w:rsid w:val="00F54D95"/>
    <w:rsid w:val="00F56F6B"/>
    <w:rsid w:val="00F57300"/>
    <w:rsid w:val="00F57EF0"/>
    <w:rsid w:val="00F61C77"/>
    <w:rsid w:val="00F62BF3"/>
    <w:rsid w:val="00F62EE2"/>
    <w:rsid w:val="00F63964"/>
    <w:rsid w:val="00F63FFD"/>
    <w:rsid w:val="00F64D0C"/>
    <w:rsid w:val="00F65DEF"/>
    <w:rsid w:val="00F71196"/>
    <w:rsid w:val="00F7307B"/>
    <w:rsid w:val="00F73BE2"/>
    <w:rsid w:val="00F74E0F"/>
    <w:rsid w:val="00F76159"/>
    <w:rsid w:val="00F7693B"/>
    <w:rsid w:val="00F770B8"/>
    <w:rsid w:val="00F830D8"/>
    <w:rsid w:val="00F836B2"/>
    <w:rsid w:val="00F85BCF"/>
    <w:rsid w:val="00F86FFA"/>
    <w:rsid w:val="00F91C93"/>
    <w:rsid w:val="00F91E85"/>
    <w:rsid w:val="00F93128"/>
    <w:rsid w:val="00F93462"/>
    <w:rsid w:val="00F939BD"/>
    <w:rsid w:val="00F94A47"/>
    <w:rsid w:val="00F95B19"/>
    <w:rsid w:val="00F95ECE"/>
    <w:rsid w:val="00F975ED"/>
    <w:rsid w:val="00FA33D1"/>
    <w:rsid w:val="00FA3E78"/>
    <w:rsid w:val="00FA4A0C"/>
    <w:rsid w:val="00FA665A"/>
    <w:rsid w:val="00FA72B6"/>
    <w:rsid w:val="00FA7EB4"/>
    <w:rsid w:val="00FB1188"/>
    <w:rsid w:val="00FB22C3"/>
    <w:rsid w:val="00FB3633"/>
    <w:rsid w:val="00FC07A8"/>
    <w:rsid w:val="00FC08DF"/>
    <w:rsid w:val="00FC0A73"/>
    <w:rsid w:val="00FC160C"/>
    <w:rsid w:val="00FC36AC"/>
    <w:rsid w:val="00FC3BD5"/>
    <w:rsid w:val="00FC5F98"/>
    <w:rsid w:val="00FD3CF1"/>
    <w:rsid w:val="00FD46B1"/>
    <w:rsid w:val="00FD63BC"/>
    <w:rsid w:val="00FD7054"/>
    <w:rsid w:val="00FD7B42"/>
    <w:rsid w:val="00FE1415"/>
    <w:rsid w:val="00FE3081"/>
    <w:rsid w:val="00FE3C40"/>
    <w:rsid w:val="00FE5119"/>
    <w:rsid w:val="00FE5880"/>
    <w:rsid w:val="00FF3352"/>
    <w:rsid w:val="00FF341F"/>
    <w:rsid w:val="00FF3592"/>
    <w:rsid w:val="00FF3A9C"/>
    <w:rsid w:val="00FF570B"/>
    <w:rsid w:val="00FF664F"/>
    <w:rsid w:val="00FF6FA5"/>
    <w:rsid w:val="018A22D0"/>
    <w:rsid w:val="0203351A"/>
    <w:rsid w:val="02C35EA5"/>
    <w:rsid w:val="050A66EA"/>
    <w:rsid w:val="082D3103"/>
    <w:rsid w:val="08AB7A54"/>
    <w:rsid w:val="090D1AFC"/>
    <w:rsid w:val="09353A1A"/>
    <w:rsid w:val="0B2C2767"/>
    <w:rsid w:val="0C9E6A81"/>
    <w:rsid w:val="0CFA1B4A"/>
    <w:rsid w:val="0E440582"/>
    <w:rsid w:val="0E9E7F3E"/>
    <w:rsid w:val="117B4A87"/>
    <w:rsid w:val="121854B1"/>
    <w:rsid w:val="1254667C"/>
    <w:rsid w:val="12C231E9"/>
    <w:rsid w:val="137A24C6"/>
    <w:rsid w:val="1A7E2AFF"/>
    <w:rsid w:val="1C2257E2"/>
    <w:rsid w:val="1DD047FA"/>
    <w:rsid w:val="1F252DBC"/>
    <w:rsid w:val="266C571C"/>
    <w:rsid w:val="26E46BB8"/>
    <w:rsid w:val="27C2069F"/>
    <w:rsid w:val="28265D46"/>
    <w:rsid w:val="284075A4"/>
    <w:rsid w:val="29095C6F"/>
    <w:rsid w:val="2B266A6F"/>
    <w:rsid w:val="2B612A6F"/>
    <w:rsid w:val="30AB385F"/>
    <w:rsid w:val="33334B3C"/>
    <w:rsid w:val="3484039B"/>
    <w:rsid w:val="362B4ED1"/>
    <w:rsid w:val="36C82644"/>
    <w:rsid w:val="3A2366A4"/>
    <w:rsid w:val="3A41049B"/>
    <w:rsid w:val="3A5843B5"/>
    <w:rsid w:val="3B3E762D"/>
    <w:rsid w:val="3E03424F"/>
    <w:rsid w:val="3E927E0C"/>
    <w:rsid w:val="42A9406D"/>
    <w:rsid w:val="44461016"/>
    <w:rsid w:val="44464F2F"/>
    <w:rsid w:val="449452E4"/>
    <w:rsid w:val="45752897"/>
    <w:rsid w:val="4B6479C9"/>
    <w:rsid w:val="4B965478"/>
    <w:rsid w:val="4BC14255"/>
    <w:rsid w:val="4DEC1B50"/>
    <w:rsid w:val="4ED81273"/>
    <w:rsid w:val="504F1CBD"/>
    <w:rsid w:val="51355F89"/>
    <w:rsid w:val="52EC7E0F"/>
    <w:rsid w:val="53566BA8"/>
    <w:rsid w:val="56767179"/>
    <w:rsid w:val="5A71142F"/>
    <w:rsid w:val="5DB0516F"/>
    <w:rsid w:val="602B511B"/>
    <w:rsid w:val="6201425E"/>
    <w:rsid w:val="62D457E8"/>
    <w:rsid w:val="65335578"/>
    <w:rsid w:val="66EE1774"/>
    <w:rsid w:val="6BBE52D6"/>
    <w:rsid w:val="6C6A3CA2"/>
    <w:rsid w:val="6EC80312"/>
    <w:rsid w:val="720A34E4"/>
    <w:rsid w:val="723762D4"/>
    <w:rsid w:val="755C563A"/>
    <w:rsid w:val="78767DCE"/>
    <w:rsid w:val="7BCB71B4"/>
    <w:rsid w:val="7C7139C0"/>
    <w:rsid w:val="7C9E02C0"/>
    <w:rsid w:val="7D5C79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nhideWhenUsed="0" w:qFormat="1"/>
    <w:lsdException w:name="annotation text" w:unhideWhenUsed="0"/>
    <w:lsdException w:name="header" w:semiHidden="0" w:unhideWhenUsed="0" w:qFormat="1"/>
    <w:lsdException w:name="footer" w:semiHidden="0" w:unhideWhenUsed="0" w:qFormat="1"/>
    <w:lsdException w:name="caption" w:locked="1" w:uiPriority="0" w:qFormat="1"/>
    <w:lsdException w:name="footnote reference" w:semiHidden="0" w:unhideWhenUsed="0" w:qFormat="1"/>
    <w:lsdException w:name="annotation reference" w:unhideWhenUsed="0" w:qFormat="1"/>
    <w:lsdException w:name="Title" w:semiHidden="0" w:unhideWhenUsed="0" w:qFormat="1"/>
    <w:lsdException w:name="Default Paragraph Font" w:uiPriority="1" w:qFormat="1"/>
    <w:lsdException w:name="Body Text Indent" w:semiHidden="0" w:uiPriority="0" w:unhideWhenUsed="0" w:qFormat="1"/>
    <w:lsdException w:name="Subtitle" w:semiHidden="0" w:unhideWhenUsed="0" w:qFormat="1"/>
    <w:lsdException w:name="Body Text First Indent 2" w:semiHidden="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C160C"/>
    <w:pPr>
      <w:widowControl w:val="0"/>
      <w:snapToGrid w:val="0"/>
      <w:spacing w:line="360" w:lineRule="auto"/>
      <w:ind w:firstLineChars="200" w:firstLine="200"/>
      <w:jc w:val="both"/>
    </w:pPr>
    <w:rPr>
      <w:rFonts w:ascii="仿宋_GB2312" w:eastAsia="仿宋_GB2312" w:hAnsi="Adobe 楷体 Std R"/>
      <w:color w:val="000000"/>
      <w:kern w:val="2"/>
      <w:sz w:val="32"/>
      <w:szCs w:val="32"/>
    </w:rPr>
  </w:style>
  <w:style w:type="paragraph" w:styleId="1">
    <w:name w:val="heading 1"/>
    <w:basedOn w:val="a"/>
    <w:next w:val="a"/>
    <w:link w:val="1Char"/>
    <w:uiPriority w:val="99"/>
    <w:qFormat/>
    <w:rsid w:val="00FC160C"/>
    <w:pPr>
      <w:outlineLvl w:val="0"/>
    </w:pPr>
    <w:rPr>
      <w:rFonts w:ascii="黑体" w:eastAsia="黑体" w:hAnsi="黑体" w:cs="黑体"/>
      <w:bCs/>
    </w:rPr>
  </w:style>
  <w:style w:type="paragraph" w:styleId="20">
    <w:name w:val="heading 2"/>
    <w:basedOn w:val="a"/>
    <w:next w:val="a"/>
    <w:link w:val="2Char"/>
    <w:uiPriority w:val="99"/>
    <w:qFormat/>
    <w:rsid w:val="00FC160C"/>
    <w:pPr>
      <w:outlineLvl w:val="1"/>
    </w:pPr>
    <w:rPr>
      <w:rFonts w:ascii="楷体_GB2312" w:eastAsia="楷体_GB2312" w:hAnsi="楷体"/>
      <w:b/>
    </w:rPr>
  </w:style>
  <w:style w:type="paragraph" w:styleId="3">
    <w:name w:val="heading 3"/>
    <w:basedOn w:val="a"/>
    <w:next w:val="a"/>
    <w:link w:val="3Char"/>
    <w:uiPriority w:val="99"/>
    <w:qFormat/>
    <w:rsid w:val="00FC160C"/>
    <w:pPr>
      <w:keepNext/>
      <w:keepLines/>
      <w:outlineLvl w:val="2"/>
    </w:pPr>
    <w:rPr>
      <w:rFonts w:hAnsi="Calibri"/>
      <w:b/>
      <w:bCs/>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FC160C"/>
    <w:pPr>
      <w:tabs>
        <w:tab w:val="left" w:pos="540"/>
      </w:tabs>
      <w:spacing w:before="100" w:beforeAutospacing="1"/>
      <w:ind w:firstLineChars="200" w:firstLine="420"/>
    </w:pPr>
  </w:style>
  <w:style w:type="paragraph" w:styleId="a3">
    <w:name w:val="Body Text Indent"/>
    <w:basedOn w:val="a"/>
    <w:qFormat/>
    <w:rsid w:val="00FC160C"/>
    <w:pPr>
      <w:tabs>
        <w:tab w:val="left" w:pos="720"/>
      </w:tabs>
      <w:ind w:firstLineChars="225" w:firstLine="720"/>
    </w:pPr>
    <w:rPr>
      <w:rFonts w:ascii="Times New Roman" w:hAnsi="Times New Roman"/>
      <w:szCs w:val="24"/>
    </w:rPr>
  </w:style>
  <w:style w:type="paragraph" w:styleId="a4">
    <w:name w:val="annotation text"/>
    <w:basedOn w:val="a"/>
    <w:link w:val="Char"/>
    <w:uiPriority w:val="99"/>
    <w:semiHidden/>
    <w:rsid w:val="00FC160C"/>
    <w:pPr>
      <w:jc w:val="left"/>
    </w:pPr>
  </w:style>
  <w:style w:type="paragraph" w:styleId="a5">
    <w:name w:val="Balloon Text"/>
    <w:basedOn w:val="a"/>
    <w:link w:val="Char0"/>
    <w:uiPriority w:val="99"/>
    <w:semiHidden/>
    <w:qFormat/>
    <w:rsid w:val="00FC160C"/>
    <w:rPr>
      <w:sz w:val="18"/>
      <w:szCs w:val="18"/>
    </w:rPr>
  </w:style>
  <w:style w:type="paragraph" w:styleId="a6">
    <w:name w:val="footer"/>
    <w:basedOn w:val="a"/>
    <w:link w:val="Char1"/>
    <w:uiPriority w:val="99"/>
    <w:qFormat/>
    <w:rsid w:val="00FC160C"/>
    <w:pPr>
      <w:tabs>
        <w:tab w:val="center" w:pos="4153"/>
        <w:tab w:val="right" w:pos="8306"/>
      </w:tabs>
      <w:jc w:val="left"/>
    </w:pPr>
    <w:rPr>
      <w:sz w:val="18"/>
      <w:szCs w:val="18"/>
    </w:rPr>
  </w:style>
  <w:style w:type="paragraph" w:styleId="a7">
    <w:name w:val="header"/>
    <w:basedOn w:val="a"/>
    <w:link w:val="Char2"/>
    <w:uiPriority w:val="99"/>
    <w:qFormat/>
    <w:rsid w:val="00FC160C"/>
    <w:pPr>
      <w:pBdr>
        <w:bottom w:val="single" w:sz="6" w:space="1" w:color="auto"/>
      </w:pBdr>
      <w:tabs>
        <w:tab w:val="center" w:pos="4153"/>
        <w:tab w:val="right" w:pos="8306"/>
      </w:tabs>
      <w:jc w:val="center"/>
    </w:pPr>
    <w:rPr>
      <w:sz w:val="18"/>
      <w:szCs w:val="18"/>
    </w:rPr>
  </w:style>
  <w:style w:type="paragraph" w:styleId="a8">
    <w:name w:val="Subtitle"/>
    <w:basedOn w:val="a"/>
    <w:next w:val="a"/>
    <w:link w:val="Char3"/>
    <w:uiPriority w:val="99"/>
    <w:qFormat/>
    <w:rsid w:val="00FC160C"/>
    <w:pPr>
      <w:widowControl/>
      <w:snapToGrid/>
      <w:spacing w:line="240" w:lineRule="auto"/>
      <w:ind w:firstLineChars="0" w:firstLine="0"/>
      <w:jc w:val="center"/>
    </w:pPr>
    <w:rPr>
      <w:rFonts w:hAnsi="仿宋_GB2312" w:cs="宋体"/>
      <w:bCs/>
      <w:kern w:val="0"/>
      <w:sz w:val="24"/>
      <w:szCs w:val="24"/>
    </w:rPr>
  </w:style>
  <w:style w:type="paragraph" w:styleId="a9">
    <w:name w:val="footnote text"/>
    <w:basedOn w:val="a"/>
    <w:link w:val="Char4"/>
    <w:uiPriority w:val="99"/>
    <w:qFormat/>
    <w:rsid w:val="00FC160C"/>
    <w:pPr>
      <w:jc w:val="left"/>
    </w:pPr>
    <w:rPr>
      <w:sz w:val="18"/>
      <w:szCs w:val="18"/>
    </w:rPr>
  </w:style>
  <w:style w:type="paragraph" w:styleId="aa">
    <w:name w:val="Title"/>
    <w:basedOn w:val="a"/>
    <w:next w:val="a"/>
    <w:link w:val="Char5"/>
    <w:uiPriority w:val="99"/>
    <w:qFormat/>
    <w:rsid w:val="00FC160C"/>
    <w:pPr>
      <w:widowControl/>
      <w:snapToGrid/>
      <w:spacing w:after="120"/>
      <w:ind w:firstLineChars="0" w:firstLine="0"/>
      <w:jc w:val="center"/>
    </w:pPr>
    <w:rPr>
      <w:rFonts w:ascii="黑体" w:eastAsia="黑体" w:hAnsi="黑体"/>
      <w:color w:val="auto"/>
      <w:sz w:val="28"/>
      <w:szCs w:val="28"/>
    </w:rPr>
  </w:style>
  <w:style w:type="paragraph" w:styleId="ab">
    <w:name w:val="annotation subject"/>
    <w:basedOn w:val="a4"/>
    <w:next w:val="a4"/>
    <w:link w:val="Char6"/>
    <w:uiPriority w:val="99"/>
    <w:semiHidden/>
    <w:rsid w:val="00FC160C"/>
    <w:rPr>
      <w:b/>
      <w:bCs/>
    </w:rPr>
  </w:style>
  <w:style w:type="table" w:styleId="ac">
    <w:name w:val="Table Grid"/>
    <w:basedOn w:val="a1"/>
    <w:uiPriority w:val="99"/>
    <w:qFormat/>
    <w:rsid w:val="00FC1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qFormat/>
    <w:rsid w:val="00FC160C"/>
    <w:rPr>
      <w:rFonts w:cs="Times New Roman"/>
      <w:sz w:val="21"/>
      <w:szCs w:val="21"/>
    </w:rPr>
  </w:style>
  <w:style w:type="character" w:styleId="ae">
    <w:name w:val="footnote reference"/>
    <w:uiPriority w:val="99"/>
    <w:qFormat/>
    <w:rsid w:val="00FC160C"/>
    <w:rPr>
      <w:rFonts w:cs="Times New Roman"/>
      <w:vertAlign w:val="superscript"/>
    </w:rPr>
  </w:style>
  <w:style w:type="character" w:customStyle="1" w:styleId="1Char">
    <w:name w:val="标题 1 Char"/>
    <w:link w:val="1"/>
    <w:uiPriority w:val="99"/>
    <w:locked/>
    <w:rsid w:val="00FC160C"/>
    <w:rPr>
      <w:rFonts w:ascii="黑体" w:eastAsia="黑体" w:hAnsi="黑体" w:cs="黑体"/>
      <w:bCs/>
      <w:color w:val="000000"/>
      <w:sz w:val="32"/>
      <w:szCs w:val="32"/>
    </w:rPr>
  </w:style>
  <w:style w:type="character" w:customStyle="1" w:styleId="2Char">
    <w:name w:val="标题 2 Char"/>
    <w:link w:val="20"/>
    <w:uiPriority w:val="99"/>
    <w:qFormat/>
    <w:locked/>
    <w:rsid w:val="00FC160C"/>
    <w:rPr>
      <w:rFonts w:ascii="楷体_GB2312" w:eastAsia="楷体_GB2312" w:hAnsi="楷体" w:cs="Times New Roman"/>
      <w:b/>
      <w:color w:val="000000"/>
      <w:sz w:val="32"/>
      <w:szCs w:val="32"/>
    </w:rPr>
  </w:style>
  <w:style w:type="character" w:customStyle="1" w:styleId="3Char">
    <w:name w:val="标题 3 Char"/>
    <w:link w:val="3"/>
    <w:uiPriority w:val="99"/>
    <w:qFormat/>
    <w:locked/>
    <w:rsid w:val="00FC160C"/>
    <w:rPr>
      <w:rFonts w:ascii="仿宋_GB2312" w:eastAsia="仿宋_GB2312" w:cs="Times New Roman"/>
      <w:b/>
      <w:bCs/>
      <w:sz w:val="32"/>
      <w:szCs w:val="32"/>
    </w:rPr>
  </w:style>
  <w:style w:type="character" w:customStyle="1" w:styleId="Char0">
    <w:name w:val="批注框文本 Char"/>
    <w:link w:val="a5"/>
    <w:uiPriority w:val="99"/>
    <w:semiHidden/>
    <w:qFormat/>
    <w:locked/>
    <w:rsid w:val="00FC160C"/>
    <w:rPr>
      <w:rFonts w:ascii="Times New Roman" w:eastAsia="宋体" w:hAnsi="Times New Roman" w:cs="Times New Roman"/>
      <w:sz w:val="18"/>
      <w:szCs w:val="18"/>
    </w:rPr>
  </w:style>
  <w:style w:type="character" w:customStyle="1" w:styleId="Char2">
    <w:name w:val="页眉 Char"/>
    <w:link w:val="a7"/>
    <w:uiPriority w:val="99"/>
    <w:qFormat/>
    <w:locked/>
    <w:rsid w:val="00FC160C"/>
    <w:rPr>
      <w:rFonts w:ascii="Times New Roman" w:eastAsia="宋体" w:hAnsi="Times New Roman" w:cs="Times New Roman"/>
      <w:sz w:val="18"/>
      <w:szCs w:val="18"/>
    </w:rPr>
  </w:style>
  <w:style w:type="character" w:customStyle="1" w:styleId="Char1">
    <w:name w:val="页脚 Char"/>
    <w:link w:val="a6"/>
    <w:uiPriority w:val="99"/>
    <w:qFormat/>
    <w:locked/>
    <w:rsid w:val="00FC160C"/>
    <w:rPr>
      <w:rFonts w:ascii="Times New Roman" w:eastAsia="宋体" w:hAnsi="Times New Roman" w:cs="Times New Roman"/>
      <w:sz w:val="18"/>
      <w:szCs w:val="18"/>
    </w:rPr>
  </w:style>
  <w:style w:type="character" w:customStyle="1" w:styleId="af">
    <w:name w:val="公文三级标题 字符"/>
    <w:link w:val="af0"/>
    <w:uiPriority w:val="99"/>
    <w:qFormat/>
    <w:locked/>
    <w:rsid w:val="00FC160C"/>
    <w:rPr>
      <w:rFonts w:ascii="仿宋_GB2312" w:eastAsia="仿宋_GB2312" w:hAnsi="Times New Roman"/>
      <w:b/>
      <w:sz w:val="32"/>
    </w:rPr>
  </w:style>
  <w:style w:type="paragraph" w:customStyle="1" w:styleId="af0">
    <w:name w:val="公文三级标题"/>
    <w:basedOn w:val="3"/>
    <w:link w:val="af"/>
    <w:uiPriority w:val="99"/>
    <w:qFormat/>
    <w:rsid w:val="00FC160C"/>
    <w:rPr>
      <w:rFonts w:hAnsi="Times New Roman"/>
      <w:bCs w:val="0"/>
      <w:kern w:val="0"/>
      <w:szCs w:val="20"/>
    </w:rPr>
  </w:style>
  <w:style w:type="character" w:customStyle="1" w:styleId="10">
    <w:name w:val="明显强调1"/>
    <w:uiPriority w:val="99"/>
    <w:qFormat/>
    <w:rsid w:val="00FC160C"/>
    <w:rPr>
      <w:rFonts w:cs="Times New Roman"/>
      <w:b/>
      <w:bCs/>
      <w:i/>
      <w:iCs/>
      <w:color w:val="4F81BD"/>
    </w:rPr>
  </w:style>
  <w:style w:type="character" w:customStyle="1" w:styleId="Char4">
    <w:name w:val="脚注文本 Char"/>
    <w:link w:val="a9"/>
    <w:uiPriority w:val="99"/>
    <w:qFormat/>
    <w:locked/>
    <w:rsid w:val="00FC160C"/>
    <w:rPr>
      <w:rFonts w:ascii="Times New Roman" w:eastAsia="宋体" w:hAnsi="Times New Roman" w:cs="Times New Roman"/>
      <w:sz w:val="18"/>
      <w:szCs w:val="18"/>
    </w:rPr>
  </w:style>
  <w:style w:type="character" w:customStyle="1" w:styleId="Char5">
    <w:name w:val="标题 Char"/>
    <w:link w:val="aa"/>
    <w:uiPriority w:val="99"/>
    <w:qFormat/>
    <w:locked/>
    <w:rsid w:val="00FC160C"/>
    <w:rPr>
      <w:rFonts w:ascii="黑体" w:eastAsia="黑体" w:hAnsi="黑体" w:cs="Times New Roman"/>
      <w:sz w:val="28"/>
      <w:szCs w:val="28"/>
    </w:rPr>
  </w:style>
  <w:style w:type="character" w:customStyle="1" w:styleId="Char3">
    <w:name w:val="副标题 Char"/>
    <w:link w:val="a8"/>
    <w:uiPriority w:val="99"/>
    <w:qFormat/>
    <w:locked/>
    <w:rsid w:val="00FC160C"/>
    <w:rPr>
      <w:rFonts w:ascii="仿宋_GB2312" w:eastAsia="仿宋_GB2312" w:hAnsi="仿宋_GB2312" w:cs="宋体"/>
      <w:bCs/>
      <w:color w:val="000000"/>
      <w:kern w:val="0"/>
      <w:sz w:val="24"/>
      <w:szCs w:val="24"/>
    </w:rPr>
  </w:style>
  <w:style w:type="paragraph" w:customStyle="1" w:styleId="af1">
    <w:name w:val="公文二级标题"/>
    <w:basedOn w:val="20"/>
    <w:link w:val="af2"/>
    <w:uiPriority w:val="99"/>
    <w:qFormat/>
    <w:rsid w:val="00FC160C"/>
    <w:pPr>
      <w:keepNext/>
      <w:keepLines/>
      <w:snapToGrid/>
      <w:spacing w:after="120"/>
    </w:pPr>
    <w:rPr>
      <w:bCs/>
      <w:color w:val="auto"/>
    </w:rPr>
  </w:style>
  <w:style w:type="character" w:customStyle="1" w:styleId="af2">
    <w:name w:val="公文二级标题 字符"/>
    <w:link w:val="af1"/>
    <w:uiPriority w:val="99"/>
    <w:qFormat/>
    <w:locked/>
    <w:rsid w:val="00FC160C"/>
    <w:rPr>
      <w:rFonts w:ascii="楷体_GB2312" w:eastAsia="楷体_GB2312" w:hAnsi="楷体" w:cs="Times New Roman"/>
      <w:b/>
      <w:bCs/>
      <w:color w:val="000000"/>
      <w:sz w:val="32"/>
      <w:szCs w:val="32"/>
    </w:rPr>
  </w:style>
  <w:style w:type="character" w:customStyle="1" w:styleId="Char">
    <w:name w:val="批注文字 Char"/>
    <w:link w:val="a4"/>
    <w:uiPriority w:val="99"/>
    <w:semiHidden/>
    <w:qFormat/>
    <w:locked/>
    <w:rsid w:val="00FC160C"/>
    <w:rPr>
      <w:rFonts w:ascii="仿宋_GB2312" w:eastAsia="仿宋_GB2312" w:hAnsi="Adobe 楷体 Std R" w:cs="Times New Roman"/>
      <w:color w:val="000000"/>
      <w:sz w:val="32"/>
      <w:szCs w:val="32"/>
    </w:rPr>
  </w:style>
  <w:style w:type="character" w:customStyle="1" w:styleId="Char6">
    <w:name w:val="批注主题 Char"/>
    <w:link w:val="ab"/>
    <w:uiPriority w:val="99"/>
    <w:semiHidden/>
    <w:qFormat/>
    <w:locked/>
    <w:rsid w:val="00FC160C"/>
    <w:rPr>
      <w:rFonts w:ascii="仿宋_GB2312" w:eastAsia="仿宋_GB2312" w:hAnsi="Adobe 楷体 Std R" w:cs="Times New Roman"/>
      <w:b/>
      <w:bCs/>
      <w:color w:val="000000"/>
      <w:sz w:val="32"/>
      <w:szCs w:val="32"/>
    </w:rPr>
  </w:style>
  <w:style w:type="character" w:customStyle="1" w:styleId="af3">
    <w:name w:val="表头 字符"/>
    <w:uiPriority w:val="99"/>
    <w:qFormat/>
    <w:rsid w:val="00FC160C"/>
    <w:rPr>
      <w:rFonts w:ascii="黑体" w:eastAsia="黑体" w:hAnsi="黑体" w:cs="Times New Roman"/>
      <w:bCs/>
      <w:color w:val="000000"/>
      <w:kern w:val="44"/>
      <w:sz w:val="32"/>
      <w:szCs w:val="32"/>
    </w:rPr>
  </w:style>
  <w:style w:type="paragraph" w:customStyle="1" w:styleId="af4">
    <w:name w:val="表格字体"/>
    <w:basedOn w:val="a"/>
    <w:link w:val="af5"/>
    <w:uiPriority w:val="99"/>
    <w:qFormat/>
    <w:rsid w:val="00FC160C"/>
    <w:pPr>
      <w:snapToGrid/>
      <w:spacing w:line="240" w:lineRule="atLeast"/>
      <w:ind w:firstLineChars="0" w:firstLine="0"/>
      <w:jc w:val="center"/>
    </w:pPr>
    <w:rPr>
      <w:rFonts w:hAnsi="Times New Roman"/>
      <w:color w:val="auto"/>
      <w:sz w:val="24"/>
      <w:szCs w:val="24"/>
    </w:rPr>
  </w:style>
  <w:style w:type="character" w:customStyle="1" w:styleId="af5">
    <w:name w:val="表格字体 字符"/>
    <w:link w:val="af4"/>
    <w:uiPriority w:val="99"/>
    <w:qFormat/>
    <w:locked/>
    <w:rsid w:val="00FC160C"/>
    <w:rPr>
      <w:rFonts w:ascii="仿宋_GB2312"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2884263">
      <w:bodyDiv w:val="1"/>
      <w:marLeft w:val="0"/>
      <w:marRight w:val="0"/>
      <w:marTop w:val="0"/>
      <w:marBottom w:val="0"/>
      <w:divBdr>
        <w:top w:val="none" w:sz="0" w:space="0" w:color="auto"/>
        <w:left w:val="none" w:sz="0" w:space="0" w:color="auto"/>
        <w:bottom w:val="none" w:sz="0" w:space="0" w:color="auto"/>
        <w:right w:val="none" w:sz="0" w:space="0" w:color="auto"/>
      </w:divBdr>
    </w:div>
    <w:div w:id="1807383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1870</Words>
  <Characters>10665</Characters>
  <Application>Microsoft Office Word</Application>
  <DocSecurity>0</DocSecurity>
  <Lines>88</Lines>
  <Paragraphs>25</Paragraphs>
  <ScaleCrop>false</ScaleCrop>
  <Company/>
  <LinksUpToDate>false</LinksUpToDate>
  <CharactersWithSpaces>12510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桂鑫</dc:creator>
  <cp:lastModifiedBy>Chinese User</cp:lastModifiedBy>
  <cp:revision>8</cp:revision>
  <dcterms:created xsi:type="dcterms:W3CDTF">2021-12-08T06:44:00Z</dcterms:created>
  <dcterms:modified xsi:type="dcterms:W3CDTF">2023-09-20T08:07:00Z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60AAA0A4436240D2AA1489F9F10105D8</vt:lpwstr>
  </property>
</Properties>
</file>