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2"/>
        <w:spacing w:line="2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盐田区公办义务教育学位建设计划安排表（2020—2025年）</w:t>
      </w:r>
    </w:p>
    <w:tbl>
      <w:tblPr>
        <w:tblStyle w:val="5"/>
        <w:tblW w:w="15450" w:type="dxa"/>
        <w:tblInd w:w="-4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50"/>
        <w:gridCol w:w="1215"/>
        <w:gridCol w:w="795"/>
        <w:gridCol w:w="840"/>
        <w:gridCol w:w="990"/>
        <w:gridCol w:w="885"/>
        <w:gridCol w:w="900"/>
        <w:gridCol w:w="1050"/>
        <w:gridCol w:w="1050"/>
        <w:gridCol w:w="1185"/>
        <w:gridCol w:w="872"/>
        <w:gridCol w:w="930"/>
        <w:gridCol w:w="930"/>
        <w:gridCol w:w="853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基本情况</w:t>
            </w:r>
          </w:p>
        </w:tc>
        <w:tc>
          <w:tcPr>
            <w:tcW w:w="69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计划建设情况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用地情况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项目名称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地块号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学校类别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建设类型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用地面积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（平方米）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建设规模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计划建成时间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计划开办时间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总建筑面积（平方米）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计划总投资（万元）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用地现状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权属情况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供地前需完成工作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新增小学学位（座）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新增初中学位（座）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乐群小学综合体育场馆建设工程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J309--0315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改扩建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已竣工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新增教育  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中山纪念学校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扩建工程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J307-0313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23086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已竣工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J235-0049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已开工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盐港小学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J305-0070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已开工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田东中学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拆除重建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J232-0002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51715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准备开工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海心小学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YT-2019-0025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41729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已开工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山海小学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J307-0100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38731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准备开工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田心小学改扩建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J216-0030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前期工作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新增教育   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187979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450" w:type="dxa"/>
            <w:gridSpan w:val="1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备注：学校类别填报小学、初中、九年一贯制等；建设类型填报新建、改扩建等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255B6D93"/>
    <w:rsid w:val="255B6D93"/>
    <w:rsid w:val="593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2023-10-26T03:23:00Z</dcterms:created>
  <dc:creator>九河科技</dc:creator>
  <cp:lastModifiedBy>九河科技</cp:lastModifiedBy>
  <dcterms:modified xsi:type="dcterms:W3CDTF">2023-10-26T03:26:10Z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32E71294E19547B48ADD1CCEE2F0B8AA_13</vt:lpwstr>
  </property>
</Properties>
</file>