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eastAsia="方正小标宋简体"/>
          <w:sz w:val="44"/>
          <w:szCs w:val="44"/>
        </w:rPr>
      </w:pPr>
      <w:r>
        <w:rPr>
          <w:rFonts w:hint="eastAsia" w:eastAsia="方正小标宋简体"/>
          <w:sz w:val="44"/>
          <w:szCs w:val="44"/>
        </w:rPr>
        <w:t>项目榜单</w:t>
      </w:r>
    </w:p>
    <w:tbl>
      <w:tblPr>
        <w:tblStyle w:val="6"/>
        <w:tblW w:w="89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173"/>
        <w:gridCol w:w="3343"/>
        <w:gridCol w:w="1594"/>
        <w:gridCol w:w="2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4" w:hRule="atLeast"/>
          <w:jc w:val="center"/>
        </w:trPr>
        <w:tc>
          <w:tcPr>
            <w:tcW w:w="1173" w:type="dxa"/>
            <w:tcBorders>
              <w:top w:val="single" w:color="auto" w:sz="4" w:space="0"/>
              <w:left w:val="single" w:color="auto" w:sz="4" w:space="0"/>
              <w:bottom w:val="single" w:color="auto" w:sz="4" w:space="0"/>
              <w:right w:val="single" w:color="auto" w:sz="4" w:space="0"/>
            </w:tcBorders>
            <w:vAlign w:val="center"/>
          </w:tcPr>
          <w:p>
            <w:pPr>
              <w:jc w:val="center"/>
              <w:rPr>
                <w:sz w:val="21"/>
                <w:szCs w:val="21"/>
              </w:rPr>
            </w:pPr>
            <w:r>
              <w:rPr>
                <w:sz w:val="21"/>
                <w:szCs w:val="21"/>
              </w:rPr>
              <w:t>榜单名称</w:t>
            </w:r>
          </w:p>
        </w:tc>
        <w:tc>
          <w:tcPr>
            <w:tcW w:w="7788" w:type="dxa"/>
            <w:gridSpan w:val="3"/>
            <w:tcBorders>
              <w:top w:val="single" w:color="auto" w:sz="4" w:space="0"/>
              <w:left w:val="nil"/>
              <w:bottom w:val="single" w:color="auto" w:sz="4" w:space="0"/>
              <w:right w:val="single" w:color="auto" w:sz="4" w:space="0"/>
            </w:tcBorders>
            <w:vAlign w:val="center"/>
          </w:tcPr>
          <w:p>
            <w:pPr>
              <w:jc w:val="center"/>
              <w:rPr>
                <w:sz w:val="21"/>
                <w:szCs w:val="21"/>
              </w:rPr>
            </w:pPr>
            <w:r>
              <w:rPr>
                <w:rFonts w:hint="eastAsia"/>
                <w:sz w:val="21"/>
                <w:szCs w:val="21"/>
              </w:rPr>
              <w:t>新型先进陶瓷颗粒增强钢铁基复合材料的稳定</w:t>
            </w:r>
            <w:r>
              <w:rPr>
                <w:rFonts w:hint="eastAsia"/>
                <w:color w:val="000000" w:themeColor="text1"/>
                <w:sz w:val="21"/>
                <w:szCs w:val="21"/>
                <w14:textFill>
                  <w14:solidFill>
                    <w14:schemeClr w14:val="tx1"/>
                  </w14:solidFill>
                </w14:textFill>
              </w:rPr>
              <w:t>制备</w:t>
            </w:r>
            <w:r>
              <w:rPr>
                <w:rFonts w:hint="eastAsia"/>
                <w:sz w:val="21"/>
                <w:szCs w:val="21"/>
              </w:rPr>
              <w:t>与产业化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3" w:hRule="atLeast"/>
          <w:jc w:val="center"/>
        </w:trPr>
        <w:tc>
          <w:tcPr>
            <w:tcW w:w="1173" w:type="dxa"/>
            <w:tcBorders>
              <w:top w:val="single" w:color="auto" w:sz="4" w:space="0"/>
              <w:left w:val="single" w:color="auto" w:sz="4" w:space="0"/>
              <w:bottom w:val="single" w:color="auto" w:sz="4" w:space="0"/>
              <w:right w:val="single" w:color="auto" w:sz="4" w:space="0"/>
            </w:tcBorders>
            <w:vAlign w:val="center"/>
          </w:tcPr>
          <w:p>
            <w:pPr>
              <w:jc w:val="center"/>
              <w:rPr>
                <w:sz w:val="21"/>
                <w:szCs w:val="21"/>
              </w:rPr>
            </w:pPr>
            <w:r>
              <w:rPr>
                <w:sz w:val="21"/>
                <w:szCs w:val="21"/>
              </w:rPr>
              <w:t>专业领域及方向</w:t>
            </w:r>
          </w:p>
        </w:tc>
        <w:tc>
          <w:tcPr>
            <w:tcW w:w="7788" w:type="dxa"/>
            <w:gridSpan w:val="3"/>
            <w:tcBorders>
              <w:top w:val="single" w:color="auto" w:sz="4" w:space="0"/>
              <w:left w:val="nil"/>
              <w:bottom w:val="single" w:color="auto" w:sz="4" w:space="0"/>
              <w:right w:val="single" w:color="auto" w:sz="4" w:space="0"/>
            </w:tcBorders>
            <w:vAlign w:val="center"/>
          </w:tcPr>
          <w:p>
            <w:pPr>
              <w:jc w:val="center"/>
              <w:rPr>
                <w:sz w:val="21"/>
                <w:szCs w:val="21"/>
              </w:rPr>
            </w:pPr>
            <w:r>
              <w:rPr>
                <w:rFonts w:hint="eastAsia"/>
                <w:sz w:val="21"/>
                <w:szCs w:val="21"/>
              </w:rPr>
              <w:t>新材料领域、先进钢铁材料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5" w:hRule="atLeast"/>
          <w:jc w:val="center"/>
        </w:trPr>
        <w:tc>
          <w:tcPr>
            <w:tcW w:w="1173" w:type="dxa"/>
            <w:tcBorders>
              <w:top w:val="single" w:color="auto" w:sz="4" w:space="0"/>
              <w:left w:val="single" w:color="auto" w:sz="4" w:space="0"/>
              <w:bottom w:val="single" w:color="auto" w:sz="4" w:space="0"/>
              <w:right w:val="single" w:color="auto" w:sz="4" w:space="0"/>
            </w:tcBorders>
            <w:vAlign w:val="center"/>
          </w:tcPr>
          <w:p>
            <w:pPr>
              <w:rPr>
                <w:szCs w:val="21"/>
              </w:rPr>
            </w:pPr>
            <w:r>
              <w:rPr>
                <w:szCs w:val="21"/>
              </w:rPr>
              <w:t>启动时间</w:t>
            </w:r>
          </w:p>
        </w:tc>
        <w:tc>
          <w:tcPr>
            <w:tcW w:w="3343" w:type="dxa"/>
            <w:tcBorders>
              <w:top w:val="single" w:color="auto" w:sz="4" w:space="0"/>
              <w:left w:val="nil"/>
              <w:bottom w:val="single" w:color="auto" w:sz="4" w:space="0"/>
              <w:right w:val="single" w:color="auto" w:sz="4" w:space="0"/>
            </w:tcBorders>
            <w:vAlign w:val="center"/>
          </w:tcPr>
          <w:p>
            <w:pPr>
              <w:jc w:val="center"/>
              <w:rPr>
                <w:szCs w:val="21"/>
              </w:rPr>
            </w:pPr>
            <w:r>
              <w:rPr>
                <w:rFonts w:hint="eastAsia"/>
                <w:szCs w:val="21"/>
              </w:rPr>
              <w:t>2</w:t>
            </w:r>
            <w:r>
              <w:rPr>
                <w:szCs w:val="21"/>
              </w:rPr>
              <w:t>023</w:t>
            </w:r>
            <w:r>
              <w:rPr>
                <w:rFonts w:hint="eastAsia"/>
                <w:szCs w:val="21"/>
              </w:rPr>
              <w:t>年9月</w:t>
            </w:r>
          </w:p>
        </w:tc>
        <w:tc>
          <w:tcPr>
            <w:tcW w:w="1594" w:type="dxa"/>
            <w:tcBorders>
              <w:top w:val="single" w:color="auto" w:sz="4" w:space="0"/>
              <w:left w:val="nil"/>
              <w:bottom w:val="single" w:color="auto" w:sz="4" w:space="0"/>
              <w:right w:val="single" w:color="auto" w:sz="4" w:space="0"/>
            </w:tcBorders>
            <w:vAlign w:val="center"/>
          </w:tcPr>
          <w:p>
            <w:pPr>
              <w:rPr>
                <w:szCs w:val="21"/>
              </w:rPr>
            </w:pPr>
            <w:r>
              <w:rPr>
                <w:szCs w:val="21"/>
                <w:lang w:val="en" w:eastAsia="en"/>
              </w:rPr>
              <w:t>计划完成</w:t>
            </w:r>
            <w:r>
              <w:rPr>
                <w:szCs w:val="21"/>
              </w:rPr>
              <w:t>时间</w:t>
            </w:r>
          </w:p>
        </w:tc>
        <w:tc>
          <w:tcPr>
            <w:tcW w:w="2851" w:type="dxa"/>
            <w:tcBorders>
              <w:top w:val="single" w:color="auto" w:sz="4" w:space="0"/>
              <w:left w:val="nil"/>
              <w:bottom w:val="single" w:color="auto" w:sz="4" w:space="0"/>
              <w:right w:val="single" w:color="auto" w:sz="4" w:space="0"/>
            </w:tcBorders>
            <w:vAlign w:val="center"/>
          </w:tcPr>
          <w:p>
            <w:pPr>
              <w:jc w:val="center"/>
              <w:rPr>
                <w:szCs w:val="21"/>
              </w:rPr>
            </w:pPr>
            <w:r>
              <w:rPr>
                <w:rFonts w:hint="eastAsia"/>
                <w:szCs w:val="21"/>
              </w:rPr>
              <w:t>2</w:t>
            </w:r>
            <w:r>
              <w:rPr>
                <w:szCs w:val="21"/>
              </w:rPr>
              <w:t>025</w:t>
            </w:r>
            <w:r>
              <w:rPr>
                <w:rFonts w:hint="eastAsia"/>
                <w:szCs w:val="21"/>
              </w:rPr>
              <w:t>年8月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79" w:hRule="atLeast"/>
          <w:jc w:val="center"/>
        </w:trPr>
        <w:tc>
          <w:tcPr>
            <w:tcW w:w="1173" w:type="dxa"/>
            <w:tcBorders>
              <w:top w:val="single" w:color="auto" w:sz="4" w:space="0"/>
              <w:left w:val="single" w:color="auto" w:sz="4" w:space="0"/>
              <w:bottom w:val="single" w:color="auto" w:sz="4" w:space="0"/>
              <w:right w:val="single" w:color="auto" w:sz="4" w:space="0"/>
            </w:tcBorders>
            <w:vAlign w:val="center"/>
          </w:tcPr>
          <w:p>
            <w:pPr>
              <w:jc w:val="center"/>
              <w:rPr>
                <w:szCs w:val="21"/>
              </w:rPr>
            </w:pPr>
            <w:bookmarkStart w:id="0" w:name="_GoBack" w:colFirst="1" w:colLast="3"/>
            <w:r>
              <w:rPr>
                <w:szCs w:val="21"/>
              </w:rPr>
              <w:t>榜单具体内容</w:t>
            </w:r>
          </w:p>
        </w:tc>
        <w:tc>
          <w:tcPr>
            <w:tcW w:w="7788" w:type="dxa"/>
            <w:gridSpan w:val="3"/>
            <w:tcBorders>
              <w:top w:val="single" w:color="auto" w:sz="4" w:space="0"/>
              <w:left w:val="single" w:color="auto" w:sz="4" w:space="0"/>
              <w:bottom w:val="single" w:color="auto" w:sz="4" w:space="0"/>
              <w:right w:val="single" w:color="auto" w:sz="4" w:space="0"/>
            </w:tcBorders>
            <w:vAlign w:val="center"/>
          </w:tcPr>
          <w:p>
            <w:pPr>
              <w:ind w:firstLine="420" w:firstLineChars="200"/>
            </w:pPr>
            <w:r>
              <w:rPr>
                <w:rFonts w:hint="eastAsia"/>
              </w:rPr>
              <w:t>目前，有关原位自生颗粒增强钢铁基复合材料的实验分析和理论研究，已取得了较为显著的成果，多集中于碳化物增强颗粒。根据热动力学计算发现Ti+C的反应所需的能量低，反应容易进行。但生成TiC伴随的大量反应热会使反应过于剧烈，难以有效控制反应速率从而影响界面的结合强度。因此，本榜单根据自生TiC增强颗粒的不足之处，采用粉末冶金与铸造相结合的方式，以Ti-C为基础设计加入适量的Fe、W等合金元素，以达到吸收形成TiC反应的高放热、有效的减缓反应速率。同时，在复合材料的组织中可以生成更高占比的TiC和WC等多相陶瓷增强颗粒，进而提高钢铁基复合材料的耐磨性能。</w:t>
            </w:r>
          </w:p>
          <w:p>
            <w:pPr>
              <w:ind w:firstLine="420" w:firstLineChars="200"/>
            </w:pPr>
            <w:r>
              <w:rPr>
                <w:rFonts w:hint="eastAsia"/>
              </w:rPr>
              <w:t>榜单具体内容包括：（1）设计开发不同组分的自放热活性预制坯体；（2）探究熔体温度对诱发预制体坯体原位反应机理；（3）开发新性原位自生多组相陶瓷颗粒增强钢铁基复合材料制备技术；（4）分析复合材料显微组织中多相增强颗粒的形成与演变规律；（5）揭示多相陶瓷颗粒对基体材料的耐磨强化作用机制；（6）钢铁基复合材料构件工程化应用研究。</w:t>
            </w:r>
          </w:p>
          <w:p>
            <w:pPr>
              <w:ind w:firstLine="420" w:firstLineChars="200"/>
            </w:pPr>
            <w:r>
              <w:rPr>
                <w:rFonts w:hint="eastAsia"/>
              </w:rPr>
              <w:t>具体创新技术方案：自放热活性粉体混粉、压制成型、烧结预制坯体，将预制坯体固定在型腔的特定位置，浇铸高温钢铁熔体，预制坯体原位反应，获得多种陶瓷颗粒增强相的、可实现界面冶金结合的新型先进钢铁基复合材料。</w:t>
            </w:r>
          </w:p>
          <w:p>
            <w:pPr>
              <w:ind w:firstLine="420" w:firstLineChars="200"/>
              <w:rPr>
                <w:color w:val="000000" w:themeColor="text1"/>
                <w14:textFill>
                  <w14:solidFill>
                    <w14:schemeClr w14:val="tx1"/>
                  </w14:solidFill>
                </w14:textFill>
              </w:rPr>
            </w:pPr>
            <w:r>
              <w:rPr>
                <w:rFonts w:hint="eastAsia"/>
              </w:rPr>
              <w:t>技术性能指标：（1）</w:t>
            </w:r>
            <w:r>
              <w:rPr>
                <w:rFonts w:hint="eastAsia"/>
                <w:color w:val="000000" w:themeColor="text1"/>
                <w14:textFill>
                  <w14:solidFill>
                    <w14:schemeClr w14:val="tx1"/>
                  </w14:solidFill>
                </w14:textFill>
              </w:rPr>
              <w:t>铸造复合材料显微组织中陶瓷颗粒增强相的体积分数占70%及以上；（2）铸造复合材料的显微维氏硬度达到1500HV及以上；（3）铸造复合材料的磨损性能较相应基体材料提高2倍及以上；</w:t>
            </w:r>
          </w:p>
          <w:p>
            <w:pPr>
              <w:ind w:firstLine="420" w:firstLineChars="200"/>
            </w:pPr>
            <w:r>
              <w:rPr>
                <w:rFonts w:hint="eastAsia"/>
                <w:color w:val="000000" w:themeColor="text1"/>
                <w14:textFill>
                  <w14:solidFill>
                    <w14:schemeClr w14:val="tx1"/>
                  </w14:solidFill>
                </w14:textFill>
              </w:rPr>
              <w:t>产业化指标：（1）实现新型先进铸造钢</w:t>
            </w:r>
            <w:r>
              <w:rPr>
                <w:rFonts w:hint="eastAsia"/>
              </w:rPr>
              <w:t>铁基复合材料在盾构机刀头或海工挖泥船铰刀齿等中、小型易磨损零部件上的稳定制备与示范性应用；（2）建立年产值5000万元的生产线；</w:t>
            </w:r>
          </w:p>
          <w:p>
            <w:pPr>
              <w:ind w:firstLine="420" w:firstLineChars="200"/>
            </w:pPr>
            <w:r>
              <w:rPr>
                <w:rFonts w:hint="eastAsia"/>
              </w:rPr>
              <w:t>主要设施设备及配套条件：报榜企业具有熔炼、浇注、机加工与热处理等配套的钢铁铸件生产与热处理装备。同时具有专业成分分析的光谱仪、显微组织观察的光学显微镜、用于硬度测试的显微维氏硬度计，以及模拟滑动磨损、冲击磨损与三体磨损等多种工矿条件下材料磨损失效行为的性能测试设备，可满足并实现新型先进钢铁基复合材料的生产研发、组织与性能表征等全方位一体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0" w:hRule="atLeast"/>
          <w:jc w:val="center"/>
        </w:trPr>
        <w:tc>
          <w:tcPr>
            <w:tcW w:w="1173"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榜单效益目标</w:t>
            </w:r>
          </w:p>
        </w:tc>
        <w:tc>
          <w:tcPr>
            <w:tcW w:w="7788" w:type="dxa"/>
            <w:gridSpan w:val="3"/>
            <w:tcBorders>
              <w:top w:val="single" w:color="auto" w:sz="4" w:space="0"/>
              <w:left w:val="single" w:color="auto" w:sz="4" w:space="0"/>
              <w:bottom w:val="single" w:color="auto" w:sz="4" w:space="0"/>
              <w:right w:val="single" w:color="auto" w:sz="4" w:space="0"/>
            </w:tcBorders>
            <w:vAlign w:val="center"/>
          </w:tcPr>
          <w:p>
            <w:pPr>
              <w:ind w:firstLine="420" w:firstLineChars="200"/>
              <w:rPr>
                <w:szCs w:val="21"/>
              </w:rPr>
            </w:pPr>
            <w:r>
              <w:rPr>
                <w:rFonts w:hint="eastAsia"/>
                <w:szCs w:val="21"/>
              </w:rPr>
              <w:t>新型先进陶瓷颗粒增强钢铁基复合材料用</w:t>
            </w:r>
            <w:r>
              <w:rPr>
                <w:rFonts w:hint="eastAsia"/>
              </w:rPr>
              <w:t>盾构机刀头或海工挖泥船铰刀齿</w:t>
            </w:r>
            <w:r>
              <w:rPr>
                <w:rFonts w:hint="eastAsia"/>
                <w:szCs w:val="21"/>
              </w:rPr>
              <w:t>的稳定制备与应用，应用于</w:t>
            </w:r>
            <w:r>
              <w:rPr>
                <w:rFonts w:hint="eastAsia"/>
              </w:rPr>
              <w:t>大型耐磨构件，进一步提升其耐磨性，全面</w:t>
            </w:r>
            <w:r>
              <w:rPr>
                <w:rFonts w:hint="eastAsia"/>
                <w:szCs w:val="21"/>
              </w:rPr>
              <w:t>实现传统单一耐磨钢铁材料易磨损零部件的升级换代，有效的降低了生产成本并提高其使用寿命。同时，先进钢铁基复合材料耐磨零部件的国产化，也会进一步打破国外相关领域的技术封锁与垄断，使国产新型先进钢铁基复合材料的设计、研发与应用上在耐磨钢铁材料领域具有一定的国际竞争力。新型先进陶瓷颗粒增强钢铁基复合材料构件服役寿命较传统钢铁耐磨材料提高2倍以上，由于其高的性价比，如在全耐磨材料行业推广，产生2</w:t>
            </w:r>
            <w:r>
              <w:rPr>
                <w:szCs w:val="21"/>
              </w:rPr>
              <w:t>000</w:t>
            </w:r>
            <w:r>
              <w:rPr>
                <w:rFonts w:hint="eastAsia"/>
                <w:szCs w:val="21"/>
              </w:rPr>
              <w:t>亿元的经济</w:t>
            </w:r>
            <w:r>
              <w:rPr>
                <w:rFonts w:hint="eastAsia"/>
                <w:color w:val="000000" w:themeColor="text1"/>
                <w:szCs w:val="21"/>
                <w14:textFill>
                  <w14:solidFill>
                    <w14:schemeClr w14:val="tx1"/>
                  </w14:solidFill>
                </w14:textFill>
              </w:rPr>
              <w:t>效益</w:t>
            </w:r>
            <w:r>
              <w:rPr>
                <w:rFonts w:hint="eastAsia"/>
                <w:szCs w:val="21"/>
              </w:rPr>
              <w:t>；同时极大的提高了设备的运行效率，大幅度的节约材料的损耗，极大地降低碳排放，具有显著的经济效益与社会效益。</w:t>
            </w:r>
          </w:p>
        </w:tc>
      </w:tr>
      <w:bookmarkEnd w:id="0"/>
    </w:tbl>
    <w:p/>
    <w:sectPr>
      <w:pgSz w:w="11906" w:h="16838"/>
      <w:pgMar w:top="1440" w:right="1474" w:bottom="1440"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FreeSerif">
    <w:panose1 w:val="02020603050405020304"/>
    <w:charset w:val="00"/>
    <w:family w:val="auto"/>
    <w:pitch w:val="default"/>
    <w:sig w:usb0="E59FAFFF" w:usb1="C200FDFF" w:usb2="43501B29" w:usb3="04000043" w:csb0="6001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c2M2IwMzg1ZjE3NjM4YjY0NzViMGRjYzZiYTUxYzMifQ=="/>
  </w:docVars>
  <w:rsids>
    <w:rsidRoot w:val="61B7A9D8"/>
    <w:rsid w:val="00024B2C"/>
    <w:rsid w:val="00046B0F"/>
    <w:rsid w:val="000536DB"/>
    <w:rsid w:val="000603F6"/>
    <w:rsid w:val="00090DEC"/>
    <w:rsid w:val="000B4281"/>
    <w:rsid w:val="000D2AF8"/>
    <w:rsid w:val="00101B22"/>
    <w:rsid w:val="00164231"/>
    <w:rsid w:val="00172902"/>
    <w:rsid w:val="001E410A"/>
    <w:rsid w:val="00225745"/>
    <w:rsid w:val="002752AF"/>
    <w:rsid w:val="00396DFC"/>
    <w:rsid w:val="003D50D1"/>
    <w:rsid w:val="004720CB"/>
    <w:rsid w:val="004C032A"/>
    <w:rsid w:val="0052258D"/>
    <w:rsid w:val="005D7193"/>
    <w:rsid w:val="005E3368"/>
    <w:rsid w:val="0066438D"/>
    <w:rsid w:val="006B1536"/>
    <w:rsid w:val="006D1849"/>
    <w:rsid w:val="006F4295"/>
    <w:rsid w:val="00721934"/>
    <w:rsid w:val="00725504"/>
    <w:rsid w:val="0084606A"/>
    <w:rsid w:val="008C1507"/>
    <w:rsid w:val="008D1363"/>
    <w:rsid w:val="008F0BB9"/>
    <w:rsid w:val="00904947"/>
    <w:rsid w:val="00922943"/>
    <w:rsid w:val="0092369A"/>
    <w:rsid w:val="0094112D"/>
    <w:rsid w:val="009619D1"/>
    <w:rsid w:val="00970D6A"/>
    <w:rsid w:val="00972E5D"/>
    <w:rsid w:val="009B2D3E"/>
    <w:rsid w:val="00A60E4E"/>
    <w:rsid w:val="00AB63B2"/>
    <w:rsid w:val="00AD6CCA"/>
    <w:rsid w:val="00B42FCB"/>
    <w:rsid w:val="00B66665"/>
    <w:rsid w:val="00C11AD7"/>
    <w:rsid w:val="00C66EA4"/>
    <w:rsid w:val="00CD1B76"/>
    <w:rsid w:val="00DD4BDD"/>
    <w:rsid w:val="00DE2D54"/>
    <w:rsid w:val="00E334BC"/>
    <w:rsid w:val="00E66CA3"/>
    <w:rsid w:val="00E968A9"/>
    <w:rsid w:val="00ED52F9"/>
    <w:rsid w:val="00F241A9"/>
    <w:rsid w:val="00F46C07"/>
    <w:rsid w:val="00FA5B23"/>
    <w:rsid w:val="00FB408B"/>
    <w:rsid w:val="00FD74EA"/>
    <w:rsid w:val="00FE7502"/>
    <w:rsid w:val="01771335"/>
    <w:rsid w:val="052A49AF"/>
    <w:rsid w:val="068A12C2"/>
    <w:rsid w:val="0AAA0BDE"/>
    <w:rsid w:val="0B075EEB"/>
    <w:rsid w:val="0B426628"/>
    <w:rsid w:val="0B9AA337"/>
    <w:rsid w:val="0BD240F7"/>
    <w:rsid w:val="0C6E02C3"/>
    <w:rsid w:val="0CD54E4E"/>
    <w:rsid w:val="0DC169D0"/>
    <w:rsid w:val="0E3E3CC5"/>
    <w:rsid w:val="0FC8247E"/>
    <w:rsid w:val="104159AD"/>
    <w:rsid w:val="10DD0147"/>
    <w:rsid w:val="10E25205"/>
    <w:rsid w:val="11CF238B"/>
    <w:rsid w:val="12667217"/>
    <w:rsid w:val="131F1FCB"/>
    <w:rsid w:val="15210B5F"/>
    <w:rsid w:val="152C0FBD"/>
    <w:rsid w:val="154B3335"/>
    <w:rsid w:val="1674577C"/>
    <w:rsid w:val="19EF3DB1"/>
    <w:rsid w:val="1A19337B"/>
    <w:rsid w:val="1AF234E7"/>
    <w:rsid w:val="1C8D031F"/>
    <w:rsid w:val="1D541E92"/>
    <w:rsid w:val="1DA358F3"/>
    <w:rsid w:val="1E37428D"/>
    <w:rsid w:val="1FD27D15"/>
    <w:rsid w:val="1FF227DB"/>
    <w:rsid w:val="20194B9D"/>
    <w:rsid w:val="21D658A8"/>
    <w:rsid w:val="221326BC"/>
    <w:rsid w:val="253710D3"/>
    <w:rsid w:val="25C01010"/>
    <w:rsid w:val="28195BAD"/>
    <w:rsid w:val="282D3621"/>
    <w:rsid w:val="289D0D97"/>
    <w:rsid w:val="29D33359"/>
    <w:rsid w:val="2D3E21B4"/>
    <w:rsid w:val="2E217E2F"/>
    <w:rsid w:val="2F3A5725"/>
    <w:rsid w:val="310C5C58"/>
    <w:rsid w:val="35F774E1"/>
    <w:rsid w:val="39C52BF5"/>
    <w:rsid w:val="3A083692"/>
    <w:rsid w:val="3A9B1873"/>
    <w:rsid w:val="3C2622D6"/>
    <w:rsid w:val="3C4452B0"/>
    <w:rsid w:val="3E112948"/>
    <w:rsid w:val="3F8356F3"/>
    <w:rsid w:val="4246777C"/>
    <w:rsid w:val="45280679"/>
    <w:rsid w:val="47AA532A"/>
    <w:rsid w:val="47BB36B5"/>
    <w:rsid w:val="49C804A5"/>
    <w:rsid w:val="49D10B9D"/>
    <w:rsid w:val="4A502E08"/>
    <w:rsid w:val="4B9C6D16"/>
    <w:rsid w:val="4CD43AE5"/>
    <w:rsid w:val="4D3109AA"/>
    <w:rsid w:val="4EB3450A"/>
    <w:rsid w:val="536F7379"/>
    <w:rsid w:val="53FD0E1C"/>
    <w:rsid w:val="544E6808"/>
    <w:rsid w:val="549E4143"/>
    <w:rsid w:val="55E942F8"/>
    <w:rsid w:val="55FB7BEA"/>
    <w:rsid w:val="55FE317D"/>
    <w:rsid w:val="5A221372"/>
    <w:rsid w:val="5BF03E62"/>
    <w:rsid w:val="5CBA045F"/>
    <w:rsid w:val="5E011535"/>
    <w:rsid w:val="5E2F4F50"/>
    <w:rsid w:val="5F645F89"/>
    <w:rsid w:val="5FE87E07"/>
    <w:rsid w:val="60ED3E90"/>
    <w:rsid w:val="60FE44A0"/>
    <w:rsid w:val="61B7A9D8"/>
    <w:rsid w:val="6367429A"/>
    <w:rsid w:val="646459BF"/>
    <w:rsid w:val="64C26B63"/>
    <w:rsid w:val="6757ABFD"/>
    <w:rsid w:val="683B7530"/>
    <w:rsid w:val="688F22C8"/>
    <w:rsid w:val="694D263B"/>
    <w:rsid w:val="6F363D45"/>
    <w:rsid w:val="6FFC68D8"/>
    <w:rsid w:val="70F84EA4"/>
    <w:rsid w:val="741001EC"/>
    <w:rsid w:val="74820E5A"/>
    <w:rsid w:val="74A04BF0"/>
    <w:rsid w:val="75A52CA0"/>
    <w:rsid w:val="762D7A43"/>
    <w:rsid w:val="76D25D58"/>
    <w:rsid w:val="76EC08E6"/>
    <w:rsid w:val="799E4E34"/>
    <w:rsid w:val="79ED32F3"/>
    <w:rsid w:val="7A56511A"/>
    <w:rsid w:val="7A70238F"/>
    <w:rsid w:val="7B7F5197"/>
    <w:rsid w:val="7BBE7053"/>
    <w:rsid w:val="7C290326"/>
    <w:rsid w:val="7CBD1430"/>
    <w:rsid w:val="7CCE751B"/>
    <w:rsid w:val="7F285AC2"/>
    <w:rsid w:val="7F3DDD3C"/>
    <w:rsid w:val="B9FE4EE9"/>
    <w:rsid w:val="BDF31D4D"/>
    <w:rsid w:val="CCFA3D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6"/>
    <w:basedOn w:val="1"/>
    <w:next w:val="1"/>
    <w:qFormat/>
    <w:uiPriority w:val="0"/>
    <w:pPr>
      <w:keepNext/>
      <w:keepLines/>
      <w:spacing w:before="240" w:after="64" w:line="320" w:lineRule="auto"/>
      <w:outlineLvl w:val="5"/>
    </w:pPr>
    <w:rPr>
      <w:rFonts w:ascii="Cambria" w:hAnsi="Cambria"/>
      <w:b/>
      <w:bCs/>
      <w:sz w:val="24"/>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link w:val="8"/>
    <w:qFormat/>
    <w:uiPriority w:val="0"/>
    <w:pP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jc w:val="left"/>
    </w:pPr>
    <w:rPr>
      <w:kern w:val="0"/>
      <w:sz w:val="24"/>
    </w:rPr>
  </w:style>
  <w:style w:type="character" w:customStyle="1" w:styleId="8">
    <w:name w:val="页眉 字符"/>
    <w:link w:val="4"/>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493</Words>
  <Characters>2814</Characters>
  <Lines>23</Lines>
  <Paragraphs>6</Paragraphs>
  <TotalTime>86</TotalTime>
  <ScaleCrop>false</ScaleCrop>
  <LinksUpToDate>false</LinksUpToDate>
  <CharactersWithSpaces>3301</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2023-07-29T00:48:00Z</dcterms:created>
  <dc:creator>林</dc:creator>
  <cp:lastModifiedBy>禤维强</cp:lastModifiedBy>
  <dcterms:modified xsi:type="dcterms:W3CDTF">2023-10-26T18:39:30Z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11A73CE8AF0B4B458F3746A29309C9BC_12</vt:lpwstr>
  </property>
</Properties>
</file>