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CESI楷体-GB2312"/>
          <w:sz w:val="32"/>
          <w:szCs w:val="32"/>
        </w:rPr>
      </w:pPr>
      <w:r>
        <w:rPr>
          <w:rFonts w:hint="eastAsia" w:ascii="黑体" w:hAnsi="黑体" w:eastAsia="黑体" w:cs="黑体"/>
          <w:sz w:val="44"/>
          <w:szCs w:val="44"/>
          <w:lang w:eastAsia="zh-CN"/>
        </w:rPr>
        <w:t>项目</w:t>
      </w:r>
      <w:r>
        <w:rPr>
          <w:rFonts w:hint="eastAsia" w:ascii="黑体" w:hAnsi="黑体" w:eastAsia="黑体" w:cs="黑体"/>
          <w:sz w:val="44"/>
          <w:szCs w:val="44"/>
        </w:rPr>
        <w:t>榜单</w:t>
      </w:r>
    </w:p>
    <w:tbl>
      <w:tblPr>
        <w:tblStyle w:val="6"/>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90"/>
        <w:gridCol w:w="3326"/>
        <w:gridCol w:w="1594"/>
        <w:gridCol w:w="2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rPr>
              <w:t>榜单名称</w:t>
            </w:r>
          </w:p>
        </w:tc>
        <w:tc>
          <w:tcPr>
            <w:tcW w:w="7771" w:type="dxa"/>
            <w:gridSpan w:val="3"/>
            <w:tcBorders>
              <w:top w:val="single" w:color="auto" w:sz="4" w:space="0"/>
              <w:left w:val="nil"/>
              <w:bottom w:val="single" w:color="auto" w:sz="4" w:space="0"/>
              <w:right w:val="single" w:color="auto" w:sz="4" w:space="0"/>
            </w:tcBorders>
            <w:vAlign w:val="center"/>
          </w:tcPr>
          <w:p>
            <w:pPr>
              <w:jc w:val="center"/>
              <w:rPr>
                <w:rFonts w:ascii="宋体" w:hAnsi="宋体"/>
              </w:rPr>
            </w:pPr>
            <w:r>
              <w:rPr>
                <w:rFonts w:hint="eastAsia" w:ascii="宋体" w:hAnsi="宋体"/>
              </w:rPr>
              <w:t>全铝全焊接轻量化高效换热器关键技术研发与产业化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rPr>
              <w:t>专业领域及方向</w:t>
            </w:r>
          </w:p>
        </w:tc>
        <w:tc>
          <w:tcPr>
            <w:tcW w:w="7771" w:type="dxa"/>
            <w:gridSpan w:val="3"/>
            <w:tcBorders>
              <w:top w:val="single" w:color="auto" w:sz="4" w:space="0"/>
              <w:left w:val="nil"/>
              <w:bottom w:val="single" w:color="auto" w:sz="4" w:space="0"/>
              <w:right w:val="single" w:color="auto" w:sz="4" w:space="0"/>
            </w:tcBorders>
            <w:vAlign w:val="center"/>
          </w:tcPr>
          <w:p>
            <w:pPr>
              <w:jc w:val="center"/>
              <w:rPr>
                <w:rFonts w:ascii="宋体" w:hAnsi="宋体"/>
              </w:rPr>
            </w:pPr>
            <w:r>
              <w:rPr>
                <w:rFonts w:hint="eastAsia" w:ascii="宋体" w:hAnsi="宋体"/>
              </w:rPr>
              <w:t>高端装备领域---航空动力、飞行汽车、大功率透平装置燃滑油的散热冷却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r>
              <w:rPr>
                <w:rFonts w:hint="eastAsia" w:ascii="宋体" w:hAnsi="宋体"/>
              </w:rPr>
              <w:t>启动时间</w:t>
            </w:r>
          </w:p>
        </w:tc>
        <w:tc>
          <w:tcPr>
            <w:tcW w:w="3326" w:type="dxa"/>
            <w:tcBorders>
              <w:top w:val="single" w:color="auto" w:sz="4" w:space="0"/>
              <w:left w:val="nil"/>
              <w:bottom w:val="single" w:color="auto" w:sz="4" w:space="0"/>
              <w:right w:val="single" w:color="auto" w:sz="4" w:space="0"/>
            </w:tcBorders>
            <w:vAlign w:val="center"/>
          </w:tcPr>
          <w:p>
            <w:pPr>
              <w:jc w:val="center"/>
            </w:pPr>
            <w:r>
              <w:rPr>
                <w:rFonts w:hint="eastAsia"/>
              </w:rPr>
              <w:t>2</w:t>
            </w:r>
            <w:r>
              <w:t>024</w:t>
            </w:r>
            <w:r>
              <w:rPr>
                <w:rFonts w:hint="eastAsia" w:ascii="宋体" w:hAnsi="宋体"/>
              </w:rPr>
              <w:t>年</w:t>
            </w:r>
            <w:r>
              <w:t>1</w:t>
            </w:r>
            <w:r>
              <w:rPr>
                <w:rFonts w:hint="eastAsia" w:ascii="宋体" w:hAnsi="宋体"/>
              </w:rPr>
              <w:t>月</w:t>
            </w:r>
          </w:p>
        </w:tc>
        <w:tc>
          <w:tcPr>
            <w:tcW w:w="1594" w:type="dxa"/>
            <w:tcBorders>
              <w:top w:val="single" w:color="auto" w:sz="4" w:space="0"/>
              <w:left w:val="nil"/>
              <w:bottom w:val="single" w:color="auto" w:sz="4" w:space="0"/>
              <w:right w:val="single" w:color="auto" w:sz="4" w:space="0"/>
            </w:tcBorders>
            <w:vAlign w:val="center"/>
          </w:tcPr>
          <w:p>
            <w:r>
              <w:rPr>
                <w:rFonts w:hint="eastAsia" w:ascii="宋体" w:hAnsi="宋体"/>
              </w:rPr>
              <w:t>计划完成时间</w:t>
            </w:r>
          </w:p>
        </w:tc>
        <w:tc>
          <w:tcPr>
            <w:tcW w:w="2851" w:type="dxa"/>
            <w:tcBorders>
              <w:top w:val="single" w:color="auto" w:sz="4" w:space="0"/>
              <w:left w:val="nil"/>
              <w:bottom w:val="single" w:color="auto" w:sz="4" w:space="0"/>
              <w:right w:val="single" w:color="auto" w:sz="4" w:space="0"/>
            </w:tcBorders>
            <w:vAlign w:val="center"/>
          </w:tcPr>
          <w:p>
            <w:pPr>
              <w:jc w:val="center"/>
            </w:pPr>
            <w:r>
              <w:rPr>
                <w:rFonts w:hint="eastAsia"/>
              </w:rPr>
              <w:t>2</w:t>
            </w:r>
            <w:r>
              <w:t>026</w:t>
            </w:r>
            <w:r>
              <w:rPr>
                <w:rFonts w:hint="eastAsia" w:ascii="宋体" w:hAnsi="宋体"/>
              </w:rPr>
              <w:t>年</w:t>
            </w:r>
            <w:r>
              <w:t>9</w:t>
            </w:r>
            <w:r>
              <w:rPr>
                <w:rFonts w:hint="eastAsia" w:ascii="宋体" w:hAnsi="宋体"/>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7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rPr>
              <w:t>榜单具体内容</w:t>
            </w:r>
          </w:p>
        </w:tc>
        <w:tc>
          <w:tcPr>
            <w:tcW w:w="7771" w:type="dxa"/>
            <w:gridSpan w:val="3"/>
            <w:tcBorders>
              <w:top w:val="single" w:color="auto" w:sz="4" w:space="0"/>
              <w:left w:val="nil"/>
              <w:bottom w:val="single" w:color="auto" w:sz="4" w:space="0"/>
              <w:right w:val="single" w:color="auto" w:sz="4" w:space="0"/>
            </w:tcBorders>
            <w:vAlign w:val="center"/>
          </w:tcPr>
          <w:p>
            <w:pPr>
              <w:spacing w:line="400" w:lineRule="exact"/>
              <w:ind w:firstLine="481" w:firstLineChars="200"/>
              <w:rPr>
                <w:rFonts w:ascii="宋体" w:hAnsi="宋体"/>
                <w:sz w:val="24"/>
                <w:szCs w:val="24"/>
              </w:rPr>
            </w:pPr>
            <w:r>
              <w:rPr>
                <w:rFonts w:hint="eastAsia" w:ascii="宋体" w:hAnsi="宋体"/>
                <w:b/>
                <w:bCs/>
                <w:sz w:val="24"/>
                <w:szCs w:val="24"/>
              </w:rPr>
              <w:t>榜单问题解决的可行性</w:t>
            </w:r>
            <w:r>
              <w:rPr>
                <w:rFonts w:hint="eastAsia" w:ascii="宋体" w:hAnsi="宋体"/>
                <w:sz w:val="24"/>
                <w:szCs w:val="24"/>
              </w:rPr>
              <w:t>：</w:t>
            </w:r>
          </w:p>
          <w:p>
            <w:pPr>
              <w:spacing w:line="400" w:lineRule="exact"/>
              <w:ind w:firstLine="480" w:firstLineChars="200"/>
              <w:rPr>
                <w:rFonts w:ascii="宋体" w:hAnsi="宋体"/>
                <w:sz w:val="24"/>
                <w:szCs w:val="24"/>
              </w:rPr>
            </w:pPr>
            <w:r>
              <w:rPr>
                <w:rFonts w:hint="eastAsia" w:ascii="宋体" w:hAnsi="宋体"/>
                <w:sz w:val="24"/>
                <w:szCs w:val="24"/>
              </w:rPr>
              <w:t>针对目前的高性能发动机润滑油散热存在的问题：①管壳式换热器有效换热面积小、传热能力差、温差变化大，导致润滑油碳化结焦；②在受限的小空间内传热，换热总量不够；③重量大等问题。针对传统的管壳式换热器存在的问题，项目团队已经研制了全铝全焊接耐高压的燃油滑油换热器的第一代样件，样件经过耐压测试，满足10MPa高压条件。目前的工作是进一步优化结构，完善焊接工艺技术，提高传热量，减少重量，提升整体性能。</w:t>
            </w:r>
          </w:p>
          <w:p>
            <w:pPr>
              <w:spacing w:line="400" w:lineRule="exact"/>
              <w:ind w:firstLine="481" w:firstLineChars="200"/>
              <w:rPr>
                <w:rFonts w:ascii="宋体" w:hAnsi="宋体"/>
                <w:sz w:val="24"/>
                <w:szCs w:val="24"/>
              </w:rPr>
            </w:pPr>
            <w:r>
              <w:rPr>
                <w:rFonts w:hint="eastAsia" w:ascii="宋体" w:hAnsi="宋体"/>
                <w:b/>
                <w:bCs/>
                <w:sz w:val="24"/>
                <w:szCs w:val="24"/>
              </w:rPr>
              <w:t>项目的工作方案或技术方案：</w:t>
            </w:r>
            <w:r>
              <w:rPr>
                <w:rFonts w:hint="eastAsia" w:ascii="宋体" w:hAnsi="宋体"/>
                <w:sz w:val="24"/>
                <w:szCs w:val="24"/>
              </w:rPr>
              <w:t>针对航发润滑油燃油的轻质高效换热器设计需求和高低压流体的压力特性、热端部件快速冷却均温需求，开展针对性的结构力学、流体力学、传热学、焊接工艺等方面展开产学研协同攻关。</w:t>
            </w:r>
          </w:p>
          <w:p>
            <w:pPr>
              <w:spacing w:line="400" w:lineRule="exact"/>
              <w:ind w:firstLine="481" w:firstLineChars="200"/>
              <w:rPr>
                <w:rFonts w:ascii="宋体" w:hAnsi="宋体"/>
                <w:sz w:val="24"/>
                <w:szCs w:val="24"/>
              </w:rPr>
            </w:pPr>
            <w:r>
              <w:rPr>
                <w:rFonts w:hint="eastAsia" w:ascii="宋体" w:hAnsi="宋体"/>
                <w:b/>
                <w:bCs/>
                <w:sz w:val="24"/>
                <w:szCs w:val="24"/>
              </w:rPr>
              <w:t>具体的技术性能指标及产业化指标</w:t>
            </w:r>
            <w:r>
              <w:rPr>
                <w:rFonts w:hint="eastAsia" w:ascii="宋体" w:hAnsi="宋体"/>
                <w:sz w:val="24"/>
                <w:szCs w:val="24"/>
              </w:rPr>
              <w:t>：</w:t>
            </w:r>
          </w:p>
          <w:p>
            <w:pPr>
              <w:spacing w:line="400" w:lineRule="exact"/>
              <w:ind w:firstLine="480" w:firstLineChars="200"/>
              <w:rPr>
                <w:rFonts w:ascii="宋体" w:hAnsi="宋体"/>
                <w:sz w:val="24"/>
                <w:szCs w:val="24"/>
              </w:rPr>
            </w:pPr>
            <w:r>
              <w:rPr>
                <w:rFonts w:hint="eastAsia" w:ascii="宋体" w:hAnsi="宋体"/>
                <w:sz w:val="24"/>
                <w:szCs w:val="24"/>
              </w:rPr>
              <w:t>1、燃油滑油换热器的结构紧凑、尺寸小、重量轻；</w:t>
            </w:r>
          </w:p>
          <w:p>
            <w:pPr>
              <w:spacing w:line="400" w:lineRule="exact"/>
              <w:ind w:firstLine="480" w:firstLineChars="200"/>
              <w:rPr>
                <w:rFonts w:ascii="宋体" w:hAnsi="宋体"/>
                <w:sz w:val="24"/>
                <w:szCs w:val="24"/>
              </w:rPr>
            </w:pPr>
            <w:r>
              <w:rPr>
                <w:rFonts w:hint="eastAsia" w:ascii="宋体" w:hAnsi="宋体"/>
                <w:sz w:val="24"/>
                <w:szCs w:val="24"/>
              </w:rPr>
              <w:t>2、燃油滑油换热器的整体结构合理，便于安装、拆卸和监测；</w:t>
            </w:r>
          </w:p>
          <w:p>
            <w:pPr>
              <w:spacing w:line="400" w:lineRule="exact"/>
              <w:ind w:firstLine="480" w:firstLineChars="200"/>
              <w:rPr>
                <w:rFonts w:ascii="宋体" w:hAnsi="宋体"/>
                <w:sz w:val="24"/>
                <w:szCs w:val="24"/>
              </w:rPr>
            </w:pPr>
            <w:r>
              <w:rPr>
                <w:rFonts w:hint="eastAsia" w:ascii="宋体" w:hAnsi="宋体"/>
                <w:sz w:val="24"/>
                <w:szCs w:val="24"/>
              </w:rPr>
              <w:t>3、在所有可能出现的负荷及外部条件下，燃油滑油换热器都能可靠地工作并达到发动机工作要求</w:t>
            </w:r>
          </w:p>
          <w:p>
            <w:pPr>
              <w:spacing w:line="400" w:lineRule="exact"/>
              <w:ind w:firstLine="480" w:firstLineChars="200"/>
              <w:rPr>
                <w:rFonts w:ascii="宋体" w:hAnsi="宋体"/>
                <w:sz w:val="24"/>
                <w:szCs w:val="24"/>
              </w:rPr>
            </w:pPr>
            <w:r>
              <w:rPr>
                <w:rFonts w:hint="eastAsia" w:ascii="宋体" w:hAnsi="宋体"/>
                <w:sz w:val="24"/>
                <w:szCs w:val="24"/>
              </w:rPr>
              <w:t>4、燃油滑油换热器的工作压力范围(表压)： 0~12MPa；</w:t>
            </w:r>
          </w:p>
          <w:p>
            <w:pPr>
              <w:spacing w:line="400" w:lineRule="exact"/>
              <w:ind w:firstLine="480" w:firstLineChars="200"/>
              <w:rPr>
                <w:rFonts w:ascii="宋体" w:hAnsi="宋体"/>
                <w:sz w:val="24"/>
                <w:szCs w:val="24"/>
              </w:rPr>
            </w:pPr>
            <w:r>
              <w:rPr>
                <w:rFonts w:hint="eastAsia" w:ascii="宋体" w:hAnsi="宋体"/>
                <w:sz w:val="24"/>
                <w:szCs w:val="24"/>
              </w:rPr>
              <w:t>5、燃油滑油换热器的工作区间换热器换热量≥1.5kW/℃；</w:t>
            </w:r>
          </w:p>
          <w:p>
            <w:pPr>
              <w:spacing w:line="400" w:lineRule="exact"/>
              <w:ind w:firstLine="480" w:firstLineChars="200"/>
              <w:rPr>
                <w:rFonts w:ascii="宋体" w:hAnsi="宋体"/>
                <w:sz w:val="24"/>
                <w:szCs w:val="24"/>
              </w:rPr>
            </w:pPr>
            <w:r>
              <w:rPr>
                <w:rFonts w:ascii="宋体" w:hAnsi="宋体"/>
                <w:sz w:val="24"/>
                <w:szCs w:val="24"/>
              </w:rPr>
              <w:t>6</w:t>
            </w:r>
            <w:r>
              <w:rPr>
                <w:rFonts w:hint="eastAsia" w:ascii="宋体" w:hAnsi="宋体"/>
                <w:sz w:val="24"/>
                <w:szCs w:val="24"/>
              </w:rPr>
              <w:t>、燃油滑油换热器的单位体积传热负荷≥6.3kW/kg；</w:t>
            </w:r>
          </w:p>
          <w:p>
            <w:pPr>
              <w:spacing w:line="400" w:lineRule="exact"/>
              <w:ind w:firstLine="480" w:firstLineChars="200"/>
              <w:rPr>
                <w:rFonts w:ascii="宋体" w:hAnsi="宋体"/>
                <w:sz w:val="24"/>
                <w:szCs w:val="24"/>
              </w:rPr>
            </w:pPr>
            <w:r>
              <w:rPr>
                <w:rFonts w:ascii="宋体" w:hAnsi="宋体"/>
                <w:sz w:val="24"/>
                <w:szCs w:val="24"/>
              </w:rPr>
              <w:t>7</w:t>
            </w:r>
            <w:r>
              <w:rPr>
                <w:rFonts w:hint="eastAsia" w:ascii="宋体" w:hAnsi="宋体"/>
                <w:sz w:val="24"/>
                <w:szCs w:val="24"/>
              </w:rPr>
              <w:t>、在相同工况下，比相同热负荷的现有燃油滑油换热器的压力损失减少10%以上。</w:t>
            </w:r>
          </w:p>
          <w:p>
            <w:pPr>
              <w:spacing w:line="400" w:lineRule="exact"/>
              <w:ind w:firstLine="480" w:firstLineChars="200"/>
              <w:rPr>
                <w:rFonts w:ascii="宋体" w:hAnsi="宋体"/>
                <w:sz w:val="24"/>
                <w:szCs w:val="24"/>
              </w:rPr>
            </w:pPr>
            <w:r>
              <w:rPr>
                <w:rFonts w:ascii="宋体" w:hAnsi="宋体"/>
                <w:sz w:val="24"/>
                <w:szCs w:val="24"/>
              </w:rPr>
              <w:t>8</w:t>
            </w:r>
            <w:r>
              <w:rPr>
                <w:rFonts w:hint="eastAsia" w:ascii="宋体" w:hAnsi="宋体"/>
                <w:sz w:val="24"/>
                <w:szCs w:val="24"/>
              </w:rPr>
              <w:t>、比传统的管壳式换热器重量减少20%以上。</w:t>
            </w:r>
          </w:p>
          <w:p>
            <w:pPr>
              <w:spacing w:line="400" w:lineRule="exact"/>
              <w:ind w:firstLine="481" w:firstLineChars="200"/>
              <w:rPr>
                <w:rFonts w:ascii="宋体" w:hAnsi="宋体"/>
                <w:b/>
                <w:bCs/>
                <w:sz w:val="24"/>
                <w:szCs w:val="24"/>
              </w:rPr>
            </w:pPr>
            <w:r>
              <w:rPr>
                <w:rFonts w:hint="eastAsia" w:ascii="宋体" w:hAnsi="宋体"/>
                <w:b/>
                <w:bCs/>
                <w:sz w:val="24"/>
                <w:szCs w:val="24"/>
              </w:rPr>
              <w:t>完成榜单的主要设施设备及配套条件：</w:t>
            </w:r>
          </w:p>
          <w:p>
            <w:pPr>
              <w:spacing w:line="400" w:lineRule="exact"/>
              <w:ind w:firstLine="480" w:firstLineChars="200"/>
              <w:rPr>
                <w:rFonts w:ascii="宋体" w:hAnsi="宋体"/>
                <w:sz w:val="24"/>
                <w:szCs w:val="24"/>
              </w:rPr>
            </w:pPr>
            <w:r>
              <w:rPr>
                <w:rFonts w:hint="eastAsia" w:ascii="宋体" w:hAnsi="宋体"/>
                <w:sz w:val="24"/>
                <w:szCs w:val="24"/>
              </w:rPr>
              <w:t>1、专业的燃油滑油换热器的设计、测试实验平台；</w:t>
            </w:r>
          </w:p>
          <w:p>
            <w:pPr>
              <w:spacing w:line="400" w:lineRule="exact"/>
              <w:ind w:firstLine="480" w:firstLineChars="200"/>
              <w:rPr>
                <w:rFonts w:ascii="宋体" w:hAnsi="宋体"/>
                <w:sz w:val="24"/>
                <w:szCs w:val="24"/>
              </w:rPr>
            </w:pPr>
            <w:r>
              <w:rPr>
                <w:rFonts w:hint="eastAsia" w:ascii="宋体" w:hAnsi="宋体"/>
                <w:sz w:val="24"/>
                <w:szCs w:val="24"/>
              </w:rPr>
              <w:t>2、燃油滑油换热器零部件成型、焊接设备；</w:t>
            </w:r>
          </w:p>
          <w:p>
            <w:pPr>
              <w:spacing w:line="400" w:lineRule="exact"/>
              <w:ind w:firstLine="480" w:firstLineChars="200"/>
              <w:rPr>
                <w:rFonts w:ascii="宋体" w:hAnsi="宋体"/>
                <w:sz w:val="24"/>
                <w:szCs w:val="24"/>
              </w:rPr>
            </w:pPr>
            <w:r>
              <w:rPr>
                <w:rFonts w:hint="eastAsia" w:ascii="宋体" w:hAnsi="宋体"/>
                <w:sz w:val="24"/>
                <w:szCs w:val="24"/>
              </w:rPr>
              <w:t>3、燃油滑油换热器仿真分析工作站。</w:t>
            </w:r>
          </w:p>
          <w:p>
            <w:pPr>
              <w:spacing w:line="400" w:lineRule="exact"/>
              <w:ind w:firstLine="481" w:firstLineChars="200"/>
              <w:rPr>
                <w:rFonts w:ascii="宋体" w:hAnsi="宋体"/>
                <w:b/>
                <w:bCs/>
                <w:sz w:val="24"/>
                <w:szCs w:val="24"/>
              </w:rPr>
            </w:pPr>
            <w:r>
              <w:rPr>
                <w:rFonts w:hint="eastAsia" w:ascii="宋体" w:hAnsi="宋体"/>
                <w:b/>
                <w:bCs/>
                <w:sz w:val="24"/>
                <w:szCs w:val="24"/>
              </w:rPr>
              <w:t>实现有关关键核心技术：</w:t>
            </w:r>
          </w:p>
          <w:p>
            <w:pPr>
              <w:spacing w:line="400" w:lineRule="exact"/>
              <w:ind w:firstLine="480" w:firstLineChars="200"/>
              <w:rPr>
                <w:rFonts w:ascii="宋体" w:hAnsi="宋体"/>
                <w:sz w:val="24"/>
                <w:szCs w:val="24"/>
              </w:rPr>
            </w:pPr>
            <w:r>
              <w:rPr>
                <w:rFonts w:hint="eastAsia" w:ascii="宋体" w:hAnsi="宋体"/>
                <w:sz w:val="24"/>
                <w:szCs w:val="24"/>
              </w:rPr>
              <w:t>本项有关关键技术为：</w:t>
            </w:r>
          </w:p>
          <w:p>
            <w:pPr>
              <w:spacing w:line="400" w:lineRule="exact"/>
              <w:ind w:firstLine="481" w:firstLineChars="200"/>
              <w:rPr>
                <w:rFonts w:ascii="宋体" w:hAnsi="宋体"/>
                <w:b/>
                <w:bCs/>
                <w:sz w:val="24"/>
                <w:szCs w:val="24"/>
              </w:rPr>
            </w:pPr>
            <w:r>
              <w:rPr>
                <w:rFonts w:hint="eastAsia" w:ascii="宋体" w:hAnsi="宋体"/>
                <w:b/>
                <w:bCs/>
                <w:sz w:val="24"/>
                <w:szCs w:val="24"/>
              </w:rPr>
              <w:t>1 高承压轻量化紧凑型全铝换热器芯体成形和封装技术</w:t>
            </w:r>
          </w:p>
          <w:p>
            <w:pPr>
              <w:spacing w:line="400" w:lineRule="exact"/>
              <w:ind w:firstLine="480" w:firstLineChars="200"/>
              <w:rPr>
                <w:rFonts w:ascii="宋体" w:hAnsi="宋体"/>
                <w:sz w:val="24"/>
                <w:szCs w:val="24"/>
              </w:rPr>
            </w:pPr>
            <w:bookmarkStart w:id="0" w:name="_Hlk131609701"/>
            <w:r>
              <w:rPr>
                <w:rFonts w:hint="eastAsia" w:ascii="宋体" w:hAnsi="宋体"/>
                <w:sz w:val="24"/>
                <w:szCs w:val="24"/>
              </w:rPr>
              <w:t>基于换热器传热与流阻理论、高压形体结构力学的分析结果，对该换热器芯体进行三维结构设计及仿真优化分析，设计最低成本的燃油滑油流道结构和整体制造工艺流程。其技术核心是对高压室及流体通道成形、芯体和封装装配工艺的影响规律，建立适合于集成制造的工艺理论。</w:t>
            </w:r>
            <w:bookmarkEnd w:id="0"/>
          </w:p>
          <w:p>
            <w:pPr>
              <w:spacing w:line="400" w:lineRule="exact"/>
              <w:ind w:firstLine="481" w:firstLineChars="200"/>
              <w:rPr>
                <w:rFonts w:ascii="宋体" w:hAnsi="宋体"/>
                <w:b/>
                <w:bCs/>
                <w:sz w:val="24"/>
                <w:szCs w:val="24"/>
              </w:rPr>
            </w:pPr>
            <w:r>
              <w:rPr>
                <w:rFonts w:hint="eastAsia" w:ascii="宋体" w:hAnsi="宋体"/>
                <w:b/>
                <w:bCs/>
                <w:sz w:val="24"/>
                <w:szCs w:val="24"/>
              </w:rPr>
              <w:t>2 燃滑油燃油流体的流动模型进行多维度多尺度数值模拟技术</w:t>
            </w:r>
          </w:p>
          <w:p>
            <w:pPr>
              <w:spacing w:line="400" w:lineRule="exact"/>
              <w:ind w:firstLine="480" w:firstLineChars="200"/>
              <w:rPr>
                <w:rFonts w:ascii="宋体" w:hAnsi="宋体"/>
                <w:sz w:val="24"/>
                <w:szCs w:val="24"/>
              </w:rPr>
            </w:pPr>
            <w:r>
              <w:rPr>
                <w:rFonts w:hint="eastAsia" w:ascii="宋体" w:hAnsi="宋体"/>
                <w:sz w:val="24"/>
                <w:szCs w:val="24"/>
              </w:rPr>
              <w:t>通过换热器传热与流阻理论、高压形体结构力学的仿真、尺度效应模型、压力损失模型及结构强度模型，使用仿真软件开发定制的仿真程序，实现相应的成形工艺的多维度、多尺度数值模拟。</w:t>
            </w:r>
          </w:p>
          <w:p>
            <w:pPr>
              <w:spacing w:line="400" w:lineRule="exact"/>
              <w:ind w:firstLine="481" w:firstLineChars="200"/>
              <w:rPr>
                <w:rFonts w:ascii="宋体" w:hAnsi="宋体"/>
                <w:b/>
                <w:bCs/>
                <w:sz w:val="24"/>
                <w:szCs w:val="24"/>
              </w:rPr>
            </w:pPr>
            <w:r>
              <w:rPr>
                <w:rFonts w:hint="eastAsia" w:ascii="宋体" w:hAnsi="宋体"/>
                <w:b/>
                <w:bCs/>
                <w:sz w:val="24"/>
                <w:szCs w:val="24"/>
              </w:rPr>
              <w:t>3换热器在10MPa高承压条件下的焊接成型工艺技术</w:t>
            </w:r>
          </w:p>
          <w:p>
            <w:pPr>
              <w:spacing w:line="400" w:lineRule="exact"/>
              <w:ind w:firstLine="480" w:firstLineChars="200"/>
              <w:rPr>
                <w:rFonts w:cs="Times New Roman"/>
                <w:kern w:val="2"/>
              </w:rPr>
            </w:pPr>
            <w:r>
              <w:rPr>
                <w:rFonts w:hint="eastAsia" w:ascii="宋体" w:hAnsi="宋体"/>
                <w:sz w:val="24"/>
                <w:szCs w:val="24"/>
              </w:rPr>
              <w:t>从热、气、液多场协同角度研究换热器的最佳壳体厚度、芯体结构、工质流量等传递特性和变化规律，结合CFD模拟仿真平台和模型生成的优化设计方案。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83"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rPr>
              <w:t>榜单效益目标</w:t>
            </w:r>
          </w:p>
        </w:tc>
        <w:tc>
          <w:tcPr>
            <w:tcW w:w="7771" w:type="dxa"/>
            <w:gridSpan w:val="3"/>
            <w:tcBorders>
              <w:top w:val="single" w:color="auto" w:sz="4" w:space="0"/>
              <w:left w:val="nil"/>
              <w:bottom w:val="single" w:color="auto" w:sz="4" w:space="0"/>
              <w:right w:val="single" w:color="auto" w:sz="4" w:space="0"/>
            </w:tcBorders>
            <w:vAlign w:val="center"/>
          </w:tcPr>
          <w:p>
            <w:pPr>
              <w:pStyle w:val="5"/>
              <w:rPr>
                <w:rFonts w:cs="Times New Roman"/>
                <w:kern w:val="2"/>
              </w:rPr>
            </w:pPr>
            <w:r>
              <w:rPr>
                <w:rFonts w:hint="eastAsia" w:cs="Times New Roman"/>
                <w:kern w:val="2"/>
              </w:rPr>
              <w:t>榜单问题解决带来的经济性：针对商用飞机、无人机、飞行汽车等行业，以及水面与水下舰船、新能源车辆（汽车与轨道交通）、大功率透平装置、储能站等能源动力装置中的散热冷却装置，进行技术升级，解决了大功率动力装备热控的工程技术重大问题，可望带动无人机、飞行汽车等步入大众生活，将产生良好的社会效益。</w:t>
            </w:r>
          </w:p>
          <w:p>
            <w:pPr>
              <w:pStyle w:val="5"/>
              <w:rPr>
                <w:rFonts w:ascii="等线 Light" w:hAnsi="等线 Light" w:eastAsia="等线 Light" w:cs="Times New Roman"/>
                <w:b/>
                <w:bCs/>
                <w:kern w:val="2"/>
              </w:rPr>
            </w:pP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等线">
    <w:altName w:val="汉仪中圆B5"/>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等线 Light">
    <w:altName w:val="汉仪中圆B5"/>
    <w:panose1 w:val="02010600030101010101"/>
    <w:charset w:val="86"/>
    <w:family w:val="auto"/>
    <w:pitch w:val="default"/>
    <w:sig w:usb0="00000000" w:usb1="00000000" w:usb2="00000016" w:usb3="00000000" w:csb0="0004000F" w:csb1="00000000"/>
  </w:font>
  <w:font w:name="CESI楷体-GB2312">
    <w:panose1 w:val="02000500000000000000"/>
    <w:charset w:val="86"/>
    <w:family w:val="auto"/>
    <w:pitch w:val="default"/>
    <w:sig w:usb0="800002BF" w:usb1="184F6CF8" w:usb2="00000012" w:usb3="00000000" w:csb0="0004000F" w:csb1="00000000"/>
  </w:font>
  <w:font w:name="汉仪仿宋S">
    <w:panose1 w:val="00020600040101000101"/>
    <w:charset w:val="86"/>
    <w:family w:val="auto"/>
    <w:pitch w:val="default"/>
    <w:sig w:usb0="A00002BF" w:usb1="38CF7CFA" w:usb2="00000016" w:usb3="00000000" w:csb0="0004009F" w:csb1="00000000"/>
  </w:font>
  <w:font w:name="方正书宋_GBK">
    <w:panose1 w:val="02000000000000000000"/>
    <w:charset w:val="86"/>
    <w:family w:val="auto"/>
    <w:pitch w:val="default"/>
    <w:sig w:usb0="00000001" w:usb1="08000000" w:usb2="00000000" w:usb3="00000000" w:csb0="00040000" w:csb1="00000000"/>
  </w:font>
  <w:font w:name="汉仪中圆B5">
    <w:panose1 w:val="02010600000101010101"/>
    <w:charset w:val="88"/>
    <w:family w:val="auto"/>
    <w:pitch w:val="default"/>
    <w:sig w:usb0="00000001" w:usb1="080E0800" w:usb2="00000002" w:usb3="00000000" w:csb0="001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QyNDU2OGM2YjIwMzFjYjE1Mzc3NTkxYWRlZmYxYTQifQ=="/>
  </w:docVars>
  <w:rsids>
    <w:rsidRoot w:val="00A24215"/>
    <w:rsid w:val="00076B91"/>
    <w:rsid w:val="000E27F2"/>
    <w:rsid w:val="00143A08"/>
    <w:rsid w:val="00190CA3"/>
    <w:rsid w:val="00324E24"/>
    <w:rsid w:val="00366A7D"/>
    <w:rsid w:val="0044554A"/>
    <w:rsid w:val="00474992"/>
    <w:rsid w:val="007D32FC"/>
    <w:rsid w:val="008D1B88"/>
    <w:rsid w:val="009152A0"/>
    <w:rsid w:val="009F25CF"/>
    <w:rsid w:val="00A24215"/>
    <w:rsid w:val="00AF5D8C"/>
    <w:rsid w:val="00B86870"/>
    <w:rsid w:val="00C21494"/>
    <w:rsid w:val="00D365FD"/>
    <w:rsid w:val="00DA7673"/>
    <w:rsid w:val="00E149B5"/>
    <w:rsid w:val="00E55B69"/>
    <w:rsid w:val="0EB30B6A"/>
    <w:rsid w:val="1F6E7142"/>
    <w:rsid w:val="4ED7B883"/>
    <w:rsid w:val="BFE66602"/>
    <w:rsid w:val="E5CD00D1"/>
    <w:rsid w:val="F97FB4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6"/>
    <w:basedOn w:val="1"/>
    <w:next w:val="1"/>
    <w:link w:val="9"/>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Hyperlink"/>
    <w:basedOn w:val="7"/>
    <w:unhideWhenUsed/>
    <w:qFormat/>
    <w:uiPriority w:val="99"/>
    <w:rPr>
      <w:color w:val="0000FF"/>
      <w:u w:val="single"/>
    </w:rPr>
  </w:style>
  <w:style w:type="character" w:customStyle="1" w:styleId="9">
    <w:name w:val="标题 6 字符"/>
    <w:basedOn w:val="7"/>
    <w:link w:val="2"/>
    <w:semiHidden/>
    <w:qFormat/>
    <w:uiPriority w:val="9"/>
    <w:rPr>
      <w:rFonts w:asciiTheme="majorHAnsi" w:hAnsiTheme="majorHAnsi" w:eastAsiaTheme="majorEastAsia" w:cstheme="majorBidi"/>
      <w:b/>
      <w:bCs/>
      <w:sz w:val="24"/>
      <w:szCs w:val="24"/>
      <w14:ligatures w14:val="none"/>
    </w:rPr>
  </w:style>
  <w:style w:type="character" w:customStyle="1" w:styleId="10">
    <w:name w:val="页眉 字符"/>
    <w:basedOn w:val="7"/>
    <w:link w:val="4"/>
    <w:qFormat/>
    <w:uiPriority w:val="99"/>
    <w:rPr>
      <w:rFonts w:ascii="Times New Roman" w:hAnsi="Times New Roman" w:eastAsia="宋体" w:cs="Times New Roman"/>
      <w:kern w:val="2"/>
      <w:sz w:val="18"/>
      <w:szCs w:val="18"/>
    </w:rPr>
  </w:style>
  <w:style w:type="character" w:customStyle="1" w:styleId="11">
    <w:name w:val="页脚 字符"/>
    <w:basedOn w:val="7"/>
    <w:link w:val="3"/>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496</Words>
  <Characters>2829</Characters>
  <Lines>23</Lines>
  <Paragraphs>6</Paragraphs>
  <TotalTime>0</TotalTime>
  <ScaleCrop>false</ScaleCrop>
  <LinksUpToDate>false</LinksUpToDate>
  <CharactersWithSpaces>3319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2023-08-08T13:41:00Z</dcterms:created>
  <dc:creator>mykj9379@163.com</dc:creator>
  <cp:lastModifiedBy>禤维强</cp:lastModifiedBy>
  <cp:lastPrinted>2023-08-08T14:04:00Z</cp:lastPrinted>
  <dcterms:modified xsi:type="dcterms:W3CDTF">2023-10-26T19:12:31Z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ADC0F9B797DE4CD485E64C9D02C89337_12</vt:lpwstr>
  </property>
</Properties>
</file>