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Han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Hans"/>
        </w:rPr>
        <w:t>深圳市盐田区城市管理和综合执法局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Han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Hans"/>
        </w:rPr>
        <w:t>2022年度部门整体支出绩效评价报告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Hans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Hans"/>
        </w:rPr>
      </w:pPr>
      <w:bookmarkStart w:id="120" w:name="_GoBack"/>
      <w:bookmarkEnd w:id="12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Hans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Hans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center"/>
        <w:textAlignment w:val="auto"/>
        <w:outlineLvl w:val="0"/>
        <w:rPr>
          <w:rFonts w:hint="default" w:ascii="方正小标宋简体" w:hAnsi="仿宋" w:eastAsia="方正小标宋简体" w:cstheme="minorBidi"/>
          <w:w w:val="95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仿宋" w:eastAsia="方正小标宋简体" w:cstheme="minorBidi"/>
          <w:w w:val="95"/>
          <w:kern w:val="2"/>
          <w:sz w:val="32"/>
          <w:szCs w:val="32"/>
          <w:lang w:val="en-US" w:eastAsia="zh-CN" w:bidi="ar-SA"/>
        </w:rPr>
        <w:t>深圳市盐田区财政局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</w:rPr>
      </w:pP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color w:val="000000"/>
          <w:szCs w:val="32"/>
        </w:rPr>
      </w:pP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</w:rPr>
        <w:t>为贯彻《中共中央</w:t>
      </w:r>
      <w:r>
        <w:rPr>
          <w:rFonts w:hint="default" w:ascii="Times New Roman Regular" w:hAnsi="Times New Roman Regular" w:eastAsia="仿宋_GB2312" w:cs="Times New Roman Regular"/>
          <w:color w:val="000000"/>
          <w:sz w:val="32"/>
          <w:szCs w:val="32"/>
        </w:rPr>
        <w:t xml:space="preserve"> </w:t>
      </w: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</w:rPr>
        <w:t>国务院关于全面实施预算绩效管理的意见》（中发〔2018〕34号）文件精神，落实预算绩效管理主体责任，提高财政资金的使用效益，</w:t>
      </w: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  <w:lang w:val="en-US" w:eastAsia="zh-Hans"/>
        </w:rPr>
        <w:t>深圳市</w:t>
      </w: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  <w:lang w:val="en-US" w:eastAsia="zh-CN"/>
        </w:rPr>
        <w:t>盐田区财政局</w:t>
      </w: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</w:rPr>
        <w:t>组建评价小组对202</w:t>
      </w: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  <w:lang w:val="en-US" w:eastAsia="zh-CN"/>
        </w:rPr>
        <w:t>2</w:t>
      </w: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</w:rPr>
        <w:t>年</w:t>
      </w: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  <w:lang w:eastAsia="zh-Hans"/>
        </w:rPr>
        <w:t>对深圳市盐田区城市管理和综合执法局（以下简称“区城管局”）2022年度部门整体支出情况开展绩效评价</w:t>
      </w: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一、部门基本情况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Hans"/>
        </w:rPr>
      </w:pPr>
      <w:bookmarkStart w:id="0" w:name="_Toc8362"/>
      <w:bookmarkStart w:id="1" w:name="_Toc29618"/>
      <w:bookmarkStart w:id="2" w:name="_Toc547935054"/>
      <w:bookmarkStart w:id="3" w:name="_Toc116569024"/>
      <w:bookmarkStart w:id="4" w:name="_Toc5142"/>
      <w:bookmarkStart w:id="5" w:name="_Toc25566"/>
      <w:bookmarkStart w:id="6" w:name="_Toc27716"/>
      <w:bookmarkStart w:id="7" w:name="_Toc24308"/>
      <w:bookmarkStart w:id="8" w:name="_Toc19650"/>
      <w:bookmarkStart w:id="9" w:name="_Toc15118"/>
      <w:bookmarkStart w:id="10" w:name="_Toc120201431"/>
      <w:bookmarkStart w:id="11" w:name="_Toc119889827"/>
      <w:bookmarkStart w:id="12" w:name="_Toc324771465"/>
      <w:bookmarkStart w:id="13" w:name="_Toc21652"/>
      <w:bookmarkStart w:id="14" w:name="_Toc27549"/>
      <w:bookmarkStart w:id="15" w:name="_Toc32147"/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Hans"/>
        </w:rPr>
        <w:t>（一）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Hans"/>
        </w:rPr>
        <w:t>部门概况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eastAsia="仿宋_GB2312"/>
          <w:lang w:eastAsia="zh-CN"/>
        </w:rPr>
      </w:pP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  <w:lang w:val="en-US" w:eastAsia="zh-CN"/>
        </w:rPr>
        <w:t>区城管局</w:t>
      </w: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  <w:lang w:eastAsia="zh-Hans"/>
        </w:rPr>
        <w:t>作为区政府工作部门，统一落实区委区政府对城市管理和综合执法工作的要求，负责盐田区园林绿化、市容管理、环境卫生、城市照明、数字化城管、城市管理综合执法等工作。根据《深圳市盐田区城市管理和综合执法局职能配置、内设机构和人员编制规定</w:t>
      </w: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  <w:lang w:eastAsia="zh-CN"/>
        </w:rPr>
        <w:t>》，</w:t>
      </w: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  <w:lang w:eastAsia="zh-Hans"/>
        </w:rPr>
        <w:t>区城管局内设8个科室，分别为办公室、市容科、环卫科、法制科、考核办、执法监察科、园林绿化管理中心、区生活垃圾减量分类管理中心；下属2个事业单位，分别为盐田区公园管理中心、盐田区城市管理监督指挥中心</w:t>
      </w: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color w:val="000000"/>
          <w:szCs w:val="32"/>
        </w:rPr>
      </w:pPr>
      <w:bookmarkStart w:id="16" w:name="_Toc31234"/>
      <w:bookmarkStart w:id="17" w:name="_Toc13211"/>
      <w:bookmarkStart w:id="18" w:name="_Toc17885"/>
      <w:bookmarkStart w:id="19" w:name="_Toc16766"/>
      <w:bookmarkStart w:id="20" w:name="_Toc5588"/>
      <w:bookmarkStart w:id="21" w:name="_Toc19431"/>
      <w:bookmarkStart w:id="22" w:name="_Toc28963"/>
      <w:bookmarkStart w:id="23" w:name="_Toc16304"/>
      <w:bookmarkStart w:id="24" w:name="_Toc30794"/>
      <w:bookmarkStart w:id="25" w:name="_Toc10997"/>
      <w:bookmarkStart w:id="26" w:name="_Toc1181"/>
      <w:bookmarkStart w:id="27" w:name="_Toc120201432"/>
      <w:bookmarkStart w:id="28" w:name="_Toc1678065228"/>
      <w:bookmarkStart w:id="29" w:name="_Toc119889828"/>
      <w:bookmarkStart w:id="30" w:name="_Toc1933236316"/>
      <w:bookmarkStart w:id="31" w:name="_Toc116569025"/>
      <w:r>
        <w:rPr>
          <w:rFonts w:hint="eastAsia" w:ascii="Times New Roman" w:hAnsi="Times New Roman" w:eastAsia="楷体_GB2312" w:cs="楷体_GB2312"/>
          <w:color w:val="000000"/>
          <w:szCs w:val="32"/>
        </w:rPr>
        <w:t>（二）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r>
        <w:rPr>
          <w:rFonts w:hint="eastAsia" w:ascii="Times New Roman" w:hAnsi="Times New Roman" w:eastAsia="楷体_GB2312" w:cs="楷体_GB2312"/>
          <w:color w:val="000000"/>
          <w:szCs w:val="32"/>
        </w:rPr>
        <w:t>部门年度重点工作任务</w:t>
      </w:r>
      <w:bookmarkEnd w:id="27"/>
      <w:bookmarkEnd w:id="28"/>
      <w:bookmarkEnd w:id="29"/>
      <w:bookmarkEnd w:id="30"/>
      <w:bookmarkEnd w:id="3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</w:rPr>
      </w:pP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  <w:lang w:eastAsia="zh-Hans"/>
        </w:rPr>
        <w:t>2022年，区城管局年度总体目标为：全力推进绿化品质提升三年行动，打造高品质公园之城；全面加强全域绿化精细化管养，推动盐田实现品质“大变样”；持续深化垃圾分类“盐田经验”，打造生活垃圾减量分类先行示范标杆；全面开展城区环境卫生治理工作，打造“全市最干净城区”标杆；持续推进“厕所革命”，打造全国一流公厕；科技赋能，打造全国“智慧城管”建设标杆；精雕细琢，打造知名宜居宜业宜游特色街区；加强“五化”建设，街道执法工作进入全市前列；优化审批作业，服务发展大局；突出党建引领，持续加强队伍建设；坚决守牢安全底线，毫不放松抓紧抓实疫情防控和安全生产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color w:val="000000"/>
          <w:szCs w:val="32"/>
        </w:rPr>
      </w:pPr>
      <w:bookmarkStart w:id="32" w:name="_Toc968682536"/>
      <w:bookmarkStart w:id="33" w:name="_Toc120201434"/>
      <w:bookmarkStart w:id="34" w:name="_Toc119889830"/>
      <w:bookmarkStart w:id="35" w:name="_Toc1267880520"/>
      <w:bookmarkStart w:id="36" w:name="_Toc116569027"/>
      <w:r>
        <w:rPr>
          <w:rFonts w:hint="eastAsia" w:ascii="Times New Roman" w:hAnsi="Times New Roman" w:eastAsia="楷体_GB2312" w:cs="楷体_GB2312"/>
          <w:color w:val="000000"/>
          <w:szCs w:val="32"/>
        </w:rPr>
        <w:t>（</w:t>
      </w:r>
      <w:r>
        <w:rPr>
          <w:rFonts w:hint="eastAsia" w:ascii="Times New Roman" w:hAnsi="Times New Roman" w:eastAsia="楷体_GB2312" w:cs="楷体_GB2312"/>
          <w:color w:val="000000"/>
          <w:szCs w:val="32"/>
          <w:lang w:eastAsia="zh-Hans"/>
        </w:rPr>
        <w:t>三</w:t>
      </w:r>
      <w:r>
        <w:rPr>
          <w:rFonts w:hint="eastAsia" w:ascii="Times New Roman" w:hAnsi="Times New Roman" w:eastAsia="楷体_GB2312" w:cs="楷体_GB2312"/>
          <w:color w:val="000000"/>
          <w:szCs w:val="32"/>
        </w:rPr>
        <w:t>）部门年度预算安排及执行情况</w:t>
      </w:r>
      <w:bookmarkEnd w:id="32"/>
      <w:bookmarkEnd w:id="33"/>
      <w:bookmarkEnd w:id="34"/>
      <w:bookmarkEnd w:id="35"/>
      <w:bookmarkEnd w:id="3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</w:rPr>
      </w:pP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</w:rPr>
        <w:t>2022年，区</w:t>
      </w: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  <w:lang w:val="en-US" w:eastAsia="zh-CN"/>
        </w:rPr>
        <w:t>城管局</w:t>
      </w: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</w:rPr>
        <w:t>预算</w:t>
      </w: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  <w:lang w:val="en-US" w:eastAsia="zh-CN"/>
        </w:rPr>
        <w:t>安排</w:t>
      </w: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</w:rPr>
        <w:t>31,814.45万元，调整后总规模为28,125.01万元</w:t>
      </w: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  <w:lang w:eastAsia="zh-Hans"/>
        </w:rPr>
        <w:t>，</w:t>
      </w: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</w:rPr>
        <w:t>实际支出27,521.12万元，年度预算执行率为97.85%</w:t>
      </w: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  <w:lang w:eastAsia="zh-Hans"/>
        </w:rPr>
        <w:t>。年中</w:t>
      </w: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</w:rPr>
        <w:t>预算调</w:t>
      </w: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  <w:lang w:val="en-US" w:eastAsia="zh-CN"/>
        </w:rPr>
        <w:t>减</w:t>
      </w: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</w:rPr>
        <w:t>3,689.44万元。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37" w:name="_Toc119889834"/>
      <w:bookmarkStart w:id="38" w:name="_Toc1361792734"/>
      <w:bookmarkStart w:id="39" w:name="_Toc4418"/>
      <w:bookmarkStart w:id="40" w:name="_Toc11970"/>
      <w:bookmarkStart w:id="41" w:name="_Toc116569032"/>
      <w:bookmarkStart w:id="42" w:name="_Toc27713"/>
      <w:bookmarkStart w:id="43" w:name="_Toc1407571569"/>
      <w:bookmarkStart w:id="44" w:name="_Toc120201438"/>
      <w:bookmarkStart w:id="45" w:name="_Toc25163"/>
      <w:bookmarkStart w:id="46" w:name="_Toc13064"/>
      <w:bookmarkStart w:id="47" w:name="_Toc11294"/>
      <w:bookmarkStart w:id="48" w:name="_Toc30126"/>
      <w:bookmarkStart w:id="49" w:name="_Toc9909_WPSOffice_Level1"/>
      <w:bookmarkStart w:id="50" w:name="_Toc26543"/>
      <w:bookmarkStart w:id="51" w:name="_Toc26449"/>
      <w:bookmarkStart w:id="52" w:name="_Toc10814"/>
      <w:bookmarkStart w:id="53" w:name="_Toc25425"/>
      <w:r>
        <w:rPr>
          <w:rFonts w:hint="eastAsia" w:ascii="黑体" w:hAnsi="黑体" w:eastAsia="黑体" w:cs="黑体"/>
          <w:sz w:val="32"/>
          <w:szCs w:val="32"/>
          <w:lang w:eastAsia="zh-Hans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部门整体绩效评价结果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</w:rPr>
      </w:pP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  <w:lang w:eastAsia="zh-Hans"/>
        </w:rPr>
        <w:t>根据相关政策</w:t>
      </w: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  <w:lang w:val="en-US" w:eastAsia="zh-CN"/>
        </w:rPr>
        <w:t>及</w:t>
      </w: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  <w:lang w:eastAsia="zh-Hans"/>
        </w:rPr>
        <w:t>制度，结合区城管局的部门</w:t>
      </w: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  <w:lang w:val="en-US" w:eastAsia="zh-CN"/>
        </w:rPr>
        <w:t>职责</w:t>
      </w: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  <w:lang w:eastAsia="zh-Hans"/>
        </w:rPr>
        <w:t>和项目实施情况</w:t>
      </w: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  <w:lang w:val="en-US" w:eastAsia="zh-CN"/>
        </w:rPr>
        <w:t>统筹考虑</w:t>
      </w: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  <w:lang w:eastAsia="zh-Hans"/>
        </w:rPr>
        <w:t>财务、资产、人员、履职项目等情况，</w:t>
      </w: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  <w:lang w:val="en-US" w:eastAsia="zh-CN"/>
        </w:rPr>
        <w:t>关注资金投入高、关系民生项目，通过材料收集分析、现场核查、专家意见法，</w:t>
      </w: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</w:rPr>
        <w:t>并从“部门决策-部门管理-部门绩效”三个维度构建评价指标体系</w:t>
      </w: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  <w:lang w:val="en-US" w:eastAsia="zh-CN"/>
        </w:rPr>
        <w:t>综合</w:t>
      </w: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</w:rPr>
        <w:t>衡量</w:t>
      </w: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  <w:lang w:eastAsia="zh-Hans"/>
        </w:rPr>
        <w:t>区城管局</w:t>
      </w: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</w:rPr>
        <w:t>整体及核心业务实施效果</w:t>
      </w: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  <w:lang w:eastAsia="zh-CN"/>
        </w:rPr>
        <w:t>。</w:t>
      </w: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</w:rPr>
        <w:t>本次绩效评价评分结果为75</w:t>
      </w: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  <w:lang w:eastAsia="zh-Hans"/>
        </w:rPr>
        <w:t>.5</w:t>
      </w: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</w:rPr>
        <w:t>7分，绩效评级为“中”</w:t>
      </w: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54" w:name="_Toc22416"/>
      <w:bookmarkStart w:id="55" w:name="_Toc22523"/>
      <w:bookmarkStart w:id="56" w:name="_Toc28586"/>
      <w:bookmarkStart w:id="57" w:name="_Toc202"/>
      <w:bookmarkStart w:id="58" w:name="_Toc4708"/>
      <w:bookmarkStart w:id="59" w:name="_Toc15194"/>
      <w:bookmarkStart w:id="60" w:name="_Toc715"/>
      <w:bookmarkStart w:id="61" w:name="_Toc12169"/>
      <w:bookmarkStart w:id="62" w:name="_Toc17080_WPSOffice_Level1"/>
      <w:bookmarkStart w:id="63" w:name="_Toc31723"/>
      <w:bookmarkStart w:id="64" w:name="_Toc22514"/>
      <w:bookmarkStart w:id="65" w:name="_Toc24949"/>
      <w:bookmarkStart w:id="66" w:name="_Toc119889837"/>
      <w:bookmarkStart w:id="67" w:name="_Toc116569035"/>
      <w:bookmarkStart w:id="68" w:name="_Toc1153038043"/>
      <w:bookmarkStart w:id="69" w:name="_Toc1015161267"/>
      <w:bookmarkStart w:id="70" w:name="_Toc120201441"/>
      <w:r>
        <w:rPr>
          <w:rFonts w:hint="eastAsia" w:ascii="黑体" w:hAnsi="黑体" w:eastAsia="黑体" w:cs="黑体"/>
          <w:sz w:val="32"/>
          <w:szCs w:val="32"/>
          <w:lang w:eastAsia="zh-Hans"/>
        </w:rPr>
        <w:t>三、</w:t>
      </w:r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r>
        <w:rPr>
          <w:rFonts w:hint="eastAsia" w:ascii="黑体" w:hAnsi="黑体" w:eastAsia="黑体" w:cs="黑体"/>
          <w:sz w:val="32"/>
          <w:szCs w:val="32"/>
          <w:lang w:eastAsia="zh-Hans"/>
        </w:rPr>
        <w:t>主要成效和经验做法</w:t>
      </w:r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66"/>
      <w:bookmarkEnd w:id="67"/>
      <w:bookmarkEnd w:id="68"/>
      <w:bookmarkEnd w:id="69"/>
      <w:bookmarkEnd w:id="70"/>
      <w:bookmarkStart w:id="71" w:name="_Toc1604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  <w:lang w:val="en-US" w:eastAsia="zh-CN"/>
        </w:rPr>
      </w:pPr>
      <w:bookmarkStart w:id="72" w:name="_Toc119889838"/>
      <w:bookmarkStart w:id="73" w:name="_Toc217958173"/>
      <w:bookmarkStart w:id="74" w:name="_Toc116569036"/>
      <w:bookmarkStart w:id="75" w:name="_Toc316271184"/>
      <w:bookmarkStart w:id="76" w:name="_Toc120201442"/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  <w:lang w:eastAsia="zh-CN"/>
        </w:rPr>
        <w:t>评价认为资金</w:t>
      </w: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</w:rPr>
        <w:t>取得的主要成效</w:t>
      </w: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  <w:lang w:eastAsia="zh-CN"/>
        </w:rPr>
        <w:t>为：资金有效支持区</w:t>
      </w: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  <w:lang w:val="en-US" w:eastAsia="zh-CN"/>
        </w:rPr>
        <w:t>城管局</w:t>
      </w: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  <w:lang w:eastAsia="zh-CN"/>
        </w:rPr>
        <w:t>机构运转与日常履职，</w:t>
      </w: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  <w:lang w:eastAsia="zh-Hans"/>
        </w:rPr>
        <w:t>在环境卫生、园林绿化、市容市貌、数字化城管建设等方面，取得</w:t>
      </w:r>
      <w:r>
        <w:rPr>
          <w:rFonts w:hint="eastAsia" w:ascii="Times New Roman Regular" w:hAnsi="Times New Roman Regular" w:cs="Times New Roman Regular"/>
          <w:color w:val="000000"/>
          <w:sz w:val="32"/>
          <w:szCs w:val="32"/>
          <w:lang w:eastAsia="zh-CN"/>
        </w:rPr>
        <w:t>良好</w:t>
      </w: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  <w:lang w:eastAsia="zh-Hans"/>
        </w:rPr>
        <w:t>工作成绩</w:t>
      </w: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  <w:lang w:eastAsia="zh-CN"/>
        </w:rPr>
        <w:t>。</w:t>
      </w: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  <w:lang w:val="en-US" w:eastAsia="zh-CN"/>
        </w:rPr>
        <w:t>一是</w:t>
      </w: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  <w:lang w:eastAsia="zh-Hans"/>
        </w:rPr>
        <w:t>推进生活垃圾清运工作</w:t>
      </w:r>
      <w:r>
        <w:rPr>
          <w:rFonts w:hint="default" w:ascii="Times New Roman Regular" w:hAnsi="Times New Roman Regular" w:eastAsia="仿宋_GB2312" w:cs="Times New Roman Regular"/>
          <w:color w:val="000000"/>
          <w:sz w:val="32"/>
          <w:szCs w:val="32"/>
          <w:lang w:eastAsia="zh-Hans"/>
        </w:rPr>
        <w:t>，</w:t>
      </w: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  <w:lang w:eastAsia="zh-Hans"/>
        </w:rPr>
        <w:t>提升垃圾回收及处理能力</w:t>
      </w: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  <w:lang w:eastAsia="zh-CN"/>
        </w:rPr>
        <w:t>。</w:t>
      </w: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  <w:lang w:val="en-US" w:eastAsia="zh-CN"/>
        </w:rPr>
        <w:t>二是</w:t>
      </w: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  <w:lang w:eastAsia="zh-CN"/>
        </w:rPr>
        <w:t>山海连城计划逐步落实</w:t>
      </w:r>
      <w:r>
        <w:rPr>
          <w:rFonts w:hint="default" w:ascii="Times New Roman Regular" w:hAnsi="Times New Roman Regular" w:eastAsia="仿宋_GB2312" w:cs="Times New Roman Regular"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  <w:lang w:eastAsia="zh-Hans"/>
        </w:rPr>
        <w:t>自然风景</w:t>
      </w: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  <w:lang w:eastAsia="zh-CN"/>
        </w:rPr>
        <w:t>建设成效显著。</w:t>
      </w: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  <w:lang w:val="en-US" w:eastAsia="zh-CN"/>
        </w:rPr>
        <w:t>三是</w:t>
      </w: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  <w:lang w:eastAsia="zh-Hans"/>
        </w:rPr>
        <w:t>建设盐田特色美好街区，提升盐田辖区市容品质</w:t>
      </w: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  <w:lang w:eastAsia="zh-CN"/>
        </w:rPr>
        <w:t>。</w:t>
      </w: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  <w:lang w:val="en-US" w:eastAsia="zh-CN"/>
        </w:rPr>
        <w:t>四是</w:t>
      </w: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  <w:lang w:eastAsia="zh-Hans"/>
        </w:rPr>
        <w:t>建设智慧</w:t>
      </w: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  <w:lang w:eastAsia="zh-CN"/>
        </w:rPr>
        <w:t>数字城管</w:t>
      </w: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  <w:lang w:eastAsia="zh-Hans"/>
        </w:rPr>
        <w:t>系统</w:t>
      </w: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  <w:lang w:eastAsia="zh-Hans"/>
        </w:rPr>
        <w:t>高效执法保障城市秩序</w:t>
      </w: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  <w:lang w:eastAsia="zh-CN"/>
        </w:rPr>
        <w:t>。</w:t>
      </w:r>
    </w:p>
    <w:bookmarkEnd w:id="71"/>
    <w:bookmarkEnd w:id="72"/>
    <w:bookmarkEnd w:id="73"/>
    <w:bookmarkEnd w:id="74"/>
    <w:bookmarkEnd w:id="75"/>
    <w:bookmarkEnd w:id="76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Hans"/>
        </w:rPr>
      </w:pPr>
      <w:bookmarkStart w:id="77" w:name="_Toc1504556359"/>
      <w:bookmarkStart w:id="78" w:name="_Toc10081"/>
      <w:bookmarkStart w:id="79" w:name="_Toc120201447"/>
      <w:bookmarkStart w:id="80" w:name="_Toc30031"/>
      <w:bookmarkStart w:id="81" w:name="_Toc116569041"/>
      <w:bookmarkStart w:id="82" w:name="_Toc27983"/>
      <w:bookmarkStart w:id="83" w:name="_Toc119889843"/>
      <w:bookmarkStart w:id="84" w:name="_Toc14707"/>
      <w:bookmarkStart w:id="85" w:name="_Toc2113228772"/>
      <w:bookmarkStart w:id="86" w:name="_Toc7890"/>
      <w:bookmarkStart w:id="87" w:name="_Toc28556"/>
      <w:r>
        <w:rPr>
          <w:rFonts w:hint="eastAsia" w:ascii="黑体" w:hAnsi="黑体" w:eastAsia="黑体" w:cs="黑体"/>
          <w:sz w:val="32"/>
          <w:szCs w:val="32"/>
          <w:lang w:eastAsia="zh-Hans"/>
        </w:rPr>
        <w:t>四、存在的</w:t>
      </w:r>
      <w:r>
        <w:rPr>
          <w:rFonts w:hint="eastAsia" w:ascii="黑体" w:hAnsi="黑体" w:eastAsia="黑体" w:cs="黑体"/>
          <w:sz w:val="32"/>
          <w:szCs w:val="32"/>
          <w:lang w:val="en-US" w:eastAsia="zh-Hans"/>
        </w:rPr>
        <w:t>主要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问题</w:t>
      </w:r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Start w:id="88" w:name="_Toc18874"/>
      <w:bookmarkStart w:id="89" w:name="_Toc109312236"/>
      <w:bookmarkStart w:id="90" w:name="_Toc31638"/>
      <w:bookmarkStart w:id="91" w:name="_Toc119"/>
      <w:bookmarkStart w:id="92" w:name="_Toc26374"/>
      <w:bookmarkStart w:id="93" w:name="_Toc13665"/>
      <w:bookmarkStart w:id="94" w:name="_Toc9811"/>
      <w:bookmarkStart w:id="95" w:name="_Toc7718"/>
      <w:bookmarkStart w:id="96" w:name="_Toc3726"/>
      <w:bookmarkStart w:id="97" w:name="_Toc776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  <w:lang w:eastAsia="zh-CN"/>
        </w:rPr>
      </w:pPr>
      <w:bookmarkStart w:id="98" w:name="_Toc120201448"/>
      <w:bookmarkStart w:id="99" w:name="_Toc458782288"/>
      <w:bookmarkStart w:id="100" w:name="_Toc116569043"/>
      <w:bookmarkStart w:id="101" w:name="_Toc119889844"/>
      <w:bookmarkStart w:id="102" w:name="_Toc851417981"/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  <w:lang w:eastAsia="zh-CN"/>
        </w:rPr>
        <w:t>评价发现</w:t>
      </w: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</w:rPr>
        <w:t>的问题</w:t>
      </w: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  <w:lang w:eastAsia="zh-CN"/>
        </w:rPr>
        <w:t>主要为：一是预算管理环节较为薄弱，财政资金投入规模待控制。</w:t>
      </w: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  <w:lang w:val="en-US" w:eastAsia="zh-CN"/>
        </w:rPr>
        <w:t>如经费申报内容及测算标准缺乏测算明细及测算数据、预算调整调剂较为频繁。二是环卫综合治理机制不全，环境卫生管理效能受影响。如垃圾分类投放监督管理</w:t>
      </w:r>
      <w:r>
        <w:rPr>
          <w:rFonts w:hint="eastAsia" w:ascii="Times New Roman Regular" w:hAnsi="Times New Roman Regular" w:cs="Times New Roman Regular"/>
          <w:color w:val="000000"/>
          <w:sz w:val="32"/>
          <w:szCs w:val="32"/>
          <w:lang w:val="en-US" w:eastAsia="zh-CN"/>
        </w:rPr>
        <w:t>力度</w:t>
      </w: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  <w:lang w:val="en-US" w:eastAsia="zh-CN"/>
        </w:rPr>
        <w:t>不足。三是园林绿化管理较为粗放，绿化品质存优化提升空间。如</w:t>
      </w: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</w:rPr>
        <w:t>社区公园和自然公园绿化管养定级较随意、管养面积测算不准确</w:t>
      </w: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  <w:lang w:eastAsia="zh-CN"/>
        </w:rPr>
        <w:t>。</w:t>
      </w: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  <w:lang w:val="en-US" w:eastAsia="zh-CN"/>
        </w:rPr>
        <w:t>四是市容治理效果有待巩固，协同及监管机制不够完善。如</w:t>
      </w: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</w:rPr>
        <w:t>“乱张贴、乱堆放、乱摆卖”等</w:t>
      </w: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  <w:lang w:val="en-US" w:eastAsia="zh-CN"/>
        </w:rPr>
        <w:t>现</w:t>
      </w: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</w:rPr>
        <w:t>象依然频发</w:t>
      </w: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  <w:lang w:eastAsia="zh-CN"/>
        </w:rPr>
        <w:t>。</w:t>
      </w: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  <w:lang w:val="en-US" w:eastAsia="zh-CN"/>
        </w:rPr>
        <w:t>五是系统使用程度未达要求，信息化管理水平有待提升。如督办案件系统处理不及时，管养数据未同步上传系统，信息化系统模块闲置。六是资产安全性问题有待重视。如</w:t>
      </w: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</w:rPr>
        <w:t>未及时办理资产</w:t>
      </w: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  <w:lang w:eastAsia="zh-CN"/>
        </w:rPr>
        <w:t>处置</w:t>
      </w: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</w:rPr>
        <w:t>手续</w:t>
      </w: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  <w:lang w:eastAsia="zh-CN"/>
        </w:rPr>
        <w:t>。</w:t>
      </w: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  <w:lang w:val="en-US" w:eastAsia="zh-CN"/>
        </w:rPr>
        <w:t>七是预算绩效</w:t>
      </w:r>
      <w:r>
        <w:rPr>
          <w:rFonts w:hint="eastAsia" w:ascii="Times New Roman Regular" w:hAnsi="Times New Roman Regular" w:cs="Times New Roman Regular"/>
          <w:color w:val="000000"/>
          <w:sz w:val="32"/>
          <w:szCs w:val="32"/>
          <w:lang w:val="en-US" w:eastAsia="zh-CN"/>
        </w:rPr>
        <w:t>管理</w:t>
      </w: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  <w:lang w:val="en-US" w:eastAsia="zh-CN"/>
        </w:rPr>
        <w:t>成果质量欠佳，绩效管理意识待提升。</w:t>
      </w:r>
    </w:p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103" w:name="_Toc119889850"/>
      <w:bookmarkStart w:id="104" w:name="_Toc23607"/>
      <w:bookmarkStart w:id="105" w:name="_Toc120201454"/>
      <w:bookmarkStart w:id="106" w:name="_Toc116569048"/>
      <w:bookmarkStart w:id="107" w:name="_Toc1035558724"/>
      <w:bookmarkStart w:id="108" w:name="_Toc23073"/>
      <w:bookmarkStart w:id="109" w:name="_Toc16261"/>
      <w:bookmarkStart w:id="110" w:name="_Toc20045"/>
      <w:bookmarkStart w:id="111" w:name="_Toc7997"/>
      <w:bookmarkStart w:id="112" w:name="_Toc26721"/>
      <w:bookmarkStart w:id="113" w:name="_Toc907372796"/>
      <w:bookmarkStart w:id="114" w:name="_Toc18955"/>
      <w:bookmarkStart w:id="115" w:name="_Toc23131"/>
      <w:bookmarkStart w:id="116" w:name="_Toc32182"/>
      <w:bookmarkStart w:id="117" w:name="_Toc20486"/>
      <w:bookmarkStart w:id="118" w:name="_Toc26746_WPSOffice_Level1"/>
      <w:bookmarkStart w:id="119" w:name="_Toc30711"/>
      <w:r>
        <w:rPr>
          <w:rFonts w:hint="eastAsia" w:ascii="黑体" w:hAnsi="黑体" w:eastAsia="黑体" w:cs="黑体"/>
          <w:sz w:val="32"/>
          <w:szCs w:val="32"/>
          <w:lang w:eastAsia="zh-Hans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、相关建议</w:t>
      </w:r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  <w:lang w:val="en-US" w:eastAsia="zh-CN"/>
        </w:rPr>
      </w:pP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  <w:lang w:eastAsia="zh-CN"/>
        </w:rPr>
        <w:t>提出的</w:t>
      </w: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</w:rPr>
        <w:t>相关建议</w:t>
      </w: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  <w:lang w:eastAsia="zh-CN"/>
        </w:rPr>
        <w:t>为：一是编实编细部门年度预算，重点关注执行偏低资金。</w:t>
      </w: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  <w:lang w:val="en-US" w:eastAsia="zh-CN"/>
        </w:rPr>
        <w:t>二是全面强化环卫管理手段，提升环卫综合治理效能。三是多措并举推进绿化管理，助力园林绿化精细发展。四是优化综合执法考核机制，多维联动解决顽瘴痼疾。五是加强系统培训与管理能力，提高信息化系统运用水平。六是盘活盐田公共绿地资产，优化完善资产管理机制。七是提高预算绩效管理意识，充分应用绩效考核结果</w:t>
      </w:r>
      <w:r>
        <w:rPr>
          <w:rFonts w:hint="eastAsia" w:ascii="Times New Roman Regular" w:hAnsi="Times New Roman Regular" w:cs="Times New Roman Regular"/>
          <w:color w:val="000000"/>
          <w:sz w:val="32"/>
          <w:szCs w:val="32"/>
          <w:lang w:val="en-US" w:eastAsia="zh-CN"/>
        </w:rPr>
        <w:t>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Times New Roman Regular">
    <w:altName w:val="Nimbus Roman No9 L"/>
    <w:panose1 w:val="00000000000000000000"/>
    <w:charset w:val="00"/>
    <w:family w:val="auto"/>
    <w:pitch w:val="default"/>
    <w:sig w:usb0="00000000" w:usb1="00000000" w:usb2="00000001" w:usb3="00000000" w:csb0="400001BF" w:csb1="DFF7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5YjhlYTU1OTdiYWIyOTdhZDNlZjk4YWY1NGY4MGUifQ=="/>
  </w:docVars>
  <w:rsids>
    <w:rsidRoot w:val="3CE41771"/>
    <w:rsid w:val="02C7081A"/>
    <w:rsid w:val="3CE41771"/>
    <w:rsid w:val="3D673DEF"/>
    <w:rsid w:val="575FC0ED"/>
    <w:rsid w:val="60B371C8"/>
    <w:rsid w:val="75DB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仿宋_GB2312" w:cs="等线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2023-11-30T16:13:00Z</dcterms:created>
  <dc:creator>玄</dc:creator>
  <cp:lastModifiedBy>yt</cp:lastModifiedBy>
  <dcterms:modified xsi:type="dcterms:W3CDTF">2023-11-30T16:47:45Z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C47C6DF70F10464182787AF0007355F7_11</vt:lpwstr>
  </property>
</Properties>
</file>