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line="560" w:lineRule="exact"/>
        <w:outlineLvl w:val="0"/>
        <w:rPr>
          <w:rFonts w:ascii="黑体" w:hAnsi="黑体" w:eastAsia="黑体"/>
        </w:rPr>
      </w:pPr>
      <w:bookmarkStart w:id="0" w:name="_Toc70532441"/>
      <w:bookmarkStart w:id="1" w:name="_Toc17712"/>
      <w:r>
        <w:rPr>
          <w:rFonts w:hint="eastAsia" w:ascii="黑体" w:hAnsi="黑体" w:eastAsia="黑体"/>
        </w:rPr>
        <w:t>附件</w:t>
      </w:r>
      <w:bookmarkEnd w:id="0"/>
      <w:bookmarkEnd w:id="1"/>
    </w:p>
    <w:p>
      <w:pPr>
        <w:tabs>
          <w:tab w:val="left" w:pos="360"/>
          <w:tab w:val="left" w:pos="540"/>
          <w:tab w:val="left" w:pos="8100"/>
          <w:tab w:val="left" w:pos="8460"/>
        </w:tabs>
        <w:spacing w:line="540" w:lineRule="exact"/>
        <w:rPr>
          <w:rFonts w:ascii="黑体" w:hAnsi="宋体" w:eastAsia="黑体"/>
        </w:rPr>
      </w:pPr>
    </w:p>
    <w:p>
      <w:pPr>
        <w:spacing w:line="540" w:lineRule="exact"/>
        <w:rPr>
          <w:rFonts w:ascii="黑体" w:hAnsi="宋体" w:eastAsia="黑体"/>
        </w:rPr>
      </w:pPr>
    </w:p>
    <w:p>
      <w:pPr>
        <w:widowControl w:val="0"/>
        <w:adjustRightInd w:val="0"/>
        <w:snapToGrid w:val="0"/>
        <w:spacing w:line="560" w:lineRule="exact"/>
        <w:ind w:firstLine="640"/>
        <w:jc w:val="left"/>
      </w:pPr>
    </w:p>
    <w:p>
      <w:pPr>
        <w:widowControl w:val="0"/>
        <w:adjustRightInd w:val="0"/>
        <w:snapToGrid w:val="0"/>
        <w:spacing w:line="560" w:lineRule="exact"/>
        <w:ind w:firstLine="640"/>
        <w:jc w:val="left"/>
      </w:pPr>
    </w:p>
    <w:p>
      <w:pPr>
        <w:widowControl w:val="0"/>
        <w:adjustRightInd w:val="0"/>
        <w:snapToGrid w:val="0"/>
        <w:spacing w:line="560" w:lineRule="exact"/>
        <w:ind w:firstLine="720"/>
        <w:rPr>
          <w:sz w:val="36"/>
          <w:szCs w:val="36"/>
        </w:rPr>
      </w:pPr>
    </w:p>
    <w:p>
      <w:pPr>
        <w:widowControl w:val="0"/>
        <w:adjustRightInd w:val="0"/>
        <w:snapToGrid w:val="0"/>
        <w:spacing w:line="560" w:lineRule="exact"/>
        <w:jc w:val="center"/>
      </w:pPr>
    </w:p>
    <w:p>
      <w:pPr>
        <w:widowControl w:val="0"/>
        <w:adjustRightInd w:val="0"/>
        <w:snapToGrid w:val="0"/>
        <w:spacing w:line="560" w:lineRule="exact"/>
        <w:jc w:val="center"/>
        <w:rPr>
          <w:rFonts w:eastAsia="方正小标宋简体"/>
          <w:sz w:val="44"/>
          <w:szCs w:val="44"/>
        </w:rPr>
      </w:pPr>
      <w:r>
        <w:rPr>
          <w:rFonts w:eastAsia="方正小标宋简体"/>
          <w:sz w:val="44"/>
          <w:szCs w:val="44"/>
        </w:rPr>
        <w:t>深圳市自然灾害救助应急预案</w:t>
      </w:r>
    </w:p>
    <w:p>
      <w:pPr>
        <w:widowControl w:val="0"/>
        <w:adjustRightInd w:val="0"/>
        <w:snapToGrid w:val="0"/>
        <w:spacing w:line="560" w:lineRule="exact"/>
        <w:jc w:val="center"/>
        <w:rPr>
          <w:rFonts w:eastAsia="方正小标宋简体"/>
          <w:sz w:val="44"/>
          <w:szCs w:val="44"/>
        </w:rPr>
      </w:pPr>
      <w:r>
        <w:rPr>
          <w:rFonts w:eastAsia="方正小标宋简体"/>
          <w:sz w:val="44"/>
          <w:szCs w:val="44"/>
        </w:rPr>
        <w:t>（202</w:t>
      </w:r>
      <w:r>
        <w:rPr>
          <w:rFonts w:hint="eastAsia" w:eastAsia="方正小标宋简体"/>
          <w:sz w:val="44"/>
          <w:szCs w:val="44"/>
          <w:lang w:val="en-US" w:eastAsia="zh-CN"/>
        </w:rPr>
        <w:t>4</w:t>
      </w:r>
      <w:r>
        <w:rPr>
          <w:rFonts w:eastAsia="方正小标宋简体"/>
          <w:sz w:val="44"/>
          <w:szCs w:val="44"/>
        </w:rPr>
        <w:t>年修订</w:t>
      </w:r>
      <w:r>
        <w:rPr>
          <w:rFonts w:hint="eastAsia" w:eastAsia="方正小标宋简体"/>
          <w:sz w:val="44"/>
          <w:szCs w:val="44"/>
          <w:lang w:eastAsia="zh-CN"/>
        </w:rPr>
        <w:t>版</w:t>
      </w:r>
      <w:bookmarkStart w:id="197" w:name="_GoBack"/>
      <w:bookmarkEnd w:id="197"/>
      <w:r>
        <w:rPr>
          <w:rFonts w:eastAsia="方正小标宋简体"/>
          <w:sz w:val="44"/>
          <w:szCs w:val="44"/>
        </w:rPr>
        <w:t>）</w:t>
      </w:r>
    </w:p>
    <w:p>
      <w:pPr>
        <w:widowControl w:val="0"/>
        <w:adjustRightInd w:val="0"/>
        <w:snapToGrid w:val="0"/>
        <w:spacing w:line="560" w:lineRule="exact"/>
      </w:pPr>
    </w:p>
    <w:p>
      <w:pPr>
        <w:widowControl w:val="0"/>
        <w:adjustRightInd w:val="0"/>
        <w:snapToGrid w:val="0"/>
        <w:spacing w:line="560" w:lineRule="exact"/>
      </w:pPr>
    </w:p>
    <w:p>
      <w:pPr>
        <w:widowControl w:val="0"/>
        <w:adjustRightInd w:val="0"/>
        <w:snapToGrid w:val="0"/>
        <w:spacing w:line="560" w:lineRule="exact"/>
      </w:pPr>
    </w:p>
    <w:p>
      <w:pPr>
        <w:widowControl w:val="0"/>
        <w:adjustRightInd w:val="0"/>
        <w:snapToGrid w:val="0"/>
        <w:spacing w:line="560" w:lineRule="exact"/>
      </w:pPr>
    </w:p>
    <w:p>
      <w:pPr>
        <w:widowControl w:val="0"/>
        <w:adjustRightInd w:val="0"/>
        <w:snapToGrid w:val="0"/>
        <w:spacing w:line="560" w:lineRule="exact"/>
      </w:pPr>
    </w:p>
    <w:p>
      <w:pPr>
        <w:widowControl w:val="0"/>
        <w:adjustRightInd w:val="0"/>
        <w:snapToGrid w:val="0"/>
        <w:spacing w:line="560" w:lineRule="exact"/>
      </w:pPr>
    </w:p>
    <w:p>
      <w:pPr>
        <w:widowControl w:val="0"/>
        <w:adjustRightInd w:val="0"/>
        <w:snapToGrid w:val="0"/>
        <w:spacing w:line="560" w:lineRule="exact"/>
      </w:pPr>
    </w:p>
    <w:p>
      <w:pPr>
        <w:widowControl w:val="0"/>
        <w:adjustRightInd w:val="0"/>
        <w:snapToGrid w:val="0"/>
        <w:spacing w:line="560" w:lineRule="exact"/>
      </w:pPr>
    </w:p>
    <w:p>
      <w:pPr>
        <w:widowControl w:val="0"/>
        <w:adjustRightInd w:val="0"/>
        <w:snapToGrid w:val="0"/>
        <w:spacing w:line="560" w:lineRule="exact"/>
      </w:pPr>
    </w:p>
    <w:p>
      <w:pPr>
        <w:widowControl w:val="0"/>
        <w:adjustRightInd w:val="0"/>
        <w:snapToGrid w:val="0"/>
        <w:spacing w:line="560" w:lineRule="exact"/>
      </w:pPr>
    </w:p>
    <w:p>
      <w:pPr>
        <w:widowControl w:val="0"/>
        <w:adjustRightInd w:val="0"/>
        <w:snapToGrid w:val="0"/>
        <w:spacing w:line="560" w:lineRule="exact"/>
      </w:pPr>
    </w:p>
    <w:p>
      <w:pPr>
        <w:widowControl w:val="0"/>
        <w:adjustRightInd w:val="0"/>
        <w:snapToGrid w:val="0"/>
        <w:spacing w:line="560" w:lineRule="exact"/>
      </w:pPr>
    </w:p>
    <w:p>
      <w:pPr>
        <w:widowControl w:val="0"/>
        <w:adjustRightInd w:val="0"/>
        <w:snapToGrid w:val="0"/>
        <w:spacing w:line="560" w:lineRule="exact"/>
        <w:jc w:val="center"/>
      </w:pPr>
    </w:p>
    <w:p>
      <w:pPr>
        <w:widowControl w:val="0"/>
        <w:adjustRightInd w:val="0"/>
        <w:snapToGrid w:val="0"/>
        <w:spacing w:line="560" w:lineRule="exact"/>
        <w:jc w:val="center"/>
      </w:pPr>
      <w:r>
        <w:t>深圳市</w:t>
      </w:r>
      <w:r>
        <w:rPr>
          <w:rFonts w:hint="eastAsia"/>
        </w:rPr>
        <w:t>减灾委员会</w:t>
      </w:r>
    </w:p>
    <w:p>
      <w:pPr>
        <w:widowControl w:val="0"/>
        <w:adjustRightInd w:val="0"/>
        <w:snapToGrid w:val="0"/>
        <w:spacing w:line="560" w:lineRule="exact"/>
        <w:jc w:val="center"/>
        <w:rPr>
          <w:rFonts w:ascii="仿宋_GB2312" w:cs="仿宋_GB2312"/>
        </w:rPr>
      </w:pPr>
      <w:r>
        <w:rPr>
          <w:rFonts w:ascii="仿宋_GB2312" w:cs="仿宋_GB2312"/>
        </w:rPr>
        <w:t>20</w:t>
      </w:r>
      <w:r>
        <w:rPr>
          <w:rFonts w:hint="eastAsia" w:ascii="仿宋_GB2312" w:cs="仿宋_GB2312"/>
        </w:rPr>
        <w:t>2</w:t>
      </w:r>
      <w:r>
        <w:rPr>
          <w:rFonts w:hint="default" w:ascii="仿宋_GB2312" w:cs="仿宋_GB2312"/>
          <w:lang w:val="en"/>
        </w:rPr>
        <w:t>4</w:t>
      </w:r>
      <w:r>
        <w:rPr>
          <w:rFonts w:hint="eastAsia" w:ascii="仿宋_GB2312" w:cs="仿宋_GB2312"/>
        </w:rPr>
        <w:t>年</w:t>
      </w:r>
      <w:r>
        <w:rPr>
          <w:rFonts w:hint="eastAsia" w:ascii="仿宋_GB2312" w:cs="仿宋_GB2312"/>
          <w:lang w:val="en-US" w:eastAsia="zh-CN"/>
        </w:rPr>
        <w:t>1</w:t>
      </w:r>
      <w:r>
        <w:rPr>
          <w:rFonts w:hint="eastAsia" w:ascii="仿宋_GB2312" w:cs="仿宋_GB2312"/>
        </w:rPr>
        <w:t>月</w:t>
      </w:r>
    </w:p>
    <w:p>
      <w:pPr>
        <w:pStyle w:val="21"/>
      </w:pPr>
    </w:p>
    <w:p>
      <w:pPr>
        <w:pStyle w:val="14"/>
      </w:pPr>
    </w:p>
    <w:p>
      <w:pPr>
        <w:pStyle w:val="31"/>
      </w:pPr>
      <w:r>
        <w:br w:type="page"/>
      </w:r>
    </w:p>
    <w:p>
      <w:pPr>
        <w:widowControl w:val="0"/>
        <w:adjustRightInd w:val="0"/>
        <w:snapToGrid w:val="0"/>
        <w:spacing w:line="560" w:lineRule="exact"/>
        <w:jc w:val="center"/>
        <w:rPr>
          <w:rFonts w:eastAsia="方正小标宋简体"/>
          <w:sz w:val="44"/>
          <w:szCs w:val="44"/>
        </w:rPr>
      </w:pPr>
      <w:r>
        <w:rPr>
          <w:rFonts w:hint="eastAsia" w:eastAsia="方正小标宋简体"/>
          <w:sz w:val="44"/>
          <w:szCs w:val="44"/>
        </w:rPr>
        <w:t>目 录</w:t>
      </w:r>
    </w:p>
    <w:p>
      <w:pPr>
        <w:pStyle w:val="27"/>
        <w:tabs>
          <w:tab w:val="right" w:leader="dot" w:pos="9977"/>
          <w:tab w:val="clear" w:pos="8845"/>
        </w:tabs>
      </w:pPr>
      <w:r>
        <w:rPr>
          <w:rFonts w:hint="eastAsia" w:ascii="仿宋_GB2312" w:eastAsia="仿宋_GB2312"/>
          <w:kern w:val="32"/>
          <w:sz w:val="28"/>
          <w:szCs w:val="28"/>
          <w:lang w:val="zh-CN"/>
        </w:rPr>
        <w:fldChar w:fldCharType="begin"/>
      </w:r>
      <w:r>
        <w:rPr>
          <w:rFonts w:hint="eastAsia" w:ascii="仿宋_GB2312" w:eastAsia="仿宋_GB2312"/>
          <w:kern w:val="32"/>
          <w:sz w:val="28"/>
          <w:szCs w:val="28"/>
          <w:lang w:val="zh-CN"/>
        </w:rPr>
        <w:instrText xml:space="preserve"> TOC \o "1-3" \h \z \u </w:instrText>
      </w:r>
      <w:r>
        <w:rPr>
          <w:rFonts w:hint="eastAsia" w:ascii="仿宋_GB2312" w:eastAsia="仿宋_GB2312"/>
          <w:kern w:val="32"/>
          <w:sz w:val="28"/>
          <w:szCs w:val="28"/>
          <w:lang w:val="zh-CN"/>
        </w:rPr>
        <w:fldChar w:fldCharType="separate"/>
      </w:r>
      <w:r>
        <w:fldChar w:fldCharType="begin"/>
      </w:r>
      <w:r>
        <w:instrText xml:space="preserve"> HYPERLINK \l "_Toc19600" </w:instrText>
      </w:r>
      <w:r>
        <w:fldChar w:fldCharType="separate"/>
      </w:r>
      <w:r>
        <w:rPr>
          <w:rFonts w:hint="eastAsia" w:eastAsia="方正小标宋简体"/>
          <w:szCs w:val="44"/>
        </w:rPr>
        <w:t>自然灾害救助应急响应工作流程图</w:t>
      </w:r>
      <w:r>
        <w:tab/>
      </w:r>
      <w:r>
        <w:fldChar w:fldCharType="begin"/>
      </w:r>
      <w:r>
        <w:instrText xml:space="preserve"> PAGEREF _Toc19600 \h </w:instrText>
      </w:r>
      <w:r>
        <w:fldChar w:fldCharType="separate"/>
      </w:r>
      <w:r>
        <w:t>1</w:t>
      </w:r>
      <w:r>
        <w:fldChar w:fldCharType="end"/>
      </w:r>
      <w:r>
        <w:fldChar w:fldCharType="end"/>
      </w:r>
    </w:p>
    <w:p>
      <w:pPr>
        <w:pStyle w:val="27"/>
        <w:tabs>
          <w:tab w:val="right" w:leader="dot" w:pos="9977"/>
          <w:tab w:val="clear" w:pos="8845"/>
        </w:tabs>
      </w:pPr>
      <w:r>
        <w:fldChar w:fldCharType="begin"/>
      </w:r>
      <w:r>
        <w:instrText xml:space="preserve"> HYPERLINK \l "_Toc32414" </w:instrText>
      </w:r>
      <w:r>
        <w:fldChar w:fldCharType="separate"/>
      </w:r>
      <w:r>
        <w:rPr>
          <w:rFonts w:hint="eastAsia" w:hAnsi="黑体" w:cs="黑体"/>
        </w:rPr>
        <w:t>1 总则</w:t>
      </w:r>
      <w:r>
        <w:tab/>
      </w:r>
      <w:r>
        <w:fldChar w:fldCharType="begin"/>
      </w:r>
      <w:r>
        <w:instrText xml:space="preserve"> PAGEREF _Toc32414 \h </w:instrText>
      </w:r>
      <w:r>
        <w:fldChar w:fldCharType="separate"/>
      </w:r>
      <w:r>
        <w:t>7</w:t>
      </w:r>
      <w:r>
        <w:fldChar w:fldCharType="end"/>
      </w:r>
      <w:r>
        <w:fldChar w:fldCharType="end"/>
      </w:r>
    </w:p>
    <w:p>
      <w:pPr>
        <w:pStyle w:val="29"/>
        <w:tabs>
          <w:tab w:val="right" w:leader="dot" w:pos="9977"/>
        </w:tabs>
        <w:ind w:left="632"/>
      </w:pPr>
      <w:r>
        <w:fldChar w:fldCharType="begin"/>
      </w:r>
      <w:r>
        <w:instrText xml:space="preserve"> HYPERLINK \l "_Toc25361" </w:instrText>
      </w:r>
      <w:r>
        <w:fldChar w:fldCharType="separate"/>
      </w:r>
      <w:r>
        <w:rPr>
          <w:rFonts w:hint="eastAsia" w:ascii="楷体_GB2312" w:hAnsi="楷体_GB2312" w:eastAsia="楷体_GB2312" w:cs="楷体_GB2312"/>
        </w:rPr>
        <w:t>1.1 编制目的</w:t>
      </w:r>
      <w:r>
        <w:tab/>
      </w:r>
      <w:r>
        <w:fldChar w:fldCharType="begin"/>
      </w:r>
      <w:r>
        <w:instrText xml:space="preserve"> PAGEREF _Toc25361 \h </w:instrText>
      </w:r>
      <w:r>
        <w:fldChar w:fldCharType="separate"/>
      </w:r>
      <w:r>
        <w:t>7</w:t>
      </w:r>
      <w:r>
        <w:fldChar w:fldCharType="end"/>
      </w:r>
      <w:r>
        <w:fldChar w:fldCharType="end"/>
      </w:r>
    </w:p>
    <w:p>
      <w:pPr>
        <w:pStyle w:val="29"/>
        <w:tabs>
          <w:tab w:val="right" w:leader="dot" w:pos="9977"/>
        </w:tabs>
        <w:ind w:left="632"/>
      </w:pPr>
      <w:r>
        <w:fldChar w:fldCharType="begin"/>
      </w:r>
      <w:r>
        <w:instrText xml:space="preserve"> HYPERLINK \l "_Toc30951" </w:instrText>
      </w:r>
      <w:r>
        <w:fldChar w:fldCharType="separate"/>
      </w:r>
      <w:r>
        <w:rPr>
          <w:rFonts w:hint="eastAsia" w:ascii="楷体_GB2312" w:hAnsi="楷体_GB2312" w:eastAsia="楷体_GB2312" w:cs="楷体_GB2312"/>
        </w:rPr>
        <w:t>1.2 编制依据</w:t>
      </w:r>
      <w:r>
        <w:tab/>
      </w:r>
      <w:r>
        <w:fldChar w:fldCharType="begin"/>
      </w:r>
      <w:r>
        <w:instrText xml:space="preserve"> PAGEREF _Toc30951 \h </w:instrText>
      </w:r>
      <w:r>
        <w:fldChar w:fldCharType="separate"/>
      </w:r>
      <w:r>
        <w:t>7</w:t>
      </w:r>
      <w:r>
        <w:fldChar w:fldCharType="end"/>
      </w:r>
      <w:r>
        <w:fldChar w:fldCharType="end"/>
      </w:r>
    </w:p>
    <w:p>
      <w:pPr>
        <w:pStyle w:val="29"/>
        <w:tabs>
          <w:tab w:val="right" w:leader="dot" w:pos="9977"/>
        </w:tabs>
        <w:ind w:left="632"/>
      </w:pPr>
      <w:r>
        <w:fldChar w:fldCharType="begin"/>
      </w:r>
      <w:r>
        <w:instrText xml:space="preserve"> HYPERLINK \l "_Toc6346" </w:instrText>
      </w:r>
      <w:r>
        <w:fldChar w:fldCharType="separate"/>
      </w:r>
      <w:r>
        <w:rPr>
          <w:rFonts w:hint="eastAsia" w:ascii="楷体_GB2312" w:hAnsi="楷体_GB2312" w:eastAsia="楷体_GB2312" w:cs="楷体_GB2312"/>
        </w:rPr>
        <w:t>1.3 适用范围</w:t>
      </w:r>
      <w:r>
        <w:tab/>
      </w:r>
      <w:r>
        <w:fldChar w:fldCharType="begin"/>
      </w:r>
      <w:r>
        <w:instrText xml:space="preserve"> PAGEREF _Toc6346 \h </w:instrText>
      </w:r>
      <w:r>
        <w:fldChar w:fldCharType="separate"/>
      </w:r>
      <w:r>
        <w:t>7</w:t>
      </w:r>
      <w:r>
        <w:fldChar w:fldCharType="end"/>
      </w:r>
      <w:r>
        <w:fldChar w:fldCharType="end"/>
      </w:r>
    </w:p>
    <w:p>
      <w:pPr>
        <w:pStyle w:val="29"/>
        <w:tabs>
          <w:tab w:val="right" w:leader="dot" w:pos="9977"/>
        </w:tabs>
        <w:ind w:left="632"/>
      </w:pPr>
      <w:r>
        <w:fldChar w:fldCharType="begin"/>
      </w:r>
      <w:r>
        <w:instrText xml:space="preserve"> HYPERLINK \l "_Toc21533" </w:instrText>
      </w:r>
      <w:r>
        <w:fldChar w:fldCharType="separate"/>
      </w:r>
      <w:r>
        <w:rPr>
          <w:rFonts w:hint="eastAsia" w:ascii="楷体_GB2312" w:hAnsi="楷体_GB2312" w:eastAsia="楷体_GB2312" w:cs="楷体_GB2312"/>
        </w:rPr>
        <w:t>1.4 工作原则</w:t>
      </w:r>
      <w:r>
        <w:tab/>
      </w:r>
      <w:r>
        <w:fldChar w:fldCharType="begin"/>
      </w:r>
      <w:r>
        <w:instrText xml:space="preserve"> PAGEREF _Toc21533 \h </w:instrText>
      </w:r>
      <w:r>
        <w:fldChar w:fldCharType="separate"/>
      </w:r>
      <w:r>
        <w:t>8</w:t>
      </w:r>
      <w:r>
        <w:fldChar w:fldCharType="end"/>
      </w:r>
      <w:r>
        <w:fldChar w:fldCharType="end"/>
      </w:r>
    </w:p>
    <w:p>
      <w:pPr>
        <w:pStyle w:val="27"/>
        <w:tabs>
          <w:tab w:val="right" w:leader="dot" w:pos="9977"/>
          <w:tab w:val="clear" w:pos="8845"/>
        </w:tabs>
      </w:pPr>
      <w:r>
        <w:fldChar w:fldCharType="begin"/>
      </w:r>
      <w:r>
        <w:instrText xml:space="preserve"> HYPERLINK \l "_Toc21402" </w:instrText>
      </w:r>
      <w:r>
        <w:fldChar w:fldCharType="separate"/>
      </w:r>
      <w:r>
        <w:rPr>
          <w:rFonts w:hint="eastAsia" w:hAnsi="黑体" w:cs="黑体"/>
        </w:rPr>
        <w:t>2 组织指挥体系</w:t>
      </w:r>
      <w:r>
        <w:tab/>
      </w:r>
      <w:r>
        <w:fldChar w:fldCharType="begin"/>
      </w:r>
      <w:r>
        <w:instrText xml:space="preserve"> PAGEREF _Toc21402 \h </w:instrText>
      </w:r>
      <w:r>
        <w:fldChar w:fldCharType="separate"/>
      </w:r>
      <w:r>
        <w:t>9</w:t>
      </w:r>
      <w:r>
        <w:fldChar w:fldCharType="end"/>
      </w:r>
      <w:r>
        <w:fldChar w:fldCharType="end"/>
      </w:r>
    </w:p>
    <w:p>
      <w:pPr>
        <w:pStyle w:val="29"/>
        <w:tabs>
          <w:tab w:val="right" w:leader="dot" w:pos="9977"/>
        </w:tabs>
        <w:ind w:left="632"/>
      </w:pPr>
      <w:r>
        <w:fldChar w:fldCharType="begin"/>
      </w:r>
      <w:r>
        <w:instrText xml:space="preserve"> HYPERLINK \l "_Toc31089" </w:instrText>
      </w:r>
      <w:r>
        <w:fldChar w:fldCharType="separate"/>
      </w:r>
      <w:r>
        <w:rPr>
          <w:rFonts w:hint="eastAsia" w:ascii="楷体_GB2312" w:hAnsi="楷体_GB2312" w:eastAsia="楷体_GB2312" w:cs="楷体_GB2312"/>
        </w:rPr>
        <w:t>2.1 市减灾委</w:t>
      </w:r>
      <w:r>
        <w:tab/>
      </w:r>
      <w:r>
        <w:fldChar w:fldCharType="begin"/>
      </w:r>
      <w:r>
        <w:instrText xml:space="preserve"> PAGEREF _Toc31089 \h </w:instrText>
      </w:r>
      <w:r>
        <w:fldChar w:fldCharType="separate"/>
      </w:r>
      <w:r>
        <w:t>9</w:t>
      </w:r>
      <w:r>
        <w:fldChar w:fldCharType="end"/>
      </w:r>
      <w:r>
        <w:fldChar w:fldCharType="end"/>
      </w:r>
    </w:p>
    <w:p>
      <w:pPr>
        <w:pStyle w:val="29"/>
        <w:tabs>
          <w:tab w:val="right" w:leader="dot" w:pos="9977"/>
        </w:tabs>
        <w:ind w:left="632"/>
      </w:pPr>
      <w:r>
        <w:fldChar w:fldCharType="begin"/>
      </w:r>
      <w:r>
        <w:instrText xml:space="preserve"> HYPERLINK \l "_Toc12536" </w:instrText>
      </w:r>
      <w:r>
        <w:fldChar w:fldCharType="separate"/>
      </w:r>
      <w:r>
        <w:rPr>
          <w:rFonts w:hint="eastAsia" w:ascii="楷体_GB2312" w:hAnsi="楷体_GB2312" w:eastAsia="楷体_GB2312" w:cs="楷体_GB2312"/>
        </w:rPr>
        <w:t>2.2 市减灾委办公室</w:t>
      </w:r>
      <w:r>
        <w:tab/>
      </w:r>
      <w:r>
        <w:fldChar w:fldCharType="begin"/>
      </w:r>
      <w:r>
        <w:instrText xml:space="preserve"> PAGEREF _Toc12536 \h </w:instrText>
      </w:r>
      <w:r>
        <w:fldChar w:fldCharType="separate"/>
      </w:r>
      <w:r>
        <w:t>9</w:t>
      </w:r>
      <w:r>
        <w:fldChar w:fldCharType="end"/>
      </w:r>
      <w:r>
        <w:fldChar w:fldCharType="end"/>
      </w:r>
    </w:p>
    <w:p>
      <w:pPr>
        <w:pStyle w:val="29"/>
        <w:tabs>
          <w:tab w:val="right" w:leader="dot" w:pos="9977"/>
        </w:tabs>
        <w:ind w:left="632"/>
      </w:pPr>
      <w:r>
        <w:fldChar w:fldCharType="begin"/>
      </w:r>
      <w:r>
        <w:instrText xml:space="preserve"> HYPERLINK \l "_Toc3445" </w:instrText>
      </w:r>
      <w:r>
        <w:fldChar w:fldCharType="separate"/>
      </w:r>
      <w:r>
        <w:rPr>
          <w:rFonts w:hint="eastAsia" w:ascii="楷体_GB2312" w:hAnsi="楷体_GB2312" w:eastAsia="楷体_GB2312" w:cs="楷体_GB2312"/>
        </w:rPr>
        <w:t>2.3 专家组</w:t>
      </w:r>
      <w:r>
        <w:tab/>
      </w:r>
      <w:r>
        <w:fldChar w:fldCharType="begin"/>
      </w:r>
      <w:r>
        <w:instrText xml:space="preserve"> PAGEREF _Toc3445 \h </w:instrText>
      </w:r>
      <w:r>
        <w:fldChar w:fldCharType="separate"/>
      </w:r>
      <w:r>
        <w:t>10</w:t>
      </w:r>
      <w:r>
        <w:fldChar w:fldCharType="end"/>
      </w:r>
      <w:r>
        <w:fldChar w:fldCharType="end"/>
      </w:r>
    </w:p>
    <w:p>
      <w:pPr>
        <w:pStyle w:val="27"/>
        <w:tabs>
          <w:tab w:val="right" w:leader="dot" w:pos="9977"/>
          <w:tab w:val="clear" w:pos="8845"/>
        </w:tabs>
      </w:pPr>
      <w:r>
        <w:fldChar w:fldCharType="begin"/>
      </w:r>
      <w:r>
        <w:instrText xml:space="preserve"> HYPERLINK \l "_Toc13365" </w:instrText>
      </w:r>
      <w:r>
        <w:fldChar w:fldCharType="separate"/>
      </w:r>
      <w:r>
        <w:rPr>
          <w:rFonts w:hint="eastAsia" w:hAnsi="黑体" w:cs="黑体"/>
        </w:rPr>
        <w:t>3 灾害救助准备</w:t>
      </w:r>
      <w:r>
        <w:tab/>
      </w:r>
      <w:r>
        <w:fldChar w:fldCharType="begin"/>
      </w:r>
      <w:r>
        <w:instrText xml:space="preserve"> PAGEREF _Toc13365 \h </w:instrText>
      </w:r>
      <w:r>
        <w:fldChar w:fldCharType="separate"/>
      </w:r>
      <w:r>
        <w:t>10</w:t>
      </w:r>
      <w:r>
        <w:fldChar w:fldCharType="end"/>
      </w:r>
      <w:r>
        <w:fldChar w:fldCharType="end"/>
      </w:r>
    </w:p>
    <w:p>
      <w:pPr>
        <w:pStyle w:val="27"/>
        <w:tabs>
          <w:tab w:val="right" w:leader="dot" w:pos="9977"/>
          <w:tab w:val="clear" w:pos="8845"/>
        </w:tabs>
      </w:pPr>
      <w:r>
        <w:fldChar w:fldCharType="begin"/>
      </w:r>
      <w:r>
        <w:instrText xml:space="preserve"> HYPERLINK \l "_Toc31485" </w:instrText>
      </w:r>
      <w:r>
        <w:fldChar w:fldCharType="separate"/>
      </w:r>
      <w:r>
        <w:rPr>
          <w:rFonts w:hint="eastAsia" w:hAnsi="黑体" w:cs="黑体"/>
        </w:rPr>
        <w:t>4 信息报告和发布</w:t>
      </w:r>
      <w:r>
        <w:tab/>
      </w:r>
      <w:r>
        <w:fldChar w:fldCharType="begin"/>
      </w:r>
      <w:r>
        <w:instrText xml:space="preserve"> PAGEREF _Toc31485 \h </w:instrText>
      </w:r>
      <w:r>
        <w:fldChar w:fldCharType="separate"/>
      </w:r>
      <w:r>
        <w:t>12</w:t>
      </w:r>
      <w:r>
        <w:fldChar w:fldCharType="end"/>
      </w:r>
      <w:r>
        <w:fldChar w:fldCharType="end"/>
      </w:r>
    </w:p>
    <w:p>
      <w:pPr>
        <w:pStyle w:val="29"/>
        <w:tabs>
          <w:tab w:val="right" w:leader="dot" w:pos="9977"/>
        </w:tabs>
        <w:ind w:left="632"/>
      </w:pPr>
      <w:r>
        <w:fldChar w:fldCharType="begin"/>
      </w:r>
      <w:r>
        <w:instrText xml:space="preserve"> HYPERLINK \l "_Toc26238" </w:instrText>
      </w:r>
      <w:r>
        <w:fldChar w:fldCharType="separate"/>
      </w:r>
      <w:r>
        <w:rPr>
          <w:rFonts w:hint="eastAsia" w:ascii="楷体_GB2312" w:hAnsi="楷体_GB2312" w:eastAsia="楷体_GB2312" w:cs="楷体_GB2312"/>
        </w:rPr>
        <w:t>4.1 信息报告</w:t>
      </w:r>
      <w:r>
        <w:tab/>
      </w:r>
      <w:r>
        <w:fldChar w:fldCharType="begin"/>
      </w:r>
      <w:r>
        <w:instrText xml:space="preserve"> PAGEREF _Toc26238 \h </w:instrText>
      </w:r>
      <w:r>
        <w:fldChar w:fldCharType="separate"/>
      </w:r>
      <w:r>
        <w:t>12</w:t>
      </w:r>
      <w:r>
        <w:fldChar w:fldCharType="end"/>
      </w:r>
      <w:r>
        <w:fldChar w:fldCharType="end"/>
      </w:r>
    </w:p>
    <w:p>
      <w:pPr>
        <w:pStyle w:val="29"/>
        <w:tabs>
          <w:tab w:val="right" w:leader="dot" w:pos="9977"/>
        </w:tabs>
        <w:ind w:left="632"/>
      </w:pPr>
      <w:r>
        <w:fldChar w:fldCharType="begin"/>
      </w:r>
      <w:r>
        <w:instrText xml:space="preserve"> HYPERLINK \l "_Toc20894" </w:instrText>
      </w:r>
      <w:r>
        <w:fldChar w:fldCharType="separate"/>
      </w:r>
      <w:r>
        <w:rPr>
          <w:rFonts w:hint="eastAsia" w:ascii="楷体_GB2312" w:hAnsi="楷体_GB2312" w:eastAsia="楷体_GB2312" w:cs="楷体_GB2312"/>
        </w:rPr>
        <w:t>4.2 信息发布</w:t>
      </w:r>
      <w:r>
        <w:tab/>
      </w:r>
      <w:r>
        <w:fldChar w:fldCharType="begin"/>
      </w:r>
      <w:r>
        <w:instrText xml:space="preserve"> PAGEREF _Toc20894 \h </w:instrText>
      </w:r>
      <w:r>
        <w:fldChar w:fldCharType="separate"/>
      </w:r>
      <w:r>
        <w:t>13</w:t>
      </w:r>
      <w:r>
        <w:fldChar w:fldCharType="end"/>
      </w:r>
      <w:r>
        <w:fldChar w:fldCharType="end"/>
      </w:r>
    </w:p>
    <w:p>
      <w:pPr>
        <w:pStyle w:val="27"/>
        <w:tabs>
          <w:tab w:val="right" w:leader="dot" w:pos="9977"/>
          <w:tab w:val="clear" w:pos="8845"/>
        </w:tabs>
      </w:pPr>
      <w:r>
        <w:fldChar w:fldCharType="begin"/>
      </w:r>
      <w:r>
        <w:instrText xml:space="preserve"> HYPERLINK \l "_Toc32707" </w:instrText>
      </w:r>
      <w:r>
        <w:fldChar w:fldCharType="separate"/>
      </w:r>
      <w:r>
        <w:rPr>
          <w:rFonts w:hint="eastAsia" w:hAnsi="黑体" w:cs="黑体"/>
        </w:rPr>
        <w:t>5 应急响应</w:t>
      </w:r>
      <w:r>
        <w:tab/>
      </w:r>
      <w:r>
        <w:fldChar w:fldCharType="begin"/>
      </w:r>
      <w:r>
        <w:instrText xml:space="preserve"> PAGEREF _Toc32707 \h </w:instrText>
      </w:r>
      <w:r>
        <w:fldChar w:fldCharType="separate"/>
      </w:r>
      <w:r>
        <w:t>14</w:t>
      </w:r>
      <w:r>
        <w:fldChar w:fldCharType="end"/>
      </w:r>
      <w:r>
        <w:fldChar w:fldCharType="end"/>
      </w:r>
    </w:p>
    <w:p>
      <w:pPr>
        <w:pStyle w:val="29"/>
        <w:tabs>
          <w:tab w:val="right" w:leader="dot" w:pos="9977"/>
        </w:tabs>
        <w:ind w:left="632"/>
      </w:pPr>
      <w:r>
        <w:fldChar w:fldCharType="begin"/>
      </w:r>
      <w:r>
        <w:instrText xml:space="preserve"> HYPERLINK \l "_Toc32115" </w:instrText>
      </w:r>
      <w:r>
        <w:fldChar w:fldCharType="separate"/>
      </w:r>
      <w:r>
        <w:rPr>
          <w:rFonts w:hint="eastAsia" w:ascii="楷体_GB2312" w:hAnsi="楷体_GB2312" w:eastAsia="楷体_GB2312" w:cs="楷体_GB2312"/>
        </w:rPr>
        <w:t>5.1 先期处置</w:t>
      </w:r>
      <w:r>
        <w:tab/>
      </w:r>
      <w:r>
        <w:fldChar w:fldCharType="begin"/>
      </w:r>
      <w:r>
        <w:instrText xml:space="preserve"> PAGEREF _Toc32115 \h </w:instrText>
      </w:r>
      <w:r>
        <w:fldChar w:fldCharType="separate"/>
      </w:r>
      <w:r>
        <w:t>14</w:t>
      </w:r>
      <w:r>
        <w:fldChar w:fldCharType="end"/>
      </w:r>
      <w:r>
        <w:fldChar w:fldCharType="end"/>
      </w:r>
    </w:p>
    <w:p>
      <w:pPr>
        <w:pStyle w:val="29"/>
        <w:tabs>
          <w:tab w:val="right" w:leader="dot" w:pos="9977"/>
        </w:tabs>
        <w:ind w:left="632"/>
      </w:pPr>
      <w:r>
        <w:fldChar w:fldCharType="begin"/>
      </w:r>
      <w:r>
        <w:instrText xml:space="preserve"> HYPERLINK \l "_Toc10231" </w:instrText>
      </w:r>
      <w:r>
        <w:fldChar w:fldCharType="separate"/>
      </w:r>
      <w:r>
        <w:rPr>
          <w:rFonts w:hint="eastAsia" w:ascii="楷体_GB2312" w:hAnsi="楷体_GB2312" w:eastAsia="楷体_GB2312" w:cs="楷体_GB2312"/>
        </w:rPr>
        <w:t>5.2 分级响应</w:t>
      </w:r>
      <w:r>
        <w:tab/>
      </w:r>
      <w:r>
        <w:fldChar w:fldCharType="begin"/>
      </w:r>
      <w:r>
        <w:instrText xml:space="preserve"> PAGEREF _Toc10231 \h </w:instrText>
      </w:r>
      <w:r>
        <w:fldChar w:fldCharType="separate"/>
      </w:r>
      <w:r>
        <w:t>15</w:t>
      </w:r>
      <w:r>
        <w:fldChar w:fldCharType="end"/>
      </w:r>
      <w:r>
        <w:fldChar w:fldCharType="end"/>
      </w:r>
    </w:p>
    <w:p>
      <w:pPr>
        <w:pStyle w:val="20"/>
        <w:tabs>
          <w:tab w:val="right" w:leader="dot" w:pos="9977"/>
        </w:tabs>
        <w:ind w:left="1263"/>
      </w:pPr>
      <w:r>
        <w:fldChar w:fldCharType="begin"/>
      </w:r>
      <w:r>
        <w:instrText xml:space="preserve"> HYPERLINK \l "_Toc18908" </w:instrText>
      </w:r>
      <w:r>
        <w:fldChar w:fldCharType="separate"/>
      </w:r>
      <w:r>
        <w:rPr>
          <w:rFonts w:ascii="仿宋_GB2312" w:cs="仿宋_GB2312"/>
        </w:rPr>
        <w:t>5.2.1</w:t>
      </w:r>
      <w:r>
        <w:rPr>
          <w:rFonts w:cs="仿宋_GB2312"/>
        </w:rPr>
        <w:t xml:space="preserve"> </w:t>
      </w:r>
      <w:r>
        <w:rPr>
          <w:rFonts w:hint="eastAsia" w:cs="仿宋_GB2312"/>
        </w:rPr>
        <w:t>关注级响应</w:t>
      </w:r>
      <w:r>
        <w:tab/>
      </w:r>
      <w:r>
        <w:fldChar w:fldCharType="begin"/>
      </w:r>
      <w:r>
        <w:instrText xml:space="preserve"> PAGEREF _Toc18908 \h </w:instrText>
      </w:r>
      <w:r>
        <w:fldChar w:fldCharType="separate"/>
      </w:r>
      <w:r>
        <w:t>15</w:t>
      </w:r>
      <w:r>
        <w:fldChar w:fldCharType="end"/>
      </w:r>
      <w:r>
        <w:fldChar w:fldCharType="end"/>
      </w:r>
    </w:p>
    <w:p>
      <w:pPr>
        <w:pStyle w:val="20"/>
        <w:tabs>
          <w:tab w:val="right" w:leader="dot" w:pos="9977"/>
        </w:tabs>
        <w:ind w:left="1263"/>
      </w:pPr>
      <w:r>
        <w:fldChar w:fldCharType="begin"/>
      </w:r>
      <w:r>
        <w:instrText xml:space="preserve"> HYPERLINK \l "_Toc6991" </w:instrText>
      </w:r>
      <w:r>
        <w:fldChar w:fldCharType="separate"/>
      </w:r>
      <w:r>
        <w:rPr>
          <w:rFonts w:ascii="仿宋_GB2312" w:cs="仿宋_GB2312"/>
        </w:rPr>
        <w:t>5.2.2</w:t>
      </w:r>
      <w:r>
        <w:rPr>
          <w:rFonts w:cs="仿宋_GB2312"/>
        </w:rPr>
        <w:t xml:space="preserve"> </w:t>
      </w:r>
      <w:r>
        <w:rPr>
          <w:rFonts w:hint="eastAsia" w:cs="仿宋_GB2312"/>
        </w:rPr>
        <w:t>预备级响应</w:t>
      </w:r>
      <w:r>
        <w:tab/>
      </w:r>
      <w:r>
        <w:fldChar w:fldCharType="begin"/>
      </w:r>
      <w:r>
        <w:instrText xml:space="preserve"> PAGEREF _Toc6991 \h </w:instrText>
      </w:r>
      <w:r>
        <w:fldChar w:fldCharType="separate"/>
      </w:r>
      <w:r>
        <w:t>16</w:t>
      </w:r>
      <w:r>
        <w:fldChar w:fldCharType="end"/>
      </w:r>
      <w:r>
        <w:fldChar w:fldCharType="end"/>
      </w:r>
    </w:p>
    <w:p>
      <w:pPr>
        <w:pStyle w:val="20"/>
        <w:tabs>
          <w:tab w:val="right" w:leader="dot" w:pos="9977"/>
        </w:tabs>
        <w:ind w:left="1263"/>
      </w:pPr>
      <w:r>
        <w:fldChar w:fldCharType="begin"/>
      </w:r>
      <w:r>
        <w:instrText xml:space="preserve"> HYPERLINK \l "_Toc28485" </w:instrText>
      </w:r>
      <w:r>
        <w:fldChar w:fldCharType="separate"/>
      </w:r>
      <w:r>
        <w:rPr>
          <w:rFonts w:ascii="仿宋_GB2312" w:cs="仿宋_GB2312"/>
        </w:rPr>
        <w:t>5.2.3</w:t>
      </w:r>
      <w:r>
        <w:rPr>
          <w:rFonts w:cs="仿宋_GB2312"/>
        </w:rPr>
        <w:t xml:space="preserve"> </w:t>
      </w:r>
      <w:r>
        <w:rPr>
          <w:rFonts w:hint="eastAsia" w:cs="仿宋_GB2312"/>
        </w:rPr>
        <w:t>Ⅳ级响应</w:t>
      </w:r>
      <w:r>
        <w:tab/>
      </w:r>
      <w:r>
        <w:fldChar w:fldCharType="begin"/>
      </w:r>
      <w:r>
        <w:instrText xml:space="preserve"> PAGEREF _Toc28485 \h </w:instrText>
      </w:r>
      <w:r>
        <w:fldChar w:fldCharType="separate"/>
      </w:r>
      <w:r>
        <w:t>17</w:t>
      </w:r>
      <w:r>
        <w:fldChar w:fldCharType="end"/>
      </w:r>
      <w:r>
        <w:fldChar w:fldCharType="end"/>
      </w:r>
    </w:p>
    <w:p>
      <w:pPr>
        <w:pStyle w:val="20"/>
        <w:tabs>
          <w:tab w:val="right" w:leader="dot" w:pos="9977"/>
        </w:tabs>
        <w:ind w:left="1263"/>
      </w:pPr>
      <w:r>
        <w:rPr>
          <w:rFonts w:hint="eastAsia" w:ascii="仿宋_GB2312"/>
          <w:kern w:val="2"/>
          <w:szCs w:val="24"/>
        </w:rPr>
        <w:fldChar w:fldCharType="begin"/>
      </w:r>
      <w:r>
        <w:rPr>
          <w:rFonts w:hint="eastAsia" w:ascii="仿宋_GB2312"/>
          <w:kern w:val="2"/>
          <w:szCs w:val="24"/>
        </w:rPr>
        <w:instrText xml:space="preserve"> HYPERLINK \l _Toc4447 </w:instrText>
      </w:r>
      <w:r>
        <w:rPr>
          <w:rFonts w:hint="eastAsia" w:ascii="仿宋_GB2312"/>
          <w:kern w:val="2"/>
          <w:szCs w:val="24"/>
        </w:rPr>
        <w:fldChar w:fldCharType="separate"/>
      </w:r>
      <w:r>
        <w:rPr>
          <w:rFonts w:ascii="仿宋_GB2312" w:cs="仿宋_GB2312"/>
        </w:rPr>
        <w:t>5.2.4</w:t>
      </w:r>
      <w:r>
        <w:rPr>
          <w:rFonts w:cs="仿宋_GB2312"/>
        </w:rPr>
        <w:t xml:space="preserve"> </w:t>
      </w:r>
      <w:r>
        <w:rPr>
          <w:rFonts w:hint="eastAsia" w:cs="仿宋_GB2312"/>
        </w:rPr>
        <w:t>Ⅲ级响应</w:t>
      </w:r>
      <w:r>
        <w:tab/>
      </w:r>
      <w:r>
        <w:fldChar w:fldCharType="begin"/>
      </w:r>
      <w:r>
        <w:instrText xml:space="preserve"> PAGEREF _Toc4447 \h </w:instrText>
      </w:r>
      <w:r>
        <w:fldChar w:fldCharType="separate"/>
      </w:r>
      <w:r>
        <w:t>19</w:t>
      </w:r>
      <w:r>
        <w:fldChar w:fldCharType="end"/>
      </w:r>
      <w:r>
        <w:rPr>
          <w:rFonts w:hint="eastAsia" w:ascii="仿宋_GB2312"/>
          <w:kern w:val="2"/>
          <w:szCs w:val="24"/>
        </w:rPr>
        <w:fldChar w:fldCharType="end"/>
      </w:r>
    </w:p>
    <w:p>
      <w:pPr>
        <w:pStyle w:val="20"/>
        <w:tabs>
          <w:tab w:val="right" w:leader="dot" w:pos="9977"/>
        </w:tabs>
        <w:ind w:left="1263"/>
      </w:pPr>
      <w:r>
        <w:fldChar w:fldCharType="begin"/>
      </w:r>
      <w:r>
        <w:instrText xml:space="preserve"> HYPERLINK \l "_Toc11339" </w:instrText>
      </w:r>
      <w:r>
        <w:fldChar w:fldCharType="separate"/>
      </w:r>
      <w:r>
        <w:rPr>
          <w:rFonts w:ascii="仿宋_GB2312" w:cs="仿宋_GB2312"/>
        </w:rPr>
        <w:t>5.2.5</w:t>
      </w:r>
      <w:r>
        <w:rPr>
          <w:rFonts w:cs="仿宋_GB2312"/>
        </w:rPr>
        <w:t xml:space="preserve"> </w:t>
      </w:r>
      <w:r>
        <w:rPr>
          <w:rFonts w:hint="eastAsia" w:cs="仿宋_GB2312"/>
        </w:rPr>
        <w:t>Ⅱ级响应</w:t>
      </w:r>
      <w:r>
        <w:tab/>
      </w:r>
      <w:r>
        <w:fldChar w:fldCharType="begin"/>
      </w:r>
      <w:r>
        <w:instrText xml:space="preserve"> PAGEREF _Toc11339 \h </w:instrText>
      </w:r>
      <w:r>
        <w:fldChar w:fldCharType="separate"/>
      </w:r>
      <w:r>
        <w:t>21</w:t>
      </w:r>
      <w:r>
        <w:fldChar w:fldCharType="end"/>
      </w:r>
      <w:r>
        <w:fldChar w:fldCharType="end"/>
      </w:r>
    </w:p>
    <w:p>
      <w:pPr>
        <w:pStyle w:val="20"/>
        <w:tabs>
          <w:tab w:val="right" w:leader="dot" w:pos="9977"/>
        </w:tabs>
        <w:ind w:left="1263"/>
      </w:pPr>
      <w:r>
        <w:fldChar w:fldCharType="begin"/>
      </w:r>
      <w:r>
        <w:instrText xml:space="preserve"> HYPERLINK \l "_Toc1614" </w:instrText>
      </w:r>
      <w:r>
        <w:fldChar w:fldCharType="separate"/>
      </w:r>
      <w:r>
        <w:rPr>
          <w:rFonts w:ascii="仿宋_GB2312" w:cs="仿宋_GB2312"/>
        </w:rPr>
        <w:t>5.2.6</w:t>
      </w:r>
      <w:r>
        <w:rPr>
          <w:rFonts w:cs="仿宋_GB2312"/>
        </w:rPr>
        <w:t xml:space="preserve"> </w:t>
      </w:r>
      <w:r>
        <w:rPr>
          <w:rFonts w:hint="eastAsia" w:cs="仿宋_GB2312"/>
        </w:rPr>
        <w:t>Ⅰ级响应</w:t>
      </w:r>
      <w:r>
        <w:tab/>
      </w:r>
      <w:r>
        <w:fldChar w:fldCharType="begin"/>
      </w:r>
      <w:r>
        <w:instrText xml:space="preserve"> PAGEREF _Toc1614 \h </w:instrText>
      </w:r>
      <w:r>
        <w:fldChar w:fldCharType="separate"/>
      </w:r>
      <w:r>
        <w:t>23</w:t>
      </w:r>
      <w:r>
        <w:fldChar w:fldCharType="end"/>
      </w:r>
      <w:r>
        <w:fldChar w:fldCharType="end"/>
      </w:r>
    </w:p>
    <w:p>
      <w:pPr>
        <w:pStyle w:val="29"/>
        <w:tabs>
          <w:tab w:val="right" w:leader="dot" w:pos="9977"/>
        </w:tabs>
        <w:ind w:left="632"/>
      </w:pPr>
      <w:r>
        <w:fldChar w:fldCharType="begin"/>
      </w:r>
      <w:r>
        <w:instrText xml:space="preserve"> HYPERLINK \l "_Toc11427" </w:instrText>
      </w:r>
      <w:r>
        <w:fldChar w:fldCharType="separate"/>
      </w:r>
      <w:r>
        <w:rPr>
          <w:rFonts w:hint="eastAsia" w:ascii="楷体_GB2312" w:hAnsi="楷体_GB2312" w:eastAsia="楷体_GB2312" w:cs="楷体_GB2312"/>
        </w:rPr>
        <w:t>5.3 启动条件调整</w:t>
      </w:r>
      <w:r>
        <w:tab/>
      </w:r>
      <w:r>
        <w:fldChar w:fldCharType="begin"/>
      </w:r>
      <w:r>
        <w:instrText xml:space="preserve"> PAGEREF _Toc11427 \h </w:instrText>
      </w:r>
      <w:r>
        <w:fldChar w:fldCharType="separate"/>
      </w:r>
      <w:r>
        <w:t>27</w:t>
      </w:r>
      <w:r>
        <w:fldChar w:fldCharType="end"/>
      </w:r>
      <w:r>
        <w:fldChar w:fldCharType="end"/>
      </w:r>
    </w:p>
    <w:p>
      <w:pPr>
        <w:pStyle w:val="29"/>
        <w:tabs>
          <w:tab w:val="right" w:leader="dot" w:pos="9977"/>
        </w:tabs>
        <w:ind w:left="632"/>
      </w:pPr>
      <w:r>
        <w:fldChar w:fldCharType="begin"/>
      </w:r>
      <w:r>
        <w:instrText xml:space="preserve"> HYPERLINK \l "_Toc15990" </w:instrText>
      </w:r>
      <w:r>
        <w:fldChar w:fldCharType="separate"/>
      </w:r>
      <w:r>
        <w:rPr>
          <w:rFonts w:hint="eastAsia" w:ascii="楷体_GB2312" w:hAnsi="楷体_GB2312" w:eastAsia="楷体_GB2312" w:cs="楷体_GB2312"/>
        </w:rPr>
        <w:t>5.4 响应终止</w:t>
      </w:r>
      <w:r>
        <w:tab/>
      </w:r>
      <w:r>
        <w:fldChar w:fldCharType="begin"/>
      </w:r>
      <w:r>
        <w:instrText xml:space="preserve"> PAGEREF _Toc15990 \h </w:instrText>
      </w:r>
      <w:r>
        <w:fldChar w:fldCharType="separate"/>
      </w:r>
      <w:r>
        <w:t>27</w:t>
      </w:r>
      <w:r>
        <w:fldChar w:fldCharType="end"/>
      </w:r>
      <w:r>
        <w:fldChar w:fldCharType="end"/>
      </w:r>
    </w:p>
    <w:p>
      <w:pPr>
        <w:pStyle w:val="27"/>
        <w:tabs>
          <w:tab w:val="right" w:leader="dot" w:pos="9977"/>
          <w:tab w:val="clear" w:pos="8845"/>
        </w:tabs>
      </w:pPr>
      <w:r>
        <w:rPr>
          <w:rFonts w:hint="eastAsia" w:ascii="仿宋_GB2312"/>
          <w:kern w:val="2"/>
          <w:szCs w:val="24"/>
        </w:rPr>
        <w:fldChar w:fldCharType="begin"/>
      </w:r>
      <w:r>
        <w:rPr>
          <w:rFonts w:hint="eastAsia" w:ascii="仿宋_GB2312"/>
          <w:kern w:val="2"/>
          <w:szCs w:val="24"/>
        </w:rPr>
        <w:instrText xml:space="preserve"> HYPERLINK \l _Toc21690 </w:instrText>
      </w:r>
      <w:r>
        <w:rPr>
          <w:rFonts w:hint="eastAsia" w:ascii="仿宋_GB2312"/>
          <w:kern w:val="2"/>
          <w:szCs w:val="24"/>
        </w:rPr>
        <w:fldChar w:fldCharType="separate"/>
      </w:r>
      <w:r>
        <w:rPr>
          <w:rFonts w:hint="eastAsia" w:hAnsi="黑体" w:cs="黑体"/>
        </w:rPr>
        <w:t>6 灾后救助与恢复重建</w:t>
      </w:r>
      <w:r>
        <w:tab/>
      </w:r>
      <w:r>
        <w:fldChar w:fldCharType="begin"/>
      </w:r>
      <w:r>
        <w:instrText xml:space="preserve"> PAGEREF _Toc21690 \h </w:instrText>
      </w:r>
      <w:r>
        <w:fldChar w:fldCharType="separate"/>
      </w:r>
      <w:r>
        <w:t>28</w:t>
      </w:r>
      <w:r>
        <w:fldChar w:fldCharType="end"/>
      </w:r>
      <w:r>
        <w:rPr>
          <w:rFonts w:hint="eastAsia" w:ascii="仿宋_GB2312"/>
          <w:kern w:val="2"/>
          <w:szCs w:val="24"/>
        </w:rPr>
        <w:fldChar w:fldCharType="end"/>
      </w:r>
    </w:p>
    <w:p>
      <w:pPr>
        <w:pStyle w:val="29"/>
        <w:tabs>
          <w:tab w:val="right" w:leader="dot" w:pos="9977"/>
        </w:tabs>
        <w:ind w:left="632"/>
      </w:pPr>
      <w:r>
        <w:rPr>
          <w:rFonts w:hint="eastAsia" w:ascii="仿宋_GB2312"/>
          <w:kern w:val="2"/>
          <w:szCs w:val="24"/>
        </w:rPr>
        <w:fldChar w:fldCharType="begin"/>
      </w:r>
      <w:r>
        <w:rPr>
          <w:rFonts w:hint="eastAsia" w:ascii="仿宋_GB2312"/>
          <w:kern w:val="2"/>
          <w:szCs w:val="24"/>
        </w:rPr>
        <w:instrText xml:space="preserve"> HYPERLINK \l _Toc24613 </w:instrText>
      </w:r>
      <w:r>
        <w:rPr>
          <w:rFonts w:hint="eastAsia" w:ascii="仿宋_GB2312"/>
          <w:kern w:val="2"/>
          <w:szCs w:val="24"/>
        </w:rPr>
        <w:fldChar w:fldCharType="separate"/>
      </w:r>
      <w:r>
        <w:rPr>
          <w:rFonts w:hint="eastAsia" w:ascii="楷体_GB2312" w:hAnsi="楷体_GB2312" w:eastAsia="楷体_GB2312" w:cs="楷体_GB2312"/>
        </w:rPr>
        <w:t>6.1 过渡期生活救助</w:t>
      </w:r>
      <w:r>
        <w:tab/>
      </w:r>
      <w:r>
        <w:fldChar w:fldCharType="begin"/>
      </w:r>
      <w:r>
        <w:instrText xml:space="preserve"> PAGEREF _Toc24613 \h </w:instrText>
      </w:r>
      <w:r>
        <w:fldChar w:fldCharType="separate"/>
      </w:r>
      <w:r>
        <w:t>28</w:t>
      </w:r>
      <w:r>
        <w:fldChar w:fldCharType="end"/>
      </w:r>
      <w:r>
        <w:rPr>
          <w:rFonts w:hint="eastAsia" w:ascii="仿宋_GB2312"/>
          <w:kern w:val="2"/>
          <w:szCs w:val="24"/>
        </w:rPr>
        <w:fldChar w:fldCharType="end"/>
      </w:r>
    </w:p>
    <w:p>
      <w:pPr>
        <w:pStyle w:val="29"/>
        <w:tabs>
          <w:tab w:val="right" w:leader="dot" w:pos="9977"/>
        </w:tabs>
        <w:ind w:left="632"/>
      </w:pPr>
      <w:r>
        <w:fldChar w:fldCharType="begin"/>
      </w:r>
      <w:r>
        <w:instrText xml:space="preserve"> HYPERLINK \l "_Toc32494" </w:instrText>
      </w:r>
      <w:r>
        <w:fldChar w:fldCharType="separate"/>
      </w:r>
      <w:r>
        <w:rPr>
          <w:rFonts w:hint="eastAsia" w:ascii="楷体_GB2312" w:hAnsi="楷体_GB2312" w:eastAsia="楷体_GB2312" w:cs="楷体_GB2312"/>
        </w:rPr>
        <w:t>6.2 冬春救助</w:t>
      </w:r>
      <w:r>
        <w:tab/>
      </w:r>
      <w:r>
        <w:fldChar w:fldCharType="begin"/>
      </w:r>
      <w:r>
        <w:instrText xml:space="preserve"> PAGEREF _Toc32494 \h </w:instrText>
      </w:r>
      <w:r>
        <w:fldChar w:fldCharType="separate"/>
      </w:r>
      <w:r>
        <w:t>28</w:t>
      </w:r>
      <w:r>
        <w:fldChar w:fldCharType="end"/>
      </w:r>
      <w:r>
        <w:fldChar w:fldCharType="end"/>
      </w:r>
    </w:p>
    <w:p>
      <w:pPr>
        <w:pStyle w:val="29"/>
        <w:tabs>
          <w:tab w:val="right" w:leader="dot" w:pos="9977"/>
        </w:tabs>
        <w:ind w:left="632"/>
      </w:pPr>
      <w:r>
        <w:fldChar w:fldCharType="begin"/>
      </w:r>
      <w:r>
        <w:instrText xml:space="preserve"> HYPERLINK \l "_Toc7269" </w:instrText>
      </w:r>
      <w:r>
        <w:fldChar w:fldCharType="separate"/>
      </w:r>
      <w:r>
        <w:rPr>
          <w:rFonts w:hint="eastAsia" w:ascii="楷体_GB2312" w:hAnsi="楷体_GB2312" w:eastAsia="楷体_GB2312" w:cs="楷体_GB2312"/>
        </w:rPr>
        <w:t>6.3 倒损住房恢复重建</w:t>
      </w:r>
      <w:r>
        <w:tab/>
      </w:r>
      <w:r>
        <w:fldChar w:fldCharType="begin"/>
      </w:r>
      <w:r>
        <w:instrText xml:space="preserve"> PAGEREF _Toc7269 \h </w:instrText>
      </w:r>
      <w:r>
        <w:fldChar w:fldCharType="separate"/>
      </w:r>
      <w:r>
        <w:t>29</w:t>
      </w:r>
      <w:r>
        <w:fldChar w:fldCharType="end"/>
      </w:r>
      <w:r>
        <w:fldChar w:fldCharType="end"/>
      </w:r>
    </w:p>
    <w:p>
      <w:pPr>
        <w:pStyle w:val="29"/>
        <w:tabs>
          <w:tab w:val="right" w:leader="dot" w:pos="9977"/>
        </w:tabs>
        <w:ind w:left="632"/>
      </w:pPr>
      <w:r>
        <w:fldChar w:fldCharType="begin"/>
      </w:r>
      <w:r>
        <w:instrText xml:space="preserve"> HYPERLINK \l "_Toc24508" </w:instrText>
      </w:r>
      <w:r>
        <w:fldChar w:fldCharType="separate"/>
      </w:r>
      <w:r>
        <w:rPr>
          <w:rFonts w:hint="eastAsia" w:ascii="楷体_GB2312" w:hAnsi="楷体_GB2312" w:eastAsia="楷体_GB2312" w:cs="楷体_GB2312"/>
        </w:rPr>
        <w:t>6.4 保险赔付</w:t>
      </w:r>
      <w:r>
        <w:tab/>
      </w:r>
      <w:r>
        <w:fldChar w:fldCharType="begin"/>
      </w:r>
      <w:r>
        <w:instrText xml:space="preserve"> PAGEREF _Toc24508 \h </w:instrText>
      </w:r>
      <w:r>
        <w:fldChar w:fldCharType="separate"/>
      </w:r>
      <w:r>
        <w:t>30</w:t>
      </w:r>
      <w:r>
        <w:fldChar w:fldCharType="end"/>
      </w:r>
      <w:r>
        <w:fldChar w:fldCharType="end"/>
      </w:r>
    </w:p>
    <w:p>
      <w:pPr>
        <w:pStyle w:val="27"/>
        <w:tabs>
          <w:tab w:val="right" w:leader="dot" w:pos="9977"/>
          <w:tab w:val="clear" w:pos="8845"/>
        </w:tabs>
      </w:pPr>
      <w:r>
        <w:fldChar w:fldCharType="begin"/>
      </w:r>
      <w:r>
        <w:instrText xml:space="preserve"> HYPERLINK \l "_Toc26348" </w:instrText>
      </w:r>
      <w:r>
        <w:fldChar w:fldCharType="separate"/>
      </w:r>
      <w:r>
        <w:rPr>
          <w:rFonts w:hint="eastAsia" w:hAnsi="黑体" w:cs="黑体"/>
        </w:rPr>
        <w:t>7 保障措施</w:t>
      </w:r>
      <w:r>
        <w:tab/>
      </w:r>
      <w:r>
        <w:fldChar w:fldCharType="begin"/>
      </w:r>
      <w:r>
        <w:instrText xml:space="preserve"> PAGEREF _Toc26348 \h </w:instrText>
      </w:r>
      <w:r>
        <w:fldChar w:fldCharType="separate"/>
      </w:r>
      <w:r>
        <w:t>30</w:t>
      </w:r>
      <w:r>
        <w:fldChar w:fldCharType="end"/>
      </w:r>
      <w:r>
        <w:fldChar w:fldCharType="end"/>
      </w:r>
    </w:p>
    <w:p>
      <w:pPr>
        <w:pStyle w:val="29"/>
        <w:tabs>
          <w:tab w:val="right" w:leader="dot" w:pos="9977"/>
        </w:tabs>
        <w:ind w:left="632"/>
      </w:pPr>
      <w:r>
        <w:fldChar w:fldCharType="begin"/>
      </w:r>
      <w:r>
        <w:instrText xml:space="preserve"> HYPERLINK \l "_Toc12398" </w:instrText>
      </w:r>
      <w:r>
        <w:fldChar w:fldCharType="separate"/>
      </w:r>
      <w:r>
        <w:rPr>
          <w:rFonts w:hint="eastAsia" w:ascii="楷体_GB2312" w:hAnsi="楷体_GB2312" w:eastAsia="楷体_GB2312" w:cs="楷体_GB2312"/>
        </w:rPr>
        <w:t>7.1 人力保障</w:t>
      </w:r>
      <w:r>
        <w:tab/>
      </w:r>
      <w:r>
        <w:fldChar w:fldCharType="begin"/>
      </w:r>
      <w:r>
        <w:instrText xml:space="preserve"> PAGEREF _Toc12398 \h </w:instrText>
      </w:r>
      <w:r>
        <w:fldChar w:fldCharType="separate"/>
      </w:r>
      <w:r>
        <w:t>30</w:t>
      </w:r>
      <w:r>
        <w:fldChar w:fldCharType="end"/>
      </w:r>
      <w:r>
        <w:fldChar w:fldCharType="end"/>
      </w:r>
    </w:p>
    <w:p>
      <w:pPr>
        <w:pStyle w:val="29"/>
        <w:tabs>
          <w:tab w:val="right" w:leader="dot" w:pos="9977"/>
        </w:tabs>
        <w:ind w:left="632"/>
      </w:pPr>
      <w:r>
        <w:rPr>
          <w:rFonts w:hint="eastAsia" w:ascii="仿宋_GB2312"/>
          <w:kern w:val="2"/>
          <w:szCs w:val="24"/>
        </w:rPr>
        <w:fldChar w:fldCharType="begin"/>
      </w:r>
      <w:r>
        <w:rPr>
          <w:rFonts w:hint="eastAsia" w:ascii="仿宋_GB2312"/>
          <w:kern w:val="2"/>
          <w:szCs w:val="24"/>
        </w:rPr>
        <w:instrText xml:space="preserve"> HYPERLINK \l _Toc32420 </w:instrText>
      </w:r>
      <w:r>
        <w:rPr>
          <w:rFonts w:hint="eastAsia" w:ascii="仿宋_GB2312"/>
          <w:kern w:val="2"/>
          <w:szCs w:val="24"/>
        </w:rPr>
        <w:fldChar w:fldCharType="separate"/>
      </w:r>
      <w:r>
        <w:rPr>
          <w:rFonts w:hint="eastAsia" w:ascii="楷体_GB2312" w:hAnsi="楷体_GB2312" w:eastAsia="楷体_GB2312" w:cs="楷体_GB2312"/>
        </w:rPr>
        <w:t>7.2 资金保障</w:t>
      </w:r>
      <w:r>
        <w:tab/>
      </w:r>
      <w:r>
        <w:fldChar w:fldCharType="begin"/>
      </w:r>
      <w:r>
        <w:instrText xml:space="preserve"> PAGEREF _Toc32420 \h </w:instrText>
      </w:r>
      <w:r>
        <w:fldChar w:fldCharType="separate"/>
      </w:r>
      <w:r>
        <w:t>31</w:t>
      </w:r>
      <w:r>
        <w:fldChar w:fldCharType="end"/>
      </w:r>
      <w:r>
        <w:rPr>
          <w:rFonts w:hint="eastAsia" w:ascii="仿宋_GB2312"/>
          <w:kern w:val="2"/>
          <w:szCs w:val="24"/>
        </w:rPr>
        <w:fldChar w:fldCharType="end"/>
      </w:r>
    </w:p>
    <w:p>
      <w:pPr>
        <w:pStyle w:val="29"/>
        <w:tabs>
          <w:tab w:val="right" w:leader="dot" w:pos="9977"/>
        </w:tabs>
        <w:ind w:left="632"/>
      </w:pPr>
      <w:r>
        <w:fldChar w:fldCharType="begin"/>
      </w:r>
      <w:r>
        <w:instrText xml:space="preserve"> HYPERLINK \l "_Toc31741" </w:instrText>
      </w:r>
      <w:r>
        <w:fldChar w:fldCharType="separate"/>
      </w:r>
      <w:r>
        <w:rPr>
          <w:rFonts w:hint="eastAsia" w:ascii="楷体_GB2312" w:hAnsi="楷体_GB2312" w:eastAsia="楷体_GB2312" w:cs="楷体_GB2312"/>
        </w:rPr>
        <w:t>7.3 物资保障</w:t>
      </w:r>
      <w:r>
        <w:tab/>
      </w:r>
      <w:r>
        <w:fldChar w:fldCharType="begin"/>
      </w:r>
      <w:r>
        <w:instrText xml:space="preserve"> PAGEREF _Toc31741 \h </w:instrText>
      </w:r>
      <w:r>
        <w:fldChar w:fldCharType="separate"/>
      </w:r>
      <w:r>
        <w:t>31</w:t>
      </w:r>
      <w:r>
        <w:fldChar w:fldCharType="end"/>
      </w:r>
      <w:r>
        <w:fldChar w:fldCharType="end"/>
      </w:r>
    </w:p>
    <w:p>
      <w:pPr>
        <w:pStyle w:val="29"/>
        <w:tabs>
          <w:tab w:val="right" w:leader="dot" w:pos="9977"/>
        </w:tabs>
        <w:ind w:left="632"/>
      </w:pPr>
      <w:r>
        <w:rPr>
          <w:rFonts w:hint="eastAsia" w:ascii="仿宋_GB2312"/>
          <w:kern w:val="2"/>
          <w:szCs w:val="24"/>
        </w:rPr>
        <w:fldChar w:fldCharType="begin"/>
      </w:r>
      <w:r>
        <w:rPr>
          <w:rFonts w:hint="eastAsia" w:ascii="仿宋_GB2312"/>
          <w:kern w:val="2"/>
          <w:szCs w:val="24"/>
        </w:rPr>
        <w:instrText xml:space="preserve"> HYPERLINK \l _Toc21362 </w:instrText>
      </w:r>
      <w:r>
        <w:rPr>
          <w:rFonts w:hint="eastAsia" w:ascii="仿宋_GB2312"/>
          <w:kern w:val="2"/>
          <w:szCs w:val="24"/>
        </w:rPr>
        <w:fldChar w:fldCharType="separate"/>
      </w:r>
      <w:r>
        <w:rPr>
          <w:rFonts w:hint="eastAsia" w:ascii="楷体_GB2312" w:hAnsi="楷体_GB2312" w:eastAsia="楷体_GB2312" w:cs="楷体_GB2312"/>
        </w:rPr>
        <w:t>7.4 交通保障</w:t>
      </w:r>
      <w:r>
        <w:tab/>
      </w:r>
      <w:r>
        <w:fldChar w:fldCharType="begin"/>
      </w:r>
      <w:r>
        <w:instrText xml:space="preserve"> PAGEREF _Toc21362 \h </w:instrText>
      </w:r>
      <w:r>
        <w:fldChar w:fldCharType="separate"/>
      </w:r>
      <w:r>
        <w:t>32</w:t>
      </w:r>
      <w:r>
        <w:fldChar w:fldCharType="end"/>
      </w:r>
      <w:r>
        <w:rPr>
          <w:rFonts w:hint="eastAsia" w:ascii="仿宋_GB2312"/>
          <w:kern w:val="2"/>
          <w:szCs w:val="24"/>
        </w:rPr>
        <w:fldChar w:fldCharType="end"/>
      </w:r>
    </w:p>
    <w:p>
      <w:pPr>
        <w:pStyle w:val="29"/>
        <w:tabs>
          <w:tab w:val="right" w:leader="dot" w:pos="9977"/>
        </w:tabs>
        <w:ind w:left="632"/>
      </w:pPr>
      <w:r>
        <w:fldChar w:fldCharType="begin"/>
      </w:r>
      <w:r>
        <w:instrText xml:space="preserve"> HYPERLINK \l "_Toc2119" </w:instrText>
      </w:r>
      <w:r>
        <w:fldChar w:fldCharType="separate"/>
      </w:r>
      <w:r>
        <w:rPr>
          <w:rFonts w:hint="eastAsia" w:ascii="楷体_GB2312" w:hAnsi="楷体_GB2312" w:eastAsia="楷体_GB2312" w:cs="楷体_GB2312"/>
        </w:rPr>
        <w:t>7.5 应急避难场所保障</w:t>
      </w:r>
      <w:r>
        <w:tab/>
      </w:r>
      <w:r>
        <w:fldChar w:fldCharType="begin"/>
      </w:r>
      <w:r>
        <w:instrText xml:space="preserve"> PAGEREF _Toc2119 \h </w:instrText>
      </w:r>
      <w:r>
        <w:fldChar w:fldCharType="separate"/>
      </w:r>
      <w:r>
        <w:t>32</w:t>
      </w:r>
      <w:r>
        <w:fldChar w:fldCharType="end"/>
      </w:r>
      <w:r>
        <w:fldChar w:fldCharType="end"/>
      </w:r>
    </w:p>
    <w:p>
      <w:pPr>
        <w:pStyle w:val="29"/>
        <w:tabs>
          <w:tab w:val="right" w:leader="dot" w:pos="9977"/>
        </w:tabs>
        <w:ind w:left="632"/>
      </w:pPr>
      <w:r>
        <w:rPr>
          <w:rFonts w:hint="eastAsia" w:ascii="仿宋_GB2312"/>
          <w:kern w:val="2"/>
          <w:szCs w:val="24"/>
        </w:rPr>
        <w:fldChar w:fldCharType="begin"/>
      </w:r>
      <w:r>
        <w:rPr>
          <w:rFonts w:hint="eastAsia" w:ascii="仿宋_GB2312"/>
          <w:kern w:val="2"/>
          <w:szCs w:val="24"/>
        </w:rPr>
        <w:instrText xml:space="preserve"> HYPERLINK \l _Toc31515 </w:instrText>
      </w:r>
      <w:r>
        <w:rPr>
          <w:rFonts w:hint="eastAsia" w:ascii="仿宋_GB2312"/>
          <w:kern w:val="2"/>
          <w:szCs w:val="24"/>
        </w:rPr>
        <w:fldChar w:fldCharType="separate"/>
      </w:r>
      <w:r>
        <w:rPr>
          <w:rFonts w:hint="eastAsia" w:ascii="楷体_GB2312" w:hAnsi="楷体_GB2312" w:eastAsia="楷体_GB2312" w:cs="楷体_GB2312"/>
        </w:rPr>
        <w:t>7.6 通信保障</w:t>
      </w:r>
      <w:r>
        <w:tab/>
      </w:r>
      <w:r>
        <w:fldChar w:fldCharType="begin"/>
      </w:r>
      <w:r>
        <w:instrText xml:space="preserve"> PAGEREF _Toc31515 \h </w:instrText>
      </w:r>
      <w:r>
        <w:fldChar w:fldCharType="separate"/>
      </w:r>
      <w:r>
        <w:t>33</w:t>
      </w:r>
      <w:r>
        <w:fldChar w:fldCharType="end"/>
      </w:r>
      <w:r>
        <w:rPr>
          <w:rFonts w:hint="eastAsia" w:ascii="仿宋_GB2312"/>
          <w:kern w:val="2"/>
          <w:szCs w:val="24"/>
        </w:rPr>
        <w:fldChar w:fldCharType="end"/>
      </w:r>
    </w:p>
    <w:p>
      <w:pPr>
        <w:pStyle w:val="29"/>
        <w:tabs>
          <w:tab w:val="right" w:leader="dot" w:pos="9977"/>
        </w:tabs>
        <w:ind w:left="632"/>
      </w:pPr>
      <w:r>
        <w:fldChar w:fldCharType="begin"/>
      </w:r>
      <w:r>
        <w:instrText xml:space="preserve"> HYPERLINK \l "_Toc26067" </w:instrText>
      </w:r>
      <w:r>
        <w:fldChar w:fldCharType="separate"/>
      </w:r>
      <w:r>
        <w:rPr>
          <w:rFonts w:hint="eastAsia" w:ascii="楷体_GB2312" w:hAnsi="楷体_GB2312" w:eastAsia="楷体_GB2312" w:cs="楷体_GB2312"/>
        </w:rPr>
        <w:t>7.7 社会动员保障</w:t>
      </w:r>
      <w:r>
        <w:tab/>
      </w:r>
      <w:r>
        <w:fldChar w:fldCharType="begin"/>
      </w:r>
      <w:r>
        <w:instrText xml:space="preserve"> PAGEREF _Toc26067 \h </w:instrText>
      </w:r>
      <w:r>
        <w:fldChar w:fldCharType="separate"/>
      </w:r>
      <w:r>
        <w:t>33</w:t>
      </w:r>
      <w:r>
        <w:fldChar w:fldCharType="end"/>
      </w:r>
      <w:r>
        <w:fldChar w:fldCharType="end"/>
      </w:r>
    </w:p>
    <w:p>
      <w:pPr>
        <w:pStyle w:val="29"/>
        <w:tabs>
          <w:tab w:val="right" w:leader="dot" w:pos="9977"/>
        </w:tabs>
        <w:ind w:left="632"/>
      </w:pPr>
      <w:r>
        <w:fldChar w:fldCharType="begin"/>
      </w:r>
      <w:r>
        <w:instrText xml:space="preserve"> HYPERLINK \l "_Toc13953" </w:instrText>
      </w:r>
      <w:r>
        <w:fldChar w:fldCharType="separate"/>
      </w:r>
      <w:r>
        <w:rPr>
          <w:rFonts w:hint="eastAsia" w:ascii="楷体_GB2312" w:hAnsi="楷体_GB2312" w:eastAsia="楷体_GB2312" w:cs="楷体_GB2312"/>
        </w:rPr>
        <w:t>7.8 科技保障</w:t>
      </w:r>
      <w:r>
        <w:tab/>
      </w:r>
      <w:r>
        <w:fldChar w:fldCharType="begin"/>
      </w:r>
      <w:r>
        <w:instrText xml:space="preserve"> PAGEREF _Toc13953 \h </w:instrText>
      </w:r>
      <w:r>
        <w:fldChar w:fldCharType="separate"/>
      </w:r>
      <w:r>
        <w:t>33</w:t>
      </w:r>
      <w:r>
        <w:fldChar w:fldCharType="end"/>
      </w:r>
      <w:r>
        <w:fldChar w:fldCharType="end"/>
      </w:r>
    </w:p>
    <w:p>
      <w:pPr>
        <w:pStyle w:val="29"/>
        <w:tabs>
          <w:tab w:val="right" w:leader="dot" w:pos="9977"/>
        </w:tabs>
        <w:ind w:left="632"/>
      </w:pPr>
      <w:r>
        <w:rPr>
          <w:rFonts w:hint="eastAsia" w:ascii="仿宋_GB2312"/>
          <w:kern w:val="2"/>
          <w:szCs w:val="24"/>
        </w:rPr>
        <w:fldChar w:fldCharType="begin"/>
      </w:r>
      <w:r>
        <w:rPr>
          <w:rFonts w:hint="eastAsia" w:ascii="仿宋_GB2312"/>
          <w:kern w:val="2"/>
          <w:szCs w:val="24"/>
        </w:rPr>
        <w:instrText xml:space="preserve"> HYPERLINK \l _Toc17065 </w:instrText>
      </w:r>
      <w:r>
        <w:rPr>
          <w:rFonts w:hint="eastAsia" w:ascii="仿宋_GB2312"/>
          <w:kern w:val="2"/>
          <w:szCs w:val="24"/>
        </w:rPr>
        <w:fldChar w:fldCharType="separate"/>
      </w:r>
      <w:r>
        <w:rPr>
          <w:rFonts w:hint="eastAsia" w:ascii="楷体_GB2312" w:hAnsi="楷体_GB2312" w:eastAsia="楷体_GB2312" w:cs="楷体_GB2312"/>
        </w:rPr>
        <w:t>7.9 区域联动</w:t>
      </w:r>
      <w:r>
        <w:tab/>
      </w:r>
      <w:r>
        <w:fldChar w:fldCharType="begin"/>
      </w:r>
      <w:r>
        <w:instrText xml:space="preserve"> PAGEREF _Toc17065 \h </w:instrText>
      </w:r>
      <w:r>
        <w:fldChar w:fldCharType="separate"/>
      </w:r>
      <w:r>
        <w:t>34</w:t>
      </w:r>
      <w:r>
        <w:fldChar w:fldCharType="end"/>
      </w:r>
      <w:r>
        <w:rPr>
          <w:rFonts w:hint="eastAsia" w:ascii="仿宋_GB2312"/>
          <w:kern w:val="2"/>
          <w:szCs w:val="24"/>
        </w:rPr>
        <w:fldChar w:fldCharType="end"/>
      </w:r>
    </w:p>
    <w:p>
      <w:pPr>
        <w:pStyle w:val="27"/>
        <w:tabs>
          <w:tab w:val="right" w:leader="dot" w:pos="9977"/>
          <w:tab w:val="clear" w:pos="8845"/>
        </w:tabs>
      </w:pPr>
      <w:r>
        <w:fldChar w:fldCharType="begin"/>
      </w:r>
      <w:r>
        <w:instrText xml:space="preserve"> HYPERLINK \l "_Toc20872" </w:instrText>
      </w:r>
      <w:r>
        <w:fldChar w:fldCharType="separate"/>
      </w:r>
      <w:r>
        <w:rPr>
          <w:rFonts w:hint="eastAsia" w:hAnsi="黑体" w:cs="黑体"/>
        </w:rPr>
        <w:t>8 监督管理</w:t>
      </w:r>
      <w:r>
        <w:tab/>
      </w:r>
      <w:r>
        <w:fldChar w:fldCharType="begin"/>
      </w:r>
      <w:r>
        <w:instrText xml:space="preserve"> PAGEREF _Toc20872 \h </w:instrText>
      </w:r>
      <w:r>
        <w:fldChar w:fldCharType="separate"/>
      </w:r>
      <w:r>
        <w:t>34</w:t>
      </w:r>
      <w:r>
        <w:fldChar w:fldCharType="end"/>
      </w:r>
      <w:r>
        <w:fldChar w:fldCharType="end"/>
      </w:r>
    </w:p>
    <w:p>
      <w:pPr>
        <w:pStyle w:val="29"/>
        <w:tabs>
          <w:tab w:val="right" w:leader="dot" w:pos="9977"/>
        </w:tabs>
        <w:ind w:left="632"/>
      </w:pPr>
      <w:r>
        <w:fldChar w:fldCharType="begin"/>
      </w:r>
      <w:r>
        <w:instrText xml:space="preserve"> HYPERLINK \l "_Toc16661" </w:instrText>
      </w:r>
      <w:r>
        <w:fldChar w:fldCharType="separate"/>
      </w:r>
      <w:r>
        <w:rPr>
          <w:rFonts w:hint="eastAsia" w:ascii="楷体_GB2312" w:hAnsi="楷体_GB2312" w:eastAsia="楷体_GB2312" w:cs="楷体_GB2312"/>
        </w:rPr>
        <w:t>8.1 预案演练</w:t>
      </w:r>
      <w:r>
        <w:tab/>
      </w:r>
      <w:r>
        <w:fldChar w:fldCharType="begin"/>
      </w:r>
      <w:r>
        <w:instrText xml:space="preserve"> PAGEREF _Toc16661 \h </w:instrText>
      </w:r>
      <w:r>
        <w:fldChar w:fldCharType="separate"/>
      </w:r>
      <w:r>
        <w:t>34</w:t>
      </w:r>
      <w:r>
        <w:fldChar w:fldCharType="end"/>
      </w:r>
      <w:r>
        <w:fldChar w:fldCharType="end"/>
      </w:r>
    </w:p>
    <w:p>
      <w:pPr>
        <w:pStyle w:val="29"/>
        <w:tabs>
          <w:tab w:val="right" w:leader="dot" w:pos="9977"/>
        </w:tabs>
        <w:ind w:left="632"/>
      </w:pPr>
      <w:r>
        <w:rPr>
          <w:rFonts w:hint="eastAsia" w:ascii="仿宋_GB2312"/>
          <w:kern w:val="2"/>
          <w:szCs w:val="24"/>
        </w:rPr>
        <w:fldChar w:fldCharType="begin"/>
      </w:r>
      <w:r>
        <w:rPr>
          <w:rFonts w:hint="eastAsia" w:ascii="仿宋_GB2312"/>
          <w:kern w:val="2"/>
          <w:szCs w:val="24"/>
        </w:rPr>
        <w:instrText xml:space="preserve"> HYPERLINK \l _Toc15203 </w:instrText>
      </w:r>
      <w:r>
        <w:rPr>
          <w:rFonts w:hint="eastAsia" w:ascii="仿宋_GB2312"/>
          <w:kern w:val="2"/>
          <w:szCs w:val="24"/>
        </w:rPr>
        <w:fldChar w:fldCharType="separate"/>
      </w:r>
      <w:r>
        <w:rPr>
          <w:rFonts w:hint="eastAsia" w:ascii="楷体_GB2312" w:hAnsi="楷体_GB2312" w:eastAsia="楷体_GB2312" w:cs="楷体_GB2312"/>
        </w:rPr>
        <w:t>8.2 宣教培训</w:t>
      </w:r>
      <w:r>
        <w:tab/>
      </w:r>
      <w:r>
        <w:fldChar w:fldCharType="begin"/>
      </w:r>
      <w:r>
        <w:instrText xml:space="preserve"> PAGEREF _Toc15203 \h </w:instrText>
      </w:r>
      <w:r>
        <w:fldChar w:fldCharType="separate"/>
      </w:r>
      <w:r>
        <w:t>35</w:t>
      </w:r>
      <w:r>
        <w:fldChar w:fldCharType="end"/>
      </w:r>
      <w:r>
        <w:rPr>
          <w:rFonts w:hint="eastAsia" w:ascii="仿宋_GB2312"/>
          <w:kern w:val="2"/>
          <w:szCs w:val="24"/>
        </w:rPr>
        <w:fldChar w:fldCharType="end"/>
      </w:r>
    </w:p>
    <w:p>
      <w:pPr>
        <w:pStyle w:val="29"/>
        <w:tabs>
          <w:tab w:val="right" w:leader="dot" w:pos="9977"/>
        </w:tabs>
        <w:ind w:left="632"/>
      </w:pPr>
      <w:r>
        <w:fldChar w:fldCharType="begin"/>
      </w:r>
      <w:r>
        <w:instrText xml:space="preserve"> HYPERLINK \l "_Toc22856" </w:instrText>
      </w:r>
      <w:r>
        <w:fldChar w:fldCharType="separate"/>
      </w:r>
      <w:r>
        <w:rPr>
          <w:rFonts w:hint="eastAsia" w:ascii="楷体_GB2312" w:hAnsi="楷体_GB2312" w:eastAsia="楷体_GB2312" w:cs="楷体_GB2312"/>
        </w:rPr>
        <w:t>8.3 责任与奖惩</w:t>
      </w:r>
      <w:r>
        <w:tab/>
      </w:r>
      <w:r>
        <w:fldChar w:fldCharType="begin"/>
      </w:r>
      <w:r>
        <w:instrText xml:space="preserve"> PAGEREF _Toc22856 \h </w:instrText>
      </w:r>
      <w:r>
        <w:fldChar w:fldCharType="separate"/>
      </w:r>
      <w:r>
        <w:t>35</w:t>
      </w:r>
      <w:r>
        <w:fldChar w:fldCharType="end"/>
      </w:r>
      <w:r>
        <w:fldChar w:fldCharType="end"/>
      </w:r>
    </w:p>
    <w:p>
      <w:pPr>
        <w:pStyle w:val="27"/>
        <w:tabs>
          <w:tab w:val="right" w:leader="dot" w:pos="9977"/>
          <w:tab w:val="clear" w:pos="8845"/>
        </w:tabs>
      </w:pPr>
      <w:r>
        <w:fldChar w:fldCharType="begin"/>
      </w:r>
      <w:r>
        <w:instrText xml:space="preserve"> HYPERLINK \l "_Toc25120" </w:instrText>
      </w:r>
      <w:r>
        <w:fldChar w:fldCharType="separate"/>
      </w:r>
      <w:r>
        <w:rPr>
          <w:rFonts w:hint="eastAsia" w:hAnsi="黑体" w:cs="黑体"/>
        </w:rPr>
        <w:t>9 附则</w:t>
      </w:r>
      <w:r>
        <w:tab/>
      </w:r>
      <w:r>
        <w:fldChar w:fldCharType="begin"/>
      </w:r>
      <w:r>
        <w:instrText xml:space="preserve"> PAGEREF _Toc25120 \h </w:instrText>
      </w:r>
      <w:r>
        <w:fldChar w:fldCharType="separate"/>
      </w:r>
      <w:r>
        <w:t>35</w:t>
      </w:r>
      <w:r>
        <w:fldChar w:fldCharType="end"/>
      </w:r>
      <w:r>
        <w:fldChar w:fldCharType="end"/>
      </w:r>
    </w:p>
    <w:p>
      <w:pPr>
        <w:pStyle w:val="27"/>
        <w:tabs>
          <w:tab w:val="right" w:leader="dot" w:pos="9977"/>
          <w:tab w:val="clear" w:pos="8845"/>
        </w:tabs>
      </w:pPr>
      <w:r>
        <w:rPr>
          <w:rFonts w:hint="eastAsia" w:ascii="仿宋_GB2312"/>
          <w:kern w:val="2"/>
          <w:szCs w:val="24"/>
        </w:rPr>
        <w:fldChar w:fldCharType="begin"/>
      </w:r>
      <w:r>
        <w:rPr>
          <w:rFonts w:hint="eastAsia" w:ascii="仿宋_GB2312"/>
          <w:kern w:val="2"/>
          <w:szCs w:val="24"/>
        </w:rPr>
        <w:instrText xml:space="preserve"> HYPERLINK \l _Toc17712 </w:instrText>
      </w:r>
      <w:r>
        <w:rPr>
          <w:rFonts w:hint="eastAsia" w:ascii="仿宋_GB2312"/>
          <w:kern w:val="2"/>
          <w:szCs w:val="24"/>
        </w:rPr>
        <w:fldChar w:fldCharType="separate"/>
      </w:r>
      <w:r>
        <w:rPr>
          <w:rFonts w:hint="eastAsia" w:hAnsi="黑体"/>
        </w:rPr>
        <w:t>附件</w:t>
      </w:r>
      <w:r>
        <w:tab/>
      </w:r>
      <w:r>
        <w:fldChar w:fldCharType="begin"/>
      </w:r>
      <w:r>
        <w:instrText xml:space="preserve"> PAGEREF _Toc17712 \h </w:instrText>
      </w:r>
      <w:r>
        <w:fldChar w:fldCharType="separate"/>
      </w:r>
      <w:r>
        <w:t>2</w:t>
      </w:r>
      <w:r>
        <w:fldChar w:fldCharType="end"/>
      </w:r>
      <w:r>
        <w:rPr>
          <w:rFonts w:hint="eastAsia" w:ascii="仿宋_GB2312"/>
          <w:kern w:val="2"/>
          <w:szCs w:val="24"/>
        </w:rPr>
        <w:fldChar w:fldCharType="end"/>
      </w:r>
    </w:p>
    <w:p>
      <w:pPr>
        <w:pStyle w:val="27"/>
        <w:tabs>
          <w:tab w:val="right" w:leader="dot" w:pos="9977"/>
          <w:tab w:val="clear" w:pos="8845"/>
        </w:tabs>
      </w:pPr>
      <w:r>
        <w:fldChar w:fldCharType="begin"/>
      </w:r>
      <w:r>
        <w:instrText xml:space="preserve"> HYPERLINK \l "_Toc29604" </w:instrText>
      </w:r>
      <w:r>
        <w:fldChar w:fldCharType="separate"/>
      </w:r>
      <w:r>
        <w:rPr>
          <w:rFonts w:hint="eastAsia" w:ascii="方正小标宋简体" w:hAnsi="黑体" w:eastAsia="方正小标宋简体"/>
          <w:szCs w:val="44"/>
        </w:rPr>
        <w:t>深圳市减灾委员会成员单位及其职责</w:t>
      </w:r>
      <w:r>
        <w:tab/>
      </w:r>
      <w:r>
        <w:fldChar w:fldCharType="begin"/>
      </w:r>
      <w:r>
        <w:instrText xml:space="preserve"> PAGEREF _Toc29604 \h </w:instrText>
      </w:r>
      <w:r>
        <w:fldChar w:fldCharType="separate"/>
      </w:r>
      <w:r>
        <w:t>37</w:t>
      </w:r>
      <w:r>
        <w:fldChar w:fldCharType="end"/>
      </w:r>
      <w:r>
        <w:fldChar w:fldCharType="end"/>
      </w:r>
    </w:p>
    <w:p>
      <w:pPr>
        <w:widowControl w:val="0"/>
        <w:adjustRightInd w:val="0"/>
        <w:snapToGrid w:val="0"/>
        <w:spacing w:line="560" w:lineRule="exact"/>
        <w:rPr>
          <w:rFonts w:eastAsia="黑体"/>
        </w:rPr>
      </w:pPr>
      <w:r>
        <w:rPr>
          <w:rFonts w:hint="eastAsia" w:ascii="仿宋_GB2312"/>
          <w:kern w:val="2"/>
          <w:sz w:val="24"/>
          <w:szCs w:val="24"/>
        </w:rPr>
        <w:fldChar w:fldCharType="end"/>
      </w:r>
      <w:r>
        <w:rPr>
          <w:rFonts w:eastAsia="黑体"/>
        </w:rPr>
        <w:t xml:space="preserve"> </w:t>
      </w:r>
    </w:p>
    <w:p>
      <w:pPr>
        <w:pStyle w:val="21"/>
      </w:pPr>
    </w:p>
    <w:p>
      <w:pPr>
        <w:pStyle w:val="14"/>
      </w:pPr>
    </w:p>
    <w:p/>
    <w:p>
      <w:pPr>
        <w:pStyle w:val="14"/>
        <w:sectPr>
          <w:footerReference r:id="rId5" w:type="default"/>
          <w:pgSz w:w="11905" w:h="16838"/>
          <w:pgMar w:top="964" w:right="907" w:bottom="1985" w:left="1021" w:header="284" w:footer="1588" w:gutter="0"/>
          <w:pgNumType w:start="2"/>
          <w:cols w:space="720" w:num="1"/>
          <w:docGrid w:type="linesAndChars" w:linePitch="589" w:charSpace="-849"/>
        </w:sectPr>
      </w:pPr>
    </w:p>
    <w:p/>
    <w:p/>
    <w:p>
      <w:pPr>
        <w:pStyle w:val="21"/>
      </w:pPr>
    </w:p>
    <w:p>
      <w:pPr>
        <w:widowControl w:val="0"/>
        <w:adjustRightInd w:val="0"/>
        <w:snapToGrid w:val="0"/>
        <w:spacing w:after="589" w:afterLines="100" w:line="560" w:lineRule="exact"/>
        <w:jc w:val="center"/>
        <w:outlineLvl w:val="0"/>
        <w:rPr>
          <w:rFonts w:eastAsia="方正小标宋简体"/>
          <w:sz w:val="44"/>
          <w:szCs w:val="44"/>
        </w:rPr>
      </w:pPr>
      <w:bookmarkStart w:id="2" w:name="_Toc19600"/>
      <w:r>
        <w:rPr>
          <w:rFonts w:hint="eastAsia" w:eastAsia="方正小标宋简体"/>
          <w:sz w:val="44"/>
          <w:szCs w:val="44"/>
        </w:rPr>
        <w:t>自然灾害救助应急响应工作流程图</w:t>
      </w:r>
      <w:bookmarkEnd w:id="2"/>
    </w:p>
    <w:p>
      <w:pPr>
        <w:pStyle w:val="21"/>
        <w:jc w:val="center"/>
        <w:outlineLvl w:val="0"/>
        <w:rPr>
          <w:rFonts w:ascii="Times New Roman" w:hAnsi="Times New Roman" w:eastAsia="方正小标宋简体" w:cs="Times New Roman"/>
          <w:sz w:val="44"/>
          <w:szCs w:val="44"/>
        </w:rPr>
      </w:pPr>
      <w:bookmarkStart w:id="3" w:name="_Toc19065"/>
      <w:r>
        <w:rPr>
          <w:rFonts w:hint="eastAsia" w:ascii="Times New Roman" w:hAnsi="Times New Roman" w:eastAsia="方正小标宋简体" w:cs="Times New Roman"/>
          <w:sz w:val="44"/>
          <w:szCs w:val="44"/>
        </w:rPr>
        <w:t>关注级响应</w:t>
      </w:r>
      <w:bookmarkEnd w:id="3"/>
    </w:p>
    <w:p>
      <w:pPr>
        <w:widowControl w:val="0"/>
        <w:spacing w:line="240" w:lineRule="auto"/>
        <w:jc w:val="center"/>
      </w:pPr>
      <w:r>
        <w:tab/>
      </w:r>
      <w:r>
        <w:object>
          <v:shape id="_x0000_i1025" o:spt="75" type="#_x0000_t75" style="height:288.1pt;width:379.7pt;" o:ole="t" filled="f" o:preferrelative="t" stroked="f" coordsize="21600,21600">
            <v:path/>
            <v:fill on="f" focussize="0,0"/>
            <v:stroke on="f" joinstyle="miter"/>
            <v:imagedata r:id="rId13" o:title=""/>
            <o:lock v:ext="edit" aspectratio="f"/>
            <w10:wrap type="none"/>
            <w10:anchorlock/>
          </v:shape>
          <o:OLEObject Type="Embed" ProgID="Visio.Drawing.15" ShapeID="_x0000_i1025" DrawAspect="Content" ObjectID="_1468075725" r:id="rId12">
            <o:LockedField>false</o:LockedField>
          </o:OLEObject>
        </w:object>
      </w:r>
    </w:p>
    <w:p>
      <w:pPr>
        <w:tabs>
          <w:tab w:val="left" w:pos="960"/>
        </w:tabs>
      </w:pPr>
    </w:p>
    <w:p>
      <w:pPr>
        <w:tabs>
          <w:tab w:val="left" w:pos="960"/>
        </w:tabs>
        <w:jc w:val="center"/>
      </w:pPr>
    </w:p>
    <w:p>
      <w:pPr>
        <w:tabs>
          <w:tab w:val="left" w:pos="960"/>
        </w:tabs>
      </w:pPr>
    </w:p>
    <w:p>
      <w:pPr>
        <w:pStyle w:val="21"/>
      </w:pPr>
    </w:p>
    <w:p>
      <w:pPr>
        <w:tabs>
          <w:tab w:val="left" w:pos="960"/>
        </w:tabs>
        <w:jc w:val="center"/>
      </w:pPr>
    </w:p>
    <w:p>
      <w:pPr>
        <w:pStyle w:val="21"/>
      </w:pPr>
    </w:p>
    <w:p>
      <w:pPr>
        <w:pStyle w:val="21"/>
        <w:jc w:val="center"/>
        <w:rPr>
          <w:rFonts w:ascii="Times New Roman" w:hAnsi="Times New Roman" w:eastAsia="方正小标宋简体" w:cs="Times New Roman"/>
          <w:sz w:val="44"/>
          <w:szCs w:val="44"/>
        </w:rPr>
      </w:pPr>
    </w:p>
    <w:p>
      <w:pPr>
        <w:pStyle w:val="21"/>
        <w:jc w:val="center"/>
        <w:outlineLvl w:val="0"/>
        <w:rPr>
          <w:rFonts w:ascii="Times New Roman" w:hAnsi="Times New Roman" w:eastAsia="方正小标宋简体" w:cs="Times New Roman"/>
          <w:sz w:val="44"/>
          <w:szCs w:val="44"/>
        </w:rPr>
      </w:pPr>
      <w:bookmarkStart w:id="4" w:name="_Toc5473"/>
      <w:r>
        <w:rPr>
          <w:rFonts w:hint="eastAsia" w:ascii="Times New Roman" w:hAnsi="Times New Roman" w:eastAsia="方正小标宋简体" w:cs="Times New Roman"/>
          <w:sz w:val="44"/>
          <w:szCs w:val="44"/>
        </w:rPr>
        <w:t>预备级响应</w:t>
      </w:r>
      <w:bookmarkEnd w:id="4"/>
    </w:p>
    <w:p>
      <w:pPr>
        <w:tabs>
          <w:tab w:val="left" w:pos="960"/>
        </w:tabs>
        <w:jc w:val="center"/>
      </w:pPr>
      <w:r>
        <w:object>
          <v:shape id="_x0000_i1026" o:spt="75" type="#_x0000_t75" style="height:365.8pt;width:498.7pt;" o:ole="t" filled="f" o:preferrelative="t" stroked="f" coordsize="21600,21600">
            <v:path/>
            <v:fill on="f" focussize="0,0"/>
            <v:stroke on="f" joinstyle="miter"/>
            <v:imagedata r:id="rId15" o:title=""/>
            <o:lock v:ext="edit" aspectratio="f"/>
            <w10:wrap type="none"/>
            <w10:anchorlock/>
          </v:shape>
          <o:OLEObject Type="Embed" ProgID="Visio.Drawing.15" ShapeID="_x0000_i1026" DrawAspect="Content" ObjectID="_1468075726" r:id="rId14">
            <o:LockedField>false</o:LockedField>
          </o:OLEObject>
        </w:object>
      </w:r>
    </w:p>
    <w:p>
      <w:pPr>
        <w:tabs>
          <w:tab w:val="left" w:pos="960"/>
        </w:tabs>
        <w:jc w:val="center"/>
      </w:pPr>
    </w:p>
    <w:p>
      <w:pPr>
        <w:pStyle w:val="21"/>
        <w:sectPr>
          <w:footerReference r:id="rId6" w:type="default"/>
          <w:pgSz w:w="11905" w:h="16838"/>
          <w:pgMar w:top="964" w:right="907" w:bottom="1985" w:left="1021" w:header="284" w:footer="1588" w:gutter="0"/>
          <w:pgNumType w:start="1"/>
          <w:cols w:space="720" w:num="1"/>
          <w:docGrid w:type="linesAndChars" w:linePitch="589" w:charSpace="-849"/>
        </w:sectPr>
      </w:pPr>
    </w:p>
    <w:p>
      <w:pPr>
        <w:pStyle w:val="21"/>
        <w:jc w:val="center"/>
        <w:rPr>
          <w:rFonts w:ascii="仿宋_GB2312" w:hAnsi="Times New Roman" w:eastAsia="仿宋_GB2312" w:cs="Times New Roman"/>
          <w:sz w:val="44"/>
          <w:szCs w:val="44"/>
        </w:rPr>
      </w:pPr>
    </w:p>
    <w:p>
      <w:pPr>
        <w:pStyle w:val="21"/>
        <w:jc w:val="center"/>
        <w:outlineLvl w:val="0"/>
        <w:rPr>
          <w:rFonts w:ascii="Times New Roman" w:hAnsi="Times New Roman" w:eastAsia="方正小标宋简体" w:cs="Times New Roman"/>
          <w:sz w:val="44"/>
          <w:szCs w:val="44"/>
        </w:rPr>
      </w:pPr>
      <w:bookmarkStart w:id="5" w:name="_Toc14321"/>
      <w:r>
        <w:rPr>
          <w:rFonts w:ascii="仿宋_GB2312" w:hAnsi="Times New Roman" w:eastAsia="仿宋_GB2312" w:cs="Times New Roman"/>
          <w:sz w:val="44"/>
          <w:szCs w:val="44"/>
        </w:rPr>
        <w:t>IV</w:t>
      </w:r>
      <w:r>
        <w:rPr>
          <w:rFonts w:hint="eastAsia" w:ascii="Times New Roman" w:hAnsi="Times New Roman" w:eastAsia="方正小标宋简体" w:cs="Times New Roman"/>
          <w:sz w:val="44"/>
          <w:szCs w:val="44"/>
        </w:rPr>
        <w:t>级响应</w:t>
      </w:r>
      <w:bookmarkEnd w:id="5"/>
    </w:p>
    <w:p>
      <w:pPr>
        <w:pStyle w:val="21"/>
        <w:jc w:val="center"/>
      </w:pPr>
      <w:r>
        <w:drawing>
          <wp:inline distT="0" distB="0" distL="0" distR="0">
            <wp:extent cx="5003800" cy="4300855"/>
            <wp:effectExtent l="0" t="0" r="6350" b="0"/>
            <wp:docPr id="7" name="图片 3"/>
            <wp:cNvGraphicFramePr/>
            <a:graphic xmlns:a="http://schemas.openxmlformats.org/drawingml/2006/main">
              <a:graphicData uri="http://schemas.openxmlformats.org/drawingml/2006/picture">
                <pic:pic xmlns:pic="http://schemas.openxmlformats.org/drawingml/2006/picture">
                  <pic:nvPicPr>
                    <pic:cNvPr id="7" name="图片 3"/>
                    <pic:cNvPicPr>
                      <a:picLocks noChangeArrowheads="true"/>
                    </pic:cNvPicPr>
                  </pic:nvPicPr>
                  <pic:blipFill>
                    <a:blip r:embed="rId16">
                      <a:extLst>
                        <a:ext uri="{28A0092B-C50C-407E-A947-70E740481C1C}">
                          <a14:useLocalDpi xmlns:a14="http://schemas.microsoft.com/office/drawing/2010/main" val="false"/>
                        </a:ext>
                      </a:extLst>
                    </a:blip>
                    <a:srcRect/>
                    <a:stretch>
                      <a:fillRect/>
                    </a:stretch>
                  </pic:blipFill>
                  <pic:spPr>
                    <a:xfrm>
                      <a:off x="0" y="0"/>
                      <a:ext cx="5003800" cy="4300855"/>
                    </a:xfrm>
                    <a:prstGeom prst="rect">
                      <a:avLst/>
                    </a:prstGeom>
                    <a:noFill/>
                    <a:ln>
                      <a:noFill/>
                    </a:ln>
                  </pic:spPr>
                </pic:pic>
              </a:graphicData>
            </a:graphic>
          </wp:inline>
        </w:drawing>
      </w:r>
    </w:p>
    <w:p>
      <w:pPr>
        <w:pStyle w:val="2"/>
        <w:widowControl w:val="0"/>
        <w:spacing w:line="240" w:lineRule="auto"/>
        <w:ind w:firstLine="0" w:firstLineChars="0"/>
        <w:jc w:val="center"/>
      </w:pPr>
    </w:p>
    <w:p>
      <w:pPr>
        <w:pStyle w:val="2"/>
        <w:widowControl w:val="0"/>
        <w:spacing w:line="580" w:lineRule="exact"/>
        <w:ind w:firstLine="960" w:firstLineChars="300"/>
        <w:jc w:val="center"/>
      </w:pPr>
    </w:p>
    <w:p>
      <w:pPr>
        <w:pStyle w:val="2"/>
        <w:widowControl w:val="0"/>
        <w:spacing w:line="240" w:lineRule="auto"/>
        <w:ind w:firstLine="0" w:firstLineChars="0"/>
        <w:jc w:val="center"/>
      </w:pPr>
    </w:p>
    <w:p>
      <w:pPr>
        <w:pStyle w:val="2"/>
        <w:widowControl w:val="0"/>
        <w:spacing w:line="240" w:lineRule="auto"/>
        <w:ind w:firstLine="0" w:firstLineChars="0"/>
        <w:jc w:val="center"/>
      </w:pPr>
    </w:p>
    <w:p>
      <w:pPr>
        <w:pStyle w:val="2"/>
        <w:widowControl w:val="0"/>
        <w:spacing w:line="240" w:lineRule="auto"/>
        <w:ind w:firstLine="0" w:firstLineChars="0"/>
        <w:jc w:val="center"/>
      </w:pPr>
    </w:p>
    <w:p>
      <w:pPr>
        <w:pStyle w:val="31"/>
        <w:rPr>
          <w:lang w:val="zh-CN" w:bidi="zh-CN"/>
        </w:rPr>
      </w:pPr>
    </w:p>
    <w:p>
      <w:pPr>
        <w:pStyle w:val="6"/>
        <w:rPr>
          <w:lang w:val="zh-CN" w:bidi="zh-CN"/>
        </w:rPr>
      </w:pPr>
    </w:p>
    <w:p>
      <w:pPr>
        <w:pStyle w:val="6"/>
        <w:rPr>
          <w:lang w:val="zh-CN" w:bidi="zh-CN"/>
        </w:rPr>
      </w:pPr>
    </w:p>
    <w:p>
      <w:pPr>
        <w:pStyle w:val="6"/>
        <w:rPr>
          <w:lang w:val="zh-CN" w:bidi="zh-CN"/>
        </w:rPr>
      </w:pPr>
    </w:p>
    <w:p>
      <w:pPr>
        <w:pStyle w:val="21"/>
        <w:jc w:val="center"/>
        <w:outlineLvl w:val="0"/>
        <w:rPr>
          <w:rFonts w:ascii="方正小标宋简体" w:hAnsi="Times New Roman" w:eastAsia="方正小标宋简体" w:cs="Times New Roman"/>
          <w:sz w:val="44"/>
          <w:szCs w:val="44"/>
        </w:rPr>
      </w:pPr>
      <w:bookmarkStart w:id="6" w:name="_Toc4824"/>
      <w:r>
        <w:rPr>
          <w:rFonts w:hint="eastAsia" w:ascii="仿宋_GB2312" w:hAnsi="Times New Roman" w:eastAsia="仿宋_GB2312" w:cs="Times New Roman"/>
          <w:sz w:val="44"/>
          <w:szCs w:val="44"/>
        </w:rPr>
        <w:t>III</w:t>
      </w:r>
      <w:r>
        <w:rPr>
          <w:rFonts w:hint="eastAsia" w:ascii="方正小标宋简体" w:hAnsi="Times New Roman" w:eastAsia="方正小标宋简体" w:cs="Times New Roman"/>
          <w:sz w:val="44"/>
          <w:szCs w:val="44"/>
        </w:rPr>
        <w:t>级响应</w:t>
      </w:r>
      <w:bookmarkEnd w:id="6"/>
    </w:p>
    <w:p>
      <w:pPr>
        <w:pStyle w:val="2"/>
        <w:widowControl w:val="0"/>
        <w:spacing w:line="240" w:lineRule="auto"/>
        <w:ind w:firstLine="0" w:firstLineChars="0"/>
        <w:jc w:val="center"/>
        <w:rPr>
          <w:rFonts w:ascii="Times New Roman" w:hAnsi="Times New Roman"/>
        </w:rPr>
      </w:pPr>
      <w:r>
        <w:rPr>
          <w:lang w:val="en-US" w:bidi="ar-SA"/>
        </w:rPr>
        <w:drawing>
          <wp:inline distT="0" distB="0" distL="0" distR="0">
            <wp:extent cx="5325745" cy="5122545"/>
            <wp:effectExtent l="0" t="0" r="8255"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a:picLocks noChangeArrowheads="true"/>
                    </pic:cNvPicPr>
                  </pic:nvPicPr>
                  <pic:blipFill>
                    <a:blip r:embed="rId17">
                      <a:extLst>
                        <a:ext uri="{28A0092B-C50C-407E-A947-70E740481C1C}">
                          <a14:useLocalDpi xmlns:a14="http://schemas.microsoft.com/office/drawing/2010/main" val="false"/>
                        </a:ext>
                      </a:extLst>
                    </a:blip>
                    <a:srcRect/>
                    <a:stretch>
                      <a:fillRect/>
                    </a:stretch>
                  </pic:blipFill>
                  <pic:spPr>
                    <a:xfrm>
                      <a:off x="0" y="0"/>
                      <a:ext cx="5325745" cy="5122545"/>
                    </a:xfrm>
                    <a:prstGeom prst="rect">
                      <a:avLst/>
                    </a:prstGeom>
                    <a:noFill/>
                    <a:ln>
                      <a:noFill/>
                    </a:ln>
                  </pic:spPr>
                </pic:pic>
              </a:graphicData>
            </a:graphic>
          </wp:inline>
        </w:drawing>
      </w:r>
    </w:p>
    <w:p>
      <w:pPr>
        <w:jc w:val="center"/>
      </w:pPr>
    </w:p>
    <w:p>
      <w:pPr>
        <w:jc w:val="center"/>
      </w:pPr>
    </w:p>
    <w:p/>
    <w:p/>
    <w:p>
      <w:pPr>
        <w:pStyle w:val="21"/>
      </w:pPr>
    </w:p>
    <w:p>
      <w:pPr>
        <w:pStyle w:val="14"/>
      </w:pPr>
    </w:p>
    <w:p>
      <w:pPr>
        <w:pStyle w:val="21"/>
      </w:pPr>
    </w:p>
    <w:p>
      <w:pPr>
        <w:spacing w:line="240" w:lineRule="auto"/>
        <w:jc w:val="center"/>
        <w:outlineLvl w:val="0"/>
        <w:rPr>
          <w:rFonts w:ascii="方正小标宋简体" w:eastAsia="方正小标宋简体"/>
          <w:sz w:val="44"/>
          <w:szCs w:val="44"/>
        </w:rPr>
      </w:pPr>
      <w:bookmarkStart w:id="7" w:name="_Toc5390"/>
      <w:r>
        <w:rPr>
          <w:rFonts w:hint="eastAsia" w:ascii="仿宋_GB2312"/>
          <w:sz w:val="44"/>
          <w:szCs w:val="44"/>
        </w:rPr>
        <w:t>II</w:t>
      </w:r>
      <w:r>
        <w:rPr>
          <w:rFonts w:hint="eastAsia" w:ascii="方正小标宋简体" w:eastAsia="方正小标宋简体"/>
          <w:sz w:val="44"/>
          <w:szCs w:val="44"/>
        </w:rPr>
        <w:t>级响应</w:t>
      </w:r>
      <w:bookmarkEnd w:id="7"/>
    </w:p>
    <w:p>
      <w:pPr>
        <w:pStyle w:val="14"/>
        <w:ind w:left="0"/>
        <w:jc w:val="center"/>
      </w:pPr>
      <w:r>
        <w:drawing>
          <wp:inline distT="0" distB="0" distL="0" distR="0">
            <wp:extent cx="5715000" cy="5850255"/>
            <wp:effectExtent l="0" t="0" r="0" b="0"/>
            <wp:docPr id="3" name="图片 5"/>
            <wp:cNvGraphicFramePr/>
            <a:graphic xmlns:a="http://schemas.openxmlformats.org/drawingml/2006/main">
              <a:graphicData uri="http://schemas.openxmlformats.org/drawingml/2006/picture">
                <pic:pic xmlns:pic="http://schemas.openxmlformats.org/drawingml/2006/picture">
                  <pic:nvPicPr>
                    <pic:cNvPr id="3" name="图片 5"/>
                    <pic:cNvPicPr>
                      <a:picLocks noChangeArrowheads="true"/>
                    </pic:cNvPicPr>
                  </pic:nvPicPr>
                  <pic:blipFill>
                    <a:blip r:embed="rId18">
                      <a:extLst>
                        <a:ext uri="{28A0092B-C50C-407E-A947-70E740481C1C}">
                          <a14:useLocalDpi xmlns:a14="http://schemas.microsoft.com/office/drawing/2010/main" val="false"/>
                        </a:ext>
                      </a:extLst>
                    </a:blip>
                    <a:srcRect/>
                    <a:stretch>
                      <a:fillRect/>
                    </a:stretch>
                  </pic:blipFill>
                  <pic:spPr>
                    <a:xfrm>
                      <a:off x="0" y="0"/>
                      <a:ext cx="5715000" cy="5850255"/>
                    </a:xfrm>
                    <a:prstGeom prst="rect">
                      <a:avLst/>
                    </a:prstGeom>
                    <a:noFill/>
                    <a:ln>
                      <a:noFill/>
                    </a:ln>
                  </pic:spPr>
                </pic:pic>
              </a:graphicData>
            </a:graphic>
          </wp:inline>
        </w:drawing>
      </w:r>
    </w:p>
    <w:p/>
    <w:p>
      <w:pPr>
        <w:pStyle w:val="21"/>
      </w:pPr>
    </w:p>
    <w:p>
      <w:pPr>
        <w:pStyle w:val="21"/>
      </w:pPr>
    </w:p>
    <w:p>
      <w:pPr>
        <w:spacing w:line="240" w:lineRule="auto"/>
        <w:jc w:val="center"/>
        <w:outlineLvl w:val="0"/>
        <w:rPr>
          <w:rFonts w:ascii="方正小标宋简体" w:eastAsia="方正小标宋简体"/>
          <w:sz w:val="44"/>
          <w:szCs w:val="44"/>
        </w:rPr>
      </w:pPr>
      <w:bookmarkStart w:id="8" w:name="_Toc1433"/>
      <w:r>
        <w:rPr>
          <w:rFonts w:hint="eastAsia" w:ascii="仿宋_GB2312"/>
          <w:sz w:val="44"/>
          <w:szCs w:val="44"/>
        </w:rPr>
        <w:fldChar w:fldCharType="begin"/>
      </w:r>
      <w:r>
        <w:rPr>
          <w:rFonts w:hint="eastAsia" w:ascii="仿宋_GB2312"/>
          <w:sz w:val="44"/>
          <w:szCs w:val="44"/>
        </w:rPr>
        <w:instrText xml:space="preserve"> = 1 \* ROMAN </w:instrText>
      </w:r>
      <w:r>
        <w:rPr>
          <w:rFonts w:hint="eastAsia" w:ascii="仿宋_GB2312"/>
          <w:sz w:val="44"/>
          <w:szCs w:val="44"/>
        </w:rPr>
        <w:fldChar w:fldCharType="separate"/>
      </w:r>
      <w:r>
        <w:rPr>
          <w:rFonts w:hint="eastAsia" w:ascii="仿宋_GB2312"/>
          <w:sz w:val="44"/>
          <w:szCs w:val="44"/>
        </w:rPr>
        <w:t>I</w:t>
      </w:r>
      <w:r>
        <w:rPr>
          <w:rFonts w:hint="eastAsia" w:ascii="仿宋_GB2312"/>
          <w:sz w:val="44"/>
          <w:szCs w:val="44"/>
        </w:rPr>
        <w:fldChar w:fldCharType="end"/>
      </w:r>
      <w:r>
        <w:rPr>
          <w:rFonts w:hint="eastAsia" w:ascii="方正小标宋简体" w:eastAsia="方正小标宋简体"/>
          <w:sz w:val="44"/>
          <w:szCs w:val="44"/>
        </w:rPr>
        <w:t>级响应</w:t>
      </w:r>
      <w:bookmarkEnd w:id="8"/>
    </w:p>
    <w:p>
      <w:pPr>
        <w:pStyle w:val="21"/>
        <w:adjustRightInd w:val="0"/>
        <w:snapToGrid w:val="0"/>
        <w:spacing w:line="240" w:lineRule="auto"/>
      </w:pPr>
      <w:r>
        <w:drawing>
          <wp:inline distT="0" distB="0" distL="0" distR="0">
            <wp:extent cx="6273800" cy="7848600"/>
            <wp:effectExtent l="0" t="0" r="0" b="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a:picLocks noChangeArrowheads="true"/>
                    </pic:cNvPicPr>
                  </pic:nvPicPr>
                  <pic:blipFill>
                    <a:blip r:embed="rId19">
                      <a:extLst>
                        <a:ext uri="{28A0092B-C50C-407E-A947-70E740481C1C}">
                          <a14:useLocalDpi xmlns:a14="http://schemas.microsoft.com/office/drawing/2010/main" val="false"/>
                        </a:ext>
                      </a:extLst>
                    </a:blip>
                    <a:srcRect/>
                    <a:stretch>
                      <a:fillRect/>
                    </a:stretch>
                  </pic:blipFill>
                  <pic:spPr>
                    <a:xfrm>
                      <a:off x="0" y="0"/>
                      <a:ext cx="6273800" cy="7848600"/>
                    </a:xfrm>
                    <a:prstGeom prst="rect">
                      <a:avLst/>
                    </a:prstGeom>
                    <a:noFill/>
                    <a:ln>
                      <a:noFill/>
                    </a:ln>
                  </pic:spPr>
                </pic:pic>
              </a:graphicData>
            </a:graphic>
          </wp:inline>
        </w:drawing>
      </w:r>
    </w:p>
    <w:p>
      <w:pPr>
        <w:tabs>
          <w:tab w:val="left" w:pos="1997"/>
        </w:tabs>
        <w:sectPr>
          <w:pgSz w:w="11905" w:h="16838"/>
          <w:pgMar w:top="964" w:right="907" w:bottom="1985" w:left="1021" w:header="284" w:footer="1588" w:gutter="0"/>
          <w:cols w:space="720" w:num="1"/>
          <w:docGrid w:type="lines" w:linePitch="589" w:charSpace="-849"/>
        </w:sectPr>
      </w:pPr>
    </w:p>
    <w:p>
      <w:pPr>
        <w:widowControl w:val="0"/>
        <w:ind w:firstLine="640" w:firstLineChars="200"/>
        <w:outlineLvl w:val="0"/>
        <w:rPr>
          <w:rFonts w:ascii="黑体" w:hAnsi="黑体" w:eastAsia="黑体" w:cs="黑体"/>
        </w:rPr>
      </w:pPr>
      <w:bookmarkStart w:id="9" w:name="_Toc31697"/>
      <w:bookmarkStart w:id="10" w:name="_Toc32414"/>
      <w:bookmarkStart w:id="11" w:name="_Toc70532403"/>
      <w:bookmarkStart w:id="12" w:name="_Toc41146168"/>
      <w:bookmarkStart w:id="13" w:name="_Toc20168"/>
      <w:r>
        <w:rPr>
          <w:rFonts w:hint="eastAsia" w:ascii="黑体" w:hAnsi="黑体" w:eastAsia="黑体" w:cs="黑体"/>
        </w:rPr>
        <w:t>1 总则</w:t>
      </w:r>
      <w:bookmarkEnd w:id="9"/>
      <w:bookmarkEnd w:id="10"/>
      <w:bookmarkEnd w:id="11"/>
      <w:bookmarkEnd w:id="12"/>
      <w:bookmarkEnd w:id="13"/>
    </w:p>
    <w:p>
      <w:pPr>
        <w:ind w:firstLine="640" w:firstLineChars="200"/>
        <w:outlineLvl w:val="1"/>
        <w:rPr>
          <w:rFonts w:ascii="楷体_GB2312" w:hAnsi="楷体_GB2312" w:eastAsia="楷体_GB2312" w:cs="楷体_GB2312"/>
        </w:rPr>
      </w:pPr>
      <w:bookmarkStart w:id="14" w:name="_Toc70532404"/>
      <w:bookmarkStart w:id="15" w:name="_Toc18334"/>
      <w:bookmarkStart w:id="16" w:name="_Toc41146169"/>
      <w:bookmarkStart w:id="17" w:name="_Toc17005"/>
      <w:bookmarkStart w:id="18" w:name="_Toc25361"/>
      <w:r>
        <w:rPr>
          <w:rFonts w:hint="eastAsia" w:ascii="楷体_GB2312" w:hAnsi="楷体_GB2312" w:eastAsia="楷体_GB2312" w:cs="楷体_GB2312"/>
        </w:rPr>
        <w:t>1.1 编制目的</w:t>
      </w:r>
      <w:bookmarkEnd w:id="14"/>
      <w:bookmarkEnd w:id="15"/>
      <w:bookmarkEnd w:id="16"/>
      <w:bookmarkEnd w:id="17"/>
      <w:bookmarkEnd w:id="18"/>
    </w:p>
    <w:p>
      <w:pPr>
        <w:pStyle w:val="6"/>
      </w:pPr>
      <w:r>
        <w:rPr>
          <w:rFonts w:hint="eastAsia"/>
        </w:rPr>
        <w:t>建立健全深圳市自然灾害救助体系和运行机制，规范自然灾害救助行为，提高自然灾害救助能力，按照“优化、协同、高效”的原则，最大程度减少自然灾害造成的人民群众生命财产损失，确保受灾人员基本生活，维护受灾地区社会稳定。</w:t>
      </w:r>
    </w:p>
    <w:p>
      <w:pPr>
        <w:ind w:firstLine="640" w:firstLineChars="200"/>
        <w:outlineLvl w:val="1"/>
        <w:rPr>
          <w:rFonts w:ascii="楷体_GB2312" w:hAnsi="楷体_GB2312" w:eastAsia="楷体_GB2312" w:cs="楷体_GB2312"/>
        </w:rPr>
      </w:pPr>
      <w:bookmarkStart w:id="19" w:name="_Toc30951"/>
      <w:bookmarkStart w:id="20" w:name="_Toc41146170"/>
      <w:bookmarkStart w:id="21" w:name="_Toc20394"/>
      <w:bookmarkStart w:id="22" w:name="_Toc70532405"/>
      <w:bookmarkStart w:id="23" w:name="_Toc17789"/>
      <w:r>
        <w:rPr>
          <w:rFonts w:hint="eastAsia" w:ascii="楷体_GB2312" w:hAnsi="楷体_GB2312" w:eastAsia="楷体_GB2312" w:cs="楷体_GB2312"/>
        </w:rPr>
        <w:t>1.2 编制依据</w:t>
      </w:r>
      <w:bookmarkEnd w:id="19"/>
      <w:bookmarkEnd w:id="20"/>
      <w:bookmarkEnd w:id="21"/>
      <w:bookmarkEnd w:id="22"/>
      <w:bookmarkEnd w:id="23"/>
    </w:p>
    <w:p>
      <w:pPr>
        <w:pStyle w:val="6"/>
      </w:pPr>
      <w:r>
        <w:rPr>
          <w:rFonts w:hint="eastAsia"/>
        </w:rPr>
        <w:t>依据《中华人民共和国突发事件应对法》《中华人民共和国防洪法》《中华人民共和国防震减灾法》《中华人民共和国气象法》《中华人民共和国慈善法》《中华人民共和国公益事业捐赠法》《自然灾害救助条例》</w:t>
      </w:r>
      <w:r>
        <w:rPr>
          <w:rFonts w:hint="eastAsia"/>
          <w:lang w:eastAsia="zh-CN"/>
        </w:rPr>
        <w:t>《</w:t>
      </w:r>
      <w:r>
        <w:rPr>
          <w:rFonts w:hint="eastAsia"/>
          <w:lang w:val="en-US" w:eastAsia="zh-CN"/>
        </w:rPr>
        <w:t>中华人民共和国防汛条例</w:t>
      </w:r>
      <w:r>
        <w:rPr>
          <w:rFonts w:hint="eastAsia"/>
          <w:lang w:eastAsia="zh-CN"/>
        </w:rPr>
        <w:t>》《</w:t>
      </w:r>
      <w:r>
        <w:rPr>
          <w:rFonts w:hint="eastAsia"/>
          <w:lang w:val="en-US" w:eastAsia="zh-CN"/>
        </w:rPr>
        <w:t>中华人民共和国抗旱条例</w:t>
      </w:r>
      <w:r>
        <w:rPr>
          <w:rFonts w:hint="eastAsia"/>
          <w:lang w:eastAsia="zh-CN"/>
        </w:rPr>
        <w:t>》</w:t>
      </w:r>
      <w:r>
        <w:rPr>
          <w:rFonts w:hint="eastAsia"/>
        </w:rPr>
        <w:t>《地质灾害防治条例》《气象灾害防御条例》《自然灾害情况统计调查制度》《广东省突发事件应对条例》《广东省防汛防旱防风条例》</w:t>
      </w:r>
      <w:r>
        <w:rPr>
          <w:rFonts w:hint="eastAsia"/>
          <w:lang w:eastAsia="zh-CN"/>
        </w:rPr>
        <w:t>《</w:t>
      </w:r>
      <w:r>
        <w:rPr>
          <w:rFonts w:hint="eastAsia"/>
          <w:lang w:val="en-US" w:eastAsia="zh-CN"/>
        </w:rPr>
        <w:t>广东省森林防火条例</w:t>
      </w:r>
      <w:r>
        <w:rPr>
          <w:rFonts w:hint="eastAsia"/>
          <w:lang w:eastAsia="zh-CN"/>
        </w:rPr>
        <w:t>》</w:t>
      </w:r>
      <w:r>
        <w:rPr>
          <w:rFonts w:hint="eastAsia"/>
        </w:rPr>
        <w:t>《广东省社会力量参与救灾促进条例》</w:t>
      </w:r>
      <w:r>
        <w:rPr>
          <w:rFonts w:hint="eastAsia"/>
          <w:lang w:eastAsia="zh-CN"/>
        </w:rPr>
        <w:t>《</w:t>
      </w:r>
      <w:r>
        <w:rPr>
          <w:rFonts w:hint="eastAsia"/>
          <w:lang w:val="en-US" w:eastAsia="zh-CN"/>
        </w:rPr>
        <w:t>深圳经济特区自然灾害防治条例》</w:t>
      </w:r>
      <w:r>
        <w:rPr>
          <w:rFonts w:hint="eastAsia"/>
        </w:rPr>
        <w:t>《突发事件应急预案管理办法》《救灾捐赠管理办法》《广东省自然灾害救助办法》《广东省突发事件预警信息发布管理办法》《深圳市突发事件应急预案管理办法》《深圳市应急避难场所管理办法》《深圳市突发事件预警信息发布管理暂行办法》《国家自然灾害救助应急预案》《广东省突发事件总体应急预案》《广东省自然灾害救助应急预案》《深圳市突发事件总体应急预案》等法律法规及有关规定，制定本预案。</w:t>
      </w:r>
    </w:p>
    <w:p>
      <w:pPr>
        <w:ind w:firstLine="640" w:firstLineChars="200"/>
        <w:outlineLvl w:val="1"/>
        <w:rPr>
          <w:rFonts w:ascii="楷体_GB2312" w:hAnsi="楷体_GB2312" w:eastAsia="楷体_GB2312" w:cs="楷体_GB2312"/>
        </w:rPr>
      </w:pPr>
      <w:bookmarkStart w:id="24" w:name="_Toc41146171"/>
      <w:bookmarkStart w:id="25" w:name="_Toc15497"/>
      <w:bookmarkStart w:id="26" w:name="_Toc70532406"/>
      <w:bookmarkStart w:id="27" w:name="_Toc25682"/>
      <w:bookmarkStart w:id="28" w:name="_Toc6346"/>
      <w:r>
        <w:rPr>
          <w:rFonts w:hint="eastAsia" w:ascii="楷体_GB2312" w:hAnsi="楷体_GB2312" w:eastAsia="楷体_GB2312" w:cs="楷体_GB2312"/>
        </w:rPr>
        <w:t>1.3 适用范围</w:t>
      </w:r>
      <w:bookmarkEnd w:id="24"/>
      <w:bookmarkEnd w:id="25"/>
      <w:bookmarkEnd w:id="26"/>
      <w:bookmarkEnd w:id="27"/>
      <w:bookmarkEnd w:id="28"/>
    </w:p>
    <w:p>
      <w:pPr>
        <w:pStyle w:val="6"/>
      </w:pPr>
      <w:r>
        <w:rPr>
          <w:rFonts w:hint="eastAsia"/>
        </w:rPr>
        <w:t>本预案适用于发生在深圳市行政区域及深汕特别合作区辖区内的自然灾害救助工作。</w:t>
      </w:r>
    </w:p>
    <w:p>
      <w:pPr>
        <w:pStyle w:val="6"/>
      </w:pPr>
      <w:r>
        <w:rPr>
          <w:rFonts w:hint="eastAsia"/>
        </w:rPr>
        <w:t>当相邻地市发生重特大自然灾害并对深圳市造成较大影响时，按照本预案开展应急救助工作。发生其他类型突发事件，根据需要可参照本预案开展应急救助工作。</w:t>
      </w:r>
    </w:p>
    <w:p>
      <w:pPr>
        <w:ind w:firstLine="640" w:firstLineChars="200"/>
        <w:outlineLvl w:val="1"/>
        <w:rPr>
          <w:rFonts w:ascii="楷体_GB2312" w:hAnsi="楷体_GB2312" w:eastAsia="楷体_GB2312" w:cs="楷体_GB2312"/>
        </w:rPr>
      </w:pPr>
      <w:bookmarkStart w:id="29" w:name="_Toc41146172"/>
      <w:bookmarkStart w:id="30" w:name="_Toc18867"/>
      <w:bookmarkStart w:id="31" w:name="_Toc21533"/>
      <w:bookmarkStart w:id="32" w:name="_Toc70532407"/>
      <w:bookmarkStart w:id="33" w:name="_Toc4310"/>
      <w:r>
        <w:rPr>
          <w:rFonts w:hint="eastAsia" w:ascii="楷体_GB2312" w:hAnsi="楷体_GB2312" w:eastAsia="楷体_GB2312" w:cs="楷体_GB2312"/>
        </w:rPr>
        <w:t>1.4 工作原则</w:t>
      </w:r>
      <w:bookmarkEnd w:id="29"/>
      <w:bookmarkEnd w:id="30"/>
      <w:bookmarkEnd w:id="31"/>
      <w:bookmarkEnd w:id="32"/>
      <w:bookmarkEnd w:id="33"/>
    </w:p>
    <w:p>
      <w:pPr>
        <w:pStyle w:val="6"/>
      </w:pPr>
      <w:r>
        <w:rPr>
          <w:rFonts w:hint="eastAsia" w:ascii="仿宋_GB2312"/>
        </w:rPr>
        <w:t>（</w:t>
      </w:r>
      <w:r>
        <w:rPr>
          <w:rFonts w:ascii="仿宋_GB2312"/>
        </w:rPr>
        <w:t>1</w:t>
      </w:r>
      <w:r>
        <w:rPr>
          <w:rFonts w:hint="eastAsia" w:ascii="仿宋_GB2312"/>
        </w:rPr>
        <w:t>）</w:t>
      </w:r>
      <w:r>
        <w:rPr>
          <w:rFonts w:hint="eastAsia"/>
        </w:rPr>
        <w:t>以人为本，保障基本生活。坚持以人民为中心，</w:t>
      </w:r>
      <w:r>
        <w:rPr>
          <w:rFonts w:hint="eastAsia"/>
          <w:bCs w:val="0"/>
        </w:rPr>
        <w:t>牢固树立“两个坚持、三个转变”防灾减灾救灾新理念，</w:t>
      </w:r>
      <w:r>
        <w:rPr>
          <w:rFonts w:hint="eastAsia"/>
        </w:rPr>
        <w:t>把保护人民群众生命健康和财产安全作为首要任务，确保受灾地区人员基本生活。</w:t>
      </w:r>
    </w:p>
    <w:p>
      <w:pPr>
        <w:pStyle w:val="6"/>
      </w:pPr>
      <w:r>
        <w:rPr>
          <w:rFonts w:hint="eastAsia" w:ascii="仿宋_GB2312"/>
        </w:rPr>
        <w:t>（</w:t>
      </w:r>
      <w:r>
        <w:rPr>
          <w:rFonts w:ascii="仿宋_GB2312"/>
        </w:rPr>
        <w:t>2</w:t>
      </w:r>
      <w:r>
        <w:rPr>
          <w:rFonts w:hint="eastAsia" w:ascii="仿宋_GB2312"/>
        </w:rPr>
        <w:t>）</w:t>
      </w:r>
      <w:r>
        <w:rPr>
          <w:rFonts w:hint="eastAsia"/>
        </w:rPr>
        <w:t>统一领导，鼓励社会参与。坚持和加强党对救灾救助工作的集中统一领导，完善党委领导、政府主导、社会力量和市场机制广泛参与、群众自救互救的工作机制，引导和发挥基层群众自治组织和公益性社会组织的作用，健全保险机制。</w:t>
      </w:r>
    </w:p>
    <w:p>
      <w:pPr>
        <w:pStyle w:val="6"/>
      </w:pPr>
      <w:r>
        <w:rPr>
          <w:rFonts w:hint="eastAsia" w:ascii="仿宋_GB2312"/>
        </w:rPr>
        <w:t>（</w:t>
      </w:r>
      <w:r>
        <w:rPr>
          <w:rFonts w:ascii="仿宋_GB2312"/>
        </w:rPr>
        <w:t>3</w:t>
      </w:r>
      <w:r>
        <w:rPr>
          <w:rFonts w:hint="eastAsia" w:ascii="仿宋_GB2312"/>
        </w:rPr>
        <w:t>）</w:t>
      </w:r>
      <w:r>
        <w:rPr>
          <w:rFonts w:hint="eastAsia"/>
        </w:rPr>
        <w:t>统一指挥，加强协调联动。充分发挥深圳市减灾委员会（以下简称市减灾委）的组织、协调作用，加强市减灾委各成员单位的协作配合，健全统一指挥、分工明确、协调有序、运转高效、平战结合的自然灾害救助工作机制。</w:t>
      </w:r>
    </w:p>
    <w:p>
      <w:pPr>
        <w:pStyle w:val="6"/>
      </w:pPr>
      <w:r>
        <w:rPr>
          <w:rFonts w:hint="eastAsia" w:ascii="仿宋_GB2312"/>
        </w:rPr>
        <w:t>（</w:t>
      </w:r>
      <w:r>
        <w:rPr>
          <w:rFonts w:ascii="仿宋_GB2312"/>
        </w:rPr>
        <w:t>4</w:t>
      </w:r>
      <w:r>
        <w:rPr>
          <w:rFonts w:hint="eastAsia" w:ascii="仿宋_GB2312"/>
        </w:rPr>
        <w:t>）</w:t>
      </w:r>
      <w:r>
        <w:rPr>
          <w:rFonts w:hint="eastAsia"/>
        </w:rPr>
        <w:t>分级负责，属地管理为主。市减灾委统筹指导全市自然灾害救助工作，各区政府（含新区管委会、深汕特别合作区管委会，下同）强化协调，发挥主体作用，承担主体责任。</w:t>
      </w:r>
    </w:p>
    <w:p>
      <w:pPr>
        <w:widowControl w:val="0"/>
        <w:ind w:firstLine="640" w:firstLineChars="200"/>
        <w:outlineLvl w:val="0"/>
        <w:rPr>
          <w:rFonts w:ascii="黑体" w:hAnsi="黑体" w:eastAsia="黑体" w:cs="黑体"/>
        </w:rPr>
      </w:pPr>
      <w:bookmarkStart w:id="34" w:name="_Toc26147"/>
      <w:bookmarkStart w:id="35" w:name="_Toc70532408"/>
      <w:bookmarkStart w:id="36" w:name="_Toc1375"/>
      <w:bookmarkStart w:id="37" w:name="_Toc21402"/>
      <w:bookmarkStart w:id="38" w:name="_Toc41146173"/>
      <w:r>
        <w:rPr>
          <w:rFonts w:hint="eastAsia" w:ascii="黑体" w:hAnsi="黑体" w:eastAsia="黑体" w:cs="黑体"/>
        </w:rPr>
        <w:t>2 组织指挥体系</w:t>
      </w:r>
      <w:bookmarkEnd w:id="34"/>
      <w:bookmarkEnd w:id="35"/>
      <w:bookmarkEnd w:id="36"/>
      <w:bookmarkEnd w:id="37"/>
      <w:bookmarkEnd w:id="38"/>
    </w:p>
    <w:p>
      <w:pPr>
        <w:ind w:firstLine="640" w:firstLineChars="200"/>
        <w:outlineLvl w:val="1"/>
        <w:rPr>
          <w:rFonts w:ascii="楷体_GB2312" w:hAnsi="楷体_GB2312" w:eastAsia="楷体_GB2312" w:cs="楷体_GB2312"/>
        </w:rPr>
      </w:pPr>
      <w:bookmarkStart w:id="39" w:name="_Toc70532409"/>
      <w:bookmarkStart w:id="40" w:name="_Toc19686"/>
      <w:bookmarkStart w:id="41" w:name="_Toc13450"/>
      <w:bookmarkStart w:id="42" w:name="_Toc31089"/>
      <w:bookmarkStart w:id="43" w:name="_Toc41146174"/>
      <w:r>
        <w:rPr>
          <w:rFonts w:hint="eastAsia" w:ascii="楷体_GB2312" w:hAnsi="楷体_GB2312" w:eastAsia="楷体_GB2312" w:cs="楷体_GB2312"/>
        </w:rPr>
        <w:t>2.1 市减灾委</w:t>
      </w:r>
      <w:bookmarkEnd w:id="39"/>
      <w:bookmarkEnd w:id="40"/>
      <w:bookmarkEnd w:id="41"/>
      <w:bookmarkEnd w:id="42"/>
      <w:bookmarkEnd w:id="43"/>
    </w:p>
    <w:p>
      <w:pPr>
        <w:pStyle w:val="6"/>
      </w:pPr>
      <w:r>
        <w:rPr>
          <w:rFonts w:hint="eastAsia"/>
        </w:rPr>
        <w:t>市减灾委为深圳市自然灾害救助应急综合协调机构，负责组织、领导全市自然灾害救助工作，协调开展较大自然灾害救助活动，检查、指导各区（含新区、深汕特别合作区，下同）开展自然灾害救助工作；实施靠前指挥，根据灾情派出</w:t>
      </w:r>
      <w:r>
        <w:rPr>
          <w:rFonts w:hint="eastAsia" w:ascii="仿宋_GB2312"/>
        </w:rPr>
        <w:t>工作组</w:t>
      </w:r>
      <w:r>
        <w:rPr>
          <w:rFonts w:hint="eastAsia"/>
        </w:rPr>
        <w:t>；根据需求决定请求中央和省的支援；研究解决救助工作中的其他问题。市减灾委成员单位根据应急响应级别，按照市减灾委的统一部署和各自职责做好自然灾害救助相关工作。</w:t>
      </w:r>
      <w:r>
        <w:rPr>
          <w:rFonts w:hint="eastAsia"/>
          <w:shd w:val="clear" w:color="auto" w:fill="FFFFFF"/>
        </w:rPr>
        <w:t>市减灾委下设</w:t>
      </w:r>
      <w:r>
        <w:rPr>
          <w:rFonts w:hint="eastAsia"/>
        </w:rPr>
        <w:t>市减灾委办公室</w:t>
      </w:r>
      <w:r>
        <w:rPr>
          <w:rFonts w:hint="eastAsia"/>
          <w:shd w:val="clear" w:color="auto" w:fill="FFFFFF"/>
        </w:rPr>
        <w:t>，承担市减灾委日常工作。</w:t>
      </w:r>
    </w:p>
    <w:p>
      <w:pPr>
        <w:pStyle w:val="6"/>
      </w:pPr>
      <w:r>
        <w:rPr>
          <w:rFonts w:hint="eastAsia"/>
        </w:rPr>
        <w:t>主</w:t>
      </w:r>
      <w:r>
        <w:t xml:space="preserve">  </w:t>
      </w:r>
      <w:r>
        <w:rPr>
          <w:rFonts w:hint="eastAsia"/>
        </w:rPr>
        <w:t>任：市政府分管副市长。</w:t>
      </w:r>
    </w:p>
    <w:p>
      <w:pPr>
        <w:pStyle w:val="6"/>
      </w:pPr>
      <w:r>
        <w:rPr>
          <w:rFonts w:hint="eastAsia"/>
        </w:rPr>
        <w:t>副主任：市应急管理局局长。</w:t>
      </w:r>
    </w:p>
    <w:p>
      <w:pPr>
        <w:pStyle w:val="6"/>
      </w:pPr>
      <w:r>
        <w:rPr>
          <w:rFonts w:hint="eastAsia"/>
        </w:rPr>
        <w:t>市减灾委成员单位及职责详见附件。</w:t>
      </w:r>
    </w:p>
    <w:p>
      <w:pPr>
        <w:ind w:firstLine="960" w:firstLineChars="300"/>
        <w:outlineLvl w:val="1"/>
        <w:rPr>
          <w:rFonts w:ascii="楷体_GB2312" w:hAnsi="楷体_GB2312" w:eastAsia="楷体_GB2312" w:cs="楷体_GB2312"/>
        </w:rPr>
      </w:pPr>
      <w:bookmarkStart w:id="44" w:name="_Toc23197"/>
      <w:bookmarkStart w:id="45" w:name="_Toc484"/>
      <w:bookmarkStart w:id="46" w:name="_Toc12536"/>
      <w:bookmarkStart w:id="47" w:name="_Toc70532410"/>
      <w:bookmarkStart w:id="48" w:name="_Toc41146175"/>
      <w:r>
        <w:rPr>
          <w:rFonts w:hint="eastAsia" w:ascii="楷体_GB2312" w:hAnsi="楷体_GB2312" w:eastAsia="楷体_GB2312" w:cs="楷体_GB2312"/>
        </w:rPr>
        <w:t>2.2 市减灾委办公室</w:t>
      </w:r>
      <w:bookmarkEnd w:id="44"/>
      <w:bookmarkEnd w:id="45"/>
      <w:bookmarkEnd w:id="46"/>
      <w:bookmarkEnd w:id="47"/>
      <w:bookmarkEnd w:id="48"/>
    </w:p>
    <w:p>
      <w:pPr>
        <w:pStyle w:val="6"/>
      </w:pPr>
      <w:r>
        <w:rPr>
          <w:rFonts w:hint="eastAsia"/>
        </w:rPr>
        <w:t>市减灾委办公室（以下简称市减灾办）设在市应急管理局，办公室主任由市应急管理局局长兼任，办公室副主任由市应急管理局分管副局长兼任。办公室主要职责：</w:t>
      </w:r>
    </w:p>
    <w:p>
      <w:pPr>
        <w:pStyle w:val="6"/>
        <w:rPr>
          <w:rFonts w:ascii="仿宋_GB2312"/>
        </w:rPr>
      </w:pPr>
      <w:r>
        <w:rPr>
          <w:rFonts w:hint="eastAsia" w:ascii="仿宋_GB2312"/>
        </w:rPr>
        <w:t>（</w:t>
      </w:r>
      <w:r>
        <w:rPr>
          <w:rFonts w:ascii="仿宋_GB2312"/>
        </w:rPr>
        <w:t>1</w:t>
      </w:r>
      <w:r>
        <w:rPr>
          <w:rFonts w:hint="eastAsia" w:ascii="仿宋_GB2312"/>
        </w:rPr>
        <w:t>）贯彻市减灾委有关救灾工作指示和部署，指挥、协调市减灾委成员单位和相关区参与救灾工作；</w:t>
      </w:r>
    </w:p>
    <w:p>
      <w:pPr>
        <w:pStyle w:val="6"/>
        <w:rPr>
          <w:rFonts w:ascii="仿宋_GB2312"/>
        </w:rPr>
      </w:pPr>
      <w:r>
        <w:rPr>
          <w:rFonts w:hint="eastAsia" w:ascii="仿宋_GB2312"/>
        </w:rPr>
        <w:t>（</w:t>
      </w:r>
      <w:r>
        <w:rPr>
          <w:rFonts w:ascii="仿宋_GB2312"/>
        </w:rPr>
        <w:t>2</w:t>
      </w:r>
      <w:r>
        <w:rPr>
          <w:rFonts w:hint="eastAsia" w:ascii="仿宋_GB2312"/>
        </w:rPr>
        <w:t>）收集、汇总、评估、报告灾情、救助需求和救灾工作情况；</w:t>
      </w:r>
    </w:p>
    <w:p>
      <w:pPr>
        <w:pStyle w:val="6"/>
        <w:rPr>
          <w:rFonts w:ascii="仿宋_GB2312"/>
        </w:rPr>
      </w:pPr>
      <w:r>
        <w:rPr>
          <w:rFonts w:hint="eastAsia" w:ascii="仿宋_GB2312"/>
        </w:rPr>
        <w:t>（</w:t>
      </w:r>
      <w:r>
        <w:rPr>
          <w:rFonts w:ascii="仿宋_GB2312"/>
        </w:rPr>
        <w:t>3</w:t>
      </w:r>
      <w:r>
        <w:rPr>
          <w:rFonts w:hint="eastAsia" w:ascii="仿宋_GB2312"/>
        </w:rPr>
        <w:t>）救灾款物管理、分配及监督使用；</w:t>
      </w:r>
    </w:p>
    <w:p>
      <w:pPr>
        <w:pStyle w:val="6"/>
        <w:rPr>
          <w:rFonts w:ascii="仿宋_GB2312"/>
        </w:rPr>
      </w:pPr>
      <w:r>
        <w:rPr>
          <w:rFonts w:hint="eastAsia" w:ascii="仿宋_GB2312"/>
        </w:rPr>
        <w:t>（</w:t>
      </w:r>
      <w:r>
        <w:rPr>
          <w:rFonts w:ascii="仿宋_GB2312"/>
        </w:rPr>
        <w:t>4</w:t>
      </w:r>
      <w:r>
        <w:rPr>
          <w:rFonts w:hint="eastAsia" w:ascii="仿宋_GB2312"/>
        </w:rPr>
        <w:t>）组织召开会商会，分析、评估灾情；</w:t>
      </w:r>
    </w:p>
    <w:p>
      <w:pPr>
        <w:pStyle w:val="6"/>
        <w:rPr>
          <w:rFonts w:ascii="仿宋_GB2312"/>
        </w:rPr>
      </w:pPr>
      <w:r>
        <w:rPr>
          <w:rFonts w:hint="eastAsia" w:ascii="仿宋_GB2312"/>
        </w:rPr>
        <w:t>（</w:t>
      </w:r>
      <w:r>
        <w:rPr>
          <w:rFonts w:ascii="仿宋_GB2312"/>
        </w:rPr>
        <w:t>5</w:t>
      </w:r>
      <w:r>
        <w:rPr>
          <w:rFonts w:hint="eastAsia" w:ascii="仿宋_GB2312"/>
        </w:rPr>
        <w:t>）提出启动、终止应急响应的建议及方案；</w:t>
      </w:r>
    </w:p>
    <w:p>
      <w:pPr>
        <w:pStyle w:val="6"/>
        <w:rPr>
          <w:rFonts w:ascii="仿宋_GB2312"/>
        </w:rPr>
      </w:pPr>
      <w:r>
        <w:rPr>
          <w:rFonts w:hint="eastAsia" w:ascii="仿宋_GB2312"/>
        </w:rPr>
        <w:t>（</w:t>
      </w:r>
      <w:r>
        <w:rPr>
          <w:rFonts w:ascii="仿宋_GB2312"/>
        </w:rPr>
        <w:t>6</w:t>
      </w:r>
      <w:r>
        <w:rPr>
          <w:rFonts w:hint="eastAsia" w:ascii="仿宋_GB2312"/>
        </w:rPr>
        <w:t>）协调有关部门组成工作组，赴受灾地区指导救灾工作；</w:t>
      </w:r>
    </w:p>
    <w:p>
      <w:pPr>
        <w:ind w:firstLine="640" w:firstLineChars="200"/>
        <w:rPr>
          <w:rFonts w:ascii="仿宋_GB2312"/>
          <w:bCs/>
        </w:rPr>
      </w:pPr>
      <w:bookmarkStart w:id="49" w:name="_Toc17685"/>
      <w:bookmarkStart w:id="50" w:name="_Toc41146176"/>
      <w:bookmarkStart w:id="51" w:name="_Toc18820"/>
      <w:r>
        <w:rPr>
          <w:rFonts w:hint="eastAsia" w:ascii="仿宋_GB2312"/>
          <w:bCs/>
        </w:rPr>
        <w:t>（</w:t>
      </w:r>
      <w:r>
        <w:rPr>
          <w:rFonts w:ascii="仿宋_GB2312"/>
          <w:bCs/>
        </w:rPr>
        <w:t>7</w:t>
      </w:r>
      <w:r>
        <w:rPr>
          <w:rFonts w:hint="eastAsia" w:ascii="仿宋_GB2312"/>
          <w:bCs/>
        </w:rPr>
        <w:t>）承担市减灾委交办的其他工作。</w:t>
      </w:r>
    </w:p>
    <w:p>
      <w:pPr>
        <w:ind w:firstLine="640" w:firstLineChars="200"/>
        <w:outlineLvl w:val="1"/>
        <w:rPr>
          <w:rFonts w:ascii="楷体_GB2312" w:hAnsi="楷体_GB2312" w:eastAsia="楷体_GB2312" w:cs="楷体_GB2312"/>
        </w:rPr>
      </w:pPr>
      <w:bookmarkStart w:id="52" w:name="_Toc3445"/>
      <w:bookmarkStart w:id="53" w:name="_Toc70532411"/>
      <w:r>
        <w:rPr>
          <w:rFonts w:hint="eastAsia" w:ascii="楷体_GB2312" w:hAnsi="楷体_GB2312" w:eastAsia="楷体_GB2312" w:cs="楷体_GB2312"/>
        </w:rPr>
        <w:t>2.</w:t>
      </w:r>
      <w:bookmarkEnd w:id="49"/>
      <w:bookmarkEnd w:id="50"/>
      <w:bookmarkEnd w:id="51"/>
      <w:r>
        <w:rPr>
          <w:rFonts w:hint="eastAsia" w:ascii="楷体_GB2312" w:hAnsi="楷体_GB2312" w:eastAsia="楷体_GB2312" w:cs="楷体_GB2312"/>
        </w:rPr>
        <w:t>3 专家组</w:t>
      </w:r>
      <w:bookmarkEnd w:id="52"/>
      <w:bookmarkEnd w:id="53"/>
    </w:p>
    <w:p>
      <w:pPr>
        <w:pStyle w:val="6"/>
      </w:pPr>
      <w:r>
        <w:rPr>
          <w:rFonts w:hint="eastAsia"/>
        </w:rPr>
        <w:t>市减灾委依托市应急专家库组建专家组，对全市减灾救灾救助工作重大决策和重要规划提供政策咨询和建议，为自然灾害灾情评估、应急救助和灾后救助提供咨询意见。</w:t>
      </w:r>
    </w:p>
    <w:p>
      <w:pPr>
        <w:widowControl w:val="0"/>
        <w:ind w:firstLine="640" w:firstLineChars="200"/>
        <w:outlineLvl w:val="0"/>
        <w:rPr>
          <w:rFonts w:ascii="黑体" w:hAnsi="黑体" w:eastAsia="黑体" w:cs="黑体"/>
        </w:rPr>
      </w:pPr>
      <w:bookmarkStart w:id="54" w:name="_Toc70532412"/>
      <w:bookmarkStart w:id="55" w:name="_Toc13365"/>
      <w:bookmarkStart w:id="56" w:name="_Toc41146177"/>
      <w:bookmarkStart w:id="57" w:name="_Toc9695"/>
      <w:bookmarkStart w:id="58" w:name="_Toc15094"/>
      <w:r>
        <w:rPr>
          <w:rFonts w:hint="eastAsia" w:ascii="黑体" w:hAnsi="黑体" w:eastAsia="黑体" w:cs="黑体"/>
        </w:rPr>
        <w:t>3 灾害</w:t>
      </w:r>
      <w:r>
        <w:rPr>
          <w:rFonts w:hint="eastAsia" w:ascii="黑体" w:hAnsi="黑体" w:eastAsia="黑体" w:cs="黑体"/>
          <w:lang w:val="en-US" w:eastAsia="zh-CN"/>
        </w:rPr>
        <w:t>应急响应</w:t>
      </w:r>
      <w:r>
        <w:rPr>
          <w:rFonts w:hint="eastAsia" w:ascii="黑体" w:hAnsi="黑体" w:eastAsia="黑体" w:cs="黑体"/>
        </w:rPr>
        <w:t>救助准备</w:t>
      </w:r>
      <w:bookmarkEnd w:id="54"/>
      <w:bookmarkEnd w:id="55"/>
    </w:p>
    <w:p>
      <w:pPr>
        <w:pStyle w:val="6"/>
      </w:pPr>
      <w:r>
        <w:rPr>
          <w:rFonts w:hint="eastAsia"/>
        </w:rPr>
        <w:t>规划和自然资源、水务、应急管理、地震、气象等有关部门负责做好自然灾害的监测、预测和预报，建立健全专业监测与社会监测相结合的自然灾害监测体系，及时处理风险隐患信息，定期更新数据库，建立信息共享机制。</w:t>
      </w:r>
    </w:p>
    <w:p>
      <w:pPr>
        <w:pStyle w:val="6"/>
        <w:rPr>
          <w:rFonts w:ascii="仿宋_GB2312"/>
        </w:rPr>
      </w:pPr>
      <w:r>
        <w:rPr>
          <w:rFonts w:hint="eastAsia"/>
        </w:rPr>
        <w:t>规划和自然资源、水务、地震、气象</w:t>
      </w:r>
      <w:r>
        <w:rPr>
          <w:rFonts w:hint="eastAsia" w:ascii="仿宋_GB2312"/>
        </w:rPr>
        <w:t>等有关部门要及时向</w:t>
      </w:r>
      <w:r>
        <w:rPr>
          <w:rFonts w:hint="eastAsia"/>
        </w:rPr>
        <w:t>市应急管理局</w:t>
      </w:r>
      <w:r>
        <w:rPr>
          <w:rFonts w:hint="eastAsia" w:ascii="仿宋_GB2312"/>
        </w:rPr>
        <w:t>通报自然灾害预警预报信息，规划和自然资源部门根据需要及时提供地理信息数据。灾害预警信息主要包括：地质灾害、海洋灾害、林业生物灾害预警信息（市规划和自然资源局负责）、</w:t>
      </w:r>
      <w:r>
        <w:rPr>
          <w:rFonts w:hint="eastAsia"/>
        </w:rPr>
        <w:t>森林火灾预警信息（市应急管理局）、</w:t>
      </w:r>
      <w:r>
        <w:rPr>
          <w:rFonts w:hint="eastAsia" w:ascii="仿宋_GB2312"/>
        </w:rPr>
        <w:t>汛情和旱情预警信息（市水务局负责）、地震趋势预测信息（市地震局负责）、气象灾害预警信息（市气象局负责）等。</w:t>
      </w:r>
    </w:p>
    <w:p>
      <w:pPr>
        <w:pStyle w:val="6"/>
        <w:rPr>
          <w:rFonts w:cs="仿宋_GB2312"/>
        </w:rPr>
      </w:pPr>
      <w:r>
        <w:rPr>
          <w:rFonts w:hint="eastAsia"/>
        </w:rPr>
        <w:t>市应急管理局根据自然灾害预警预报信息，结合可能受影响地区的自然条件、人口和社会经济状况，开展灾情预评估。当可能威</w:t>
      </w:r>
      <w:r>
        <w:rPr>
          <w:rFonts w:hint="eastAsia" w:cs="仿宋_GB2312"/>
        </w:rPr>
        <w:t>胁人民群众生命财产安全、影响基本生活、需要提前采取应对措施时，视情况采取以下一项或多项救助准备措施：</w:t>
      </w:r>
    </w:p>
    <w:p>
      <w:pPr>
        <w:pStyle w:val="6"/>
        <w:rPr>
          <w:rFonts w:ascii="仿宋_GB2312"/>
        </w:rPr>
      </w:pPr>
      <w:r>
        <w:rPr>
          <w:rFonts w:hint="eastAsia" w:ascii="仿宋_GB2312"/>
        </w:rPr>
        <w:t>（</w:t>
      </w:r>
      <w:r>
        <w:rPr>
          <w:rFonts w:ascii="仿宋_GB2312"/>
        </w:rPr>
        <w:t>1</w:t>
      </w:r>
      <w:r>
        <w:rPr>
          <w:rFonts w:hint="eastAsia" w:ascii="仿宋_GB2312"/>
        </w:rPr>
        <w:t>）市应急管理局向可能受影响的各区政府、各有关单位通报预警信息，提出灾害救助的准备要求。</w:t>
      </w:r>
    </w:p>
    <w:p>
      <w:pPr>
        <w:pStyle w:val="6"/>
        <w:rPr>
          <w:rFonts w:ascii="仿宋_GB2312"/>
        </w:rPr>
      </w:pPr>
      <w:r>
        <w:rPr>
          <w:rFonts w:hint="eastAsia" w:ascii="仿宋_GB2312"/>
        </w:rPr>
        <w:t>（</w:t>
      </w:r>
      <w:r>
        <w:rPr>
          <w:rFonts w:ascii="仿宋_GB2312"/>
        </w:rPr>
        <w:t>2</w:t>
      </w:r>
      <w:r>
        <w:rPr>
          <w:rFonts w:hint="eastAsia" w:ascii="仿宋_GB2312"/>
        </w:rPr>
        <w:t>）加强应急值守，</w:t>
      </w:r>
      <w:r>
        <w:rPr>
          <w:rStyle w:val="74"/>
          <w:rFonts w:hint="eastAsia" w:ascii="仿宋_GB2312" w:hAnsi="仿宋_GB2312" w:cs="仿宋_GB2312"/>
        </w:rPr>
        <w:t>实行</w:t>
      </w:r>
      <w:r>
        <w:rPr>
          <w:rFonts w:ascii="仿宋_GB2312"/>
        </w:rPr>
        <w:t>24</w:t>
      </w:r>
      <w:r>
        <w:rPr>
          <w:rStyle w:val="74"/>
          <w:rFonts w:ascii="仿宋_GB2312" w:hAnsi="仿宋_GB2312" w:cs="仿宋_GB2312"/>
        </w:rPr>
        <w:t>小时值班</w:t>
      </w:r>
      <w:r>
        <w:rPr>
          <w:rStyle w:val="74"/>
          <w:rFonts w:hint="eastAsia" w:ascii="仿宋_GB2312" w:hAnsi="仿宋_GB2312" w:cs="仿宋_GB2312"/>
        </w:rPr>
        <w:t>制度</w:t>
      </w:r>
      <w:r>
        <w:rPr>
          <w:rStyle w:val="74"/>
          <w:rFonts w:ascii="仿宋_GB2312" w:hAnsi="仿宋_GB2312" w:cs="仿宋_GB2312"/>
        </w:rPr>
        <w:t>，</w:t>
      </w:r>
      <w:r>
        <w:rPr>
          <w:rFonts w:hint="eastAsia" w:ascii="仿宋_GB2312"/>
        </w:rPr>
        <w:t>密切跟踪灾害风险发展趋势，对灾害可能造成的损失进行动态评估，及时调整相关措施。</w:t>
      </w:r>
    </w:p>
    <w:p>
      <w:pPr>
        <w:pStyle w:val="6"/>
        <w:rPr>
          <w:rFonts w:ascii="仿宋_GB2312"/>
        </w:rPr>
      </w:pPr>
      <w:r>
        <w:rPr>
          <w:rFonts w:hint="eastAsia" w:ascii="仿宋_GB2312"/>
        </w:rPr>
        <w:t>（</w:t>
      </w:r>
      <w:r>
        <w:rPr>
          <w:rFonts w:ascii="仿宋_GB2312"/>
        </w:rPr>
        <w:t>3</w:t>
      </w:r>
      <w:r>
        <w:rPr>
          <w:rFonts w:hint="eastAsia" w:ascii="仿宋_GB2312"/>
        </w:rPr>
        <w:t>）各区政府、各有关单位应掌握危险区域人口情况，统计可自行转移安置和需组织转移安置的人数，明确转移责任，科学预设避难人员疏散引导线路和转移安置的应急避难场所。</w:t>
      </w:r>
    </w:p>
    <w:p>
      <w:pPr>
        <w:pStyle w:val="6"/>
        <w:rPr>
          <w:rFonts w:ascii="仿宋_GB2312"/>
        </w:rPr>
      </w:pPr>
      <w:r>
        <w:rPr>
          <w:rFonts w:hint="eastAsia" w:ascii="仿宋_GB2312"/>
        </w:rPr>
        <w:t>（</w:t>
      </w:r>
      <w:r>
        <w:rPr>
          <w:rFonts w:ascii="仿宋_GB2312"/>
        </w:rPr>
        <w:t>4</w:t>
      </w:r>
      <w:r>
        <w:rPr>
          <w:rFonts w:hint="eastAsia" w:ascii="仿宋_GB2312"/>
        </w:rPr>
        <w:t>）市应急管理局启动救灾物资调拨机制，紧急情况下提前调拨，市发展改革委根据市应急管理局的动用指令按程序组织调出；必要时，市减灾办启动交通运输、铁路、邮政、民航等部门（单位）应急联动机制和重点物流企业应急合作机制，共同做好救灾物资调拨工作。</w:t>
      </w:r>
    </w:p>
    <w:p>
      <w:pPr>
        <w:pStyle w:val="6"/>
        <w:rPr>
          <w:rFonts w:ascii="仿宋_GB2312"/>
        </w:rPr>
      </w:pPr>
      <w:r>
        <w:rPr>
          <w:rFonts w:hint="eastAsia" w:ascii="仿宋_GB2312"/>
        </w:rPr>
        <w:t>（</w:t>
      </w:r>
      <w:r>
        <w:rPr>
          <w:rFonts w:ascii="仿宋_GB2312"/>
        </w:rPr>
        <w:t>5</w:t>
      </w:r>
      <w:r>
        <w:rPr>
          <w:rFonts w:hint="eastAsia" w:ascii="仿宋_GB2312"/>
        </w:rPr>
        <w:t>）根据需要派出工作组，实地了解灾害风险，检查指导各项救灾救助准备工作。</w:t>
      </w:r>
    </w:p>
    <w:p>
      <w:pPr>
        <w:pStyle w:val="6"/>
        <w:rPr>
          <w:rFonts w:ascii="仿宋_GB2312"/>
        </w:rPr>
      </w:pPr>
      <w:r>
        <w:rPr>
          <w:rFonts w:hint="eastAsia" w:ascii="仿宋_GB2312"/>
        </w:rPr>
        <w:t>（</w:t>
      </w:r>
      <w:r>
        <w:rPr>
          <w:rFonts w:ascii="仿宋_GB2312"/>
        </w:rPr>
        <w:t>6</w:t>
      </w:r>
      <w:r>
        <w:rPr>
          <w:rFonts w:hint="eastAsia" w:ascii="仿宋_GB2312"/>
        </w:rPr>
        <w:t>）向市委市政府报告预警、灾害救助准备情况，并向市减灾委成员单位通报。</w:t>
      </w:r>
    </w:p>
    <w:p>
      <w:pPr>
        <w:pStyle w:val="6"/>
        <w:rPr>
          <w:rFonts w:ascii="仿宋_GB2312"/>
        </w:rPr>
      </w:pPr>
      <w:r>
        <w:rPr>
          <w:rFonts w:hint="eastAsia" w:ascii="仿宋_GB2312"/>
        </w:rPr>
        <w:t>（7）</w:t>
      </w:r>
      <w:r>
        <w:rPr>
          <w:rFonts w:hint="eastAsia" w:ascii="仿宋_GB2312" w:hAnsi="仿宋_GB2312" w:cs="仿宋_GB2312"/>
        </w:rPr>
        <w:t>必要时及时向</w:t>
      </w:r>
      <w:r>
        <w:rPr>
          <w:rFonts w:hint="eastAsia"/>
        </w:rPr>
        <w:t>社会发布预警信息。</w:t>
      </w:r>
    </w:p>
    <w:bookmarkEnd w:id="56"/>
    <w:bookmarkEnd w:id="57"/>
    <w:bookmarkEnd w:id="58"/>
    <w:p>
      <w:pPr>
        <w:widowControl w:val="0"/>
        <w:ind w:firstLine="640" w:firstLineChars="200"/>
        <w:outlineLvl w:val="0"/>
        <w:rPr>
          <w:rFonts w:ascii="黑体" w:hAnsi="黑体" w:eastAsia="黑体" w:cs="黑体"/>
        </w:rPr>
      </w:pPr>
      <w:bookmarkStart w:id="59" w:name="_Toc70532413"/>
      <w:bookmarkStart w:id="60" w:name="_Toc5991"/>
      <w:bookmarkStart w:id="61" w:name="_Toc5242"/>
      <w:bookmarkStart w:id="62" w:name="_Toc41146178"/>
      <w:bookmarkStart w:id="63" w:name="_Toc31485"/>
      <w:r>
        <w:rPr>
          <w:rFonts w:hint="eastAsia" w:ascii="黑体" w:hAnsi="黑体" w:eastAsia="黑体" w:cs="黑体"/>
        </w:rPr>
        <w:t>4 信息报告和发布</w:t>
      </w:r>
      <w:bookmarkEnd w:id="59"/>
      <w:bookmarkEnd w:id="60"/>
      <w:bookmarkEnd w:id="61"/>
      <w:bookmarkEnd w:id="62"/>
      <w:bookmarkEnd w:id="63"/>
    </w:p>
    <w:p>
      <w:pPr>
        <w:ind w:firstLine="640" w:firstLineChars="200"/>
        <w:outlineLvl w:val="1"/>
        <w:rPr>
          <w:rFonts w:ascii="楷体_GB2312" w:hAnsi="楷体_GB2312" w:eastAsia="楷体_GB2312" w:cs="楷体_GB2312"/>
        </w:rPr>
      </w:pPr>
      <w:bookmarkStart w:id="64" w:name="_Toc4747"/>
      <w:bookmarkStart w:id="65" w:name="_Toc14405"/>
      <w:bookmarkStart w:id="66" w:name="_Toc26238"/>
      <w:bookmarkStart w:id="67" w:name="_Toc70532414"/>
      <w:bookmarkStart w:id="68" w:name="_Toc41146179"/>
      <w:r>
        <w:rPr>
          <w:rFonts w:hint="eastAsia" w:ascii="楷体_GB2312" w:hAnsi="楷体_GB2312" w:eastAsia="楷体_GB2312" w:cs="楷体_GB2312"/>
        </w:rPr>
        <w:t>4.1 信息报告</w:t>
      </w:r>
      <w:bookmarkEnd w:id="64"/>
      <w:bookmarkEnd w:id="65"/>
      <w:bookmarkEnd w:id="66"/>
      <w:bookmarkEnd w:id="67"/>
      <w:bookmarkEnd w:id="68"/>
    </w:p>
    <w:p>
      <w:pPr>
        <w:pStyle w:val="6"/>
      </w:pPr>
      <w:r>
        <w:rPr>
          <w:rFonts w:hint="eastAsia" w:ascii="仿宋_GB2312"/>
        </w:rPr>
        <w:t>规划和自然资源</w:t>
      </w:r>
      <w:r>
        <w:rPr>
          <w:rFonts w:hint="eastAsia"/>
        </w:rPr>
        <w:t>、交通运输、水务、通信等有关部门按照职责收集和提供灾害发生、发展、损失以及防御等信息，及时向本级政府和应急管理局报告。市、区应急管理局按照《自然灾害情况统计调查制度》规定，做好灾情信息收集、汇总、分析、上报及部门间共享工作。</w:t>
      </w:r>
    </w:p>
    <w:p>
      <w:pPr>
        <w:pStyle w:val="6"/>
        <w:rPr>
          <w:rFonts w:ascii="仿宋_GB2312"/>
        </w:rPr>
      </w:pPr>
      <w:r>
        <w:rPr>
          <w:rFonts w:hint="eastAsia" w:ascii="仿宋_GB2312"/>
        </w:rPr>
        <w:t>（</w:t>
      </w:r>
      <w:r>
        <w:rPr>
          <w:rFonts w:ascii="仿宋_GB2312"/>
        </w:rPr>
        <w:t>1</w:t>
      </w:r>
      <w:r>
        <w:rPr>
          <w:rFonts w:hint="eastAsia" w:ascii="仿宋_GB2312"/>
        </w:rPr>
        <w:t>）发生自然灾害，区应急管理局要在灾害发生后</w:t>
      </w:r>
      <w:r>
        <w:rPr>
          <w:rFonts w:ascii="仿宋_GB2312"/>
        </w:rPr>
        <w:t>2</w:t>
      </w:r>
      <w:r>
        <w:rPr>
          <w:rFonts w:hint="eastAsia" w:ascii="仿宋_GB2312"/>
        </w:rPr>
        <w:t>小时内将本行政区域灾情和救灾工作情况向区委区政府和市应急管理局报告，其中，灾情情况包括灾害种类、发生时间、受灾范围、受灾人口、因灾死亡失踪人口、紧急转移安置人口、需紧急生活救助人口、灾害造成的财产损失等反映灾害基本情况的主要指标，救灾工作情况应反映灾区人民政府及应急管理等相关部门、社会组织已采取的救援救灾措施，包括投入的应急力量、资金、物资和装备等，以及灾区需求、面临困难、下一步工作安排等内容。市应急管理局在接报灾情信息</w:t>
      </w:r>
      <w:r>
        <w:rPr>
          <w:rFonts w:ascii="仿宋_GB2312"/>
        </w:rPr>
        <w:t>2</w:t>
      </w:r>
      <w:r>
        <w:rPr>
          <w:rFonts w:hint="eastAsia" w:ascii="仿宋_GB2312"/>
        </w:rPr>
        <w:t>小时内审核、汇总，并向市委值班室、市政府值班室和省应急管理厅报告。</w:t>
      </w:r>
    </w:p>
    <w:p>
      <w:pPr>
        <w:pStyle w:val="6"/>
        <w:rPr>
          <w:rFonts w:ascii="仿宋_GB2312"/>
        </w:rPr>
      </w:pPr>
      <w:r>
        <w:rPr>
          <w:rFonts w:hint="eastAsia" w:ascii="仿宋_GB2312"/>
        </w:rPr>
        <w:t>对造成区级行政区域内</w:t>
      </w:r>
      <w:r>
        <w:rPr>
          <w:rFonts w:ascii="仿宋_GB2312"/>
        </w:rPr>
        <w:t>3</w:t>
      </w:r>
      <w:r>
        <w:rPr>
          <w:rFonts w:hint="eastAsia" w:ascii="仿宋_GB2312"/>
        </w:rPr>
        <w:t>人及以上死亡（含失踪）或社会关注度较高、群众反映强烈、房屋大量倒塌、农田大面积受灾等严重损失的自然灾害，区应急管理局要在灾害发生后</w:t>
      </w:r>
      <w:r>
        <w:rPr>
          <w:rFonts w:ascii="仿宋_GB2312"/>
        </w:rPr>
        <w:t>2</w:t>
      </w:r>
      <w:r>
        <w:rPr>
          <w:rFonts w:hint="eastAsia" w:ascii="仿宋_GB2312"/>
        </w:rPr>
        <w:t>小时内上报区委区政府，并通过灾情直报系统逐级上报。市应急管理局接报后立即报告市委值班室、市政府值班室和省应急管理厅。市人民政府按照有关规定及时报告省人民政府。</w:t>
      </w:r>
    </w:p>
    <w:p>
      <w:pPr>
        <w:pStyle w:val="6"/>
        <w:rPr>
          <w:rFonts w:ascii="仿宋_GB2312"/>
        </w:rPr>
      </w:pPr>
      <w:r>
        <w:rPr>
          <w:rFonts w:hint="eastAsia" w:ascii="仿宋_GB2312"/>
        </w:rPr>
        <w:t>（</w:t>
      </w:r>
      <w:r>
        <w:rPr>
          <w:rFonts w:ascii="仿宋_GB2312"/>
        </w:rPr>
        <w:t>2</w:t>
      </w:r>
      <w:r>
        <w:rPr>
          <w:rFonts w:hint="eastAsia" w:ascii="仿宋_GB2312"/>
        </w:rPr>
        <w:t>）灾情稳定前，全市各级应急管理部门执行灾情</w:t>
      </w:r>
      <w:r>
        <w:rPr>
          <w:rFonts w:ascii="仿宋_GB2312"/>
        </w:rPr>
        <w:t>24</w:t>
      </w:r>
      <w:r>
        <w:rPr>
          <w:rFonts w:hint="eastAsia" w:ascii="仿宋_GB2312"/>
        </w:rPr>
        <w:t>小时零报告制度。灾情稳定后，市应急管理局在接到区级报表后，要在</w:t>
      </w:r>
      <w:r>
        <w:rPr>
          <w:rFonts w:ascii="仿宋_GB2312"/>
        </w:rPr>
        <w:t>3</w:t>
      </w:r>
      <w:r>
        <w:rPr>
          <w:rFonts w:hint="eastAsia" w:ascii="仿宋_GB2312"/>
        </w:rPr>
        <w:t>个工作日内审核、汇总灾情数据并向省应急管理厅报告。</w:t>
      </w:r>
    </w:p>
    <w:p>
      <w:pPr>
        <w:pStyle w:val="6"/>
        <w:rPr>
          <w:rFonts w:ascii="仿宋_GB2312"/>
        </w:rPr>
      </w:pPr>
      <w:r>
        <w:rPr>
          <w:rFonts w:hint="eastAsia" w:ascii="仿宋_GB2312"/>
        </w:rPr>
        <w:t>（</w:t>
      </w:r>
      <w:r>
        <w:rPr>
          <w:rFonts w:ascii="仿宋_GB2312"/>
        </w:rPr>
        <w:t>3</w:t>
      </w:r>
      <w:r>
        <w:rPr>
          <w:rFonts w:hint="eastAsia" w:ascii="仿宋_GB2312"/>
        </w:rPr>
        <w:t>）发生干旱灾害，市、区应急管理局在旱情初显、群众生产和生活受到一定影响时初报灾情；在旱情发展过程中，至少每</w:t>
      </w:r>
      <w:r>
        <w:rPr>
          <w:rFonts w:ascii="仿宋_GB2312"/>
        </w:rPr>
        <w:t>10</w:t>
      </w:r>
      <w:r>
        <w:rPr>
          <w:rFonts w:hint="eastAsia" w:ascii="仿宋_GB2312"/>
        </w:rPr>
        <w:t>日续报一次灾情，灾情解除后及时核报。</w:t>
      </w:r>
    </w:p>
    <w:p>
      <w:pPr>
        <w:pStyle w:val="6"/>
        <w:rPr>
          <w:rFonts w:ascii="仿宋_GB2312"/>
        </w:rPr>
      </w:pPr>
      <w:r>
        <w:rPr>
          <w:rFonts w:hint="eastAsia" w:ascii="仿宋_GB2312"/>
        </w:rPr>
        <w:t>（</w:t>
      </w:r>
      <w:r>
        <w:rPr>
          <w:rFonts w:ascii="仿宋_GB2312"/>
        </w:rPr>
        <w:t>4</w:t>
      </w:r>
      <w:r>
        <w:rPr>
          <w:rFonts w:hint="eastAsia" w:ascii="仿宋_GB2312"/>
        </w:rPr>
        <w:t>）市、区两级政府要建立健全灾情会商制度，本级应急管理部门组织发展与改革、自然资源、交通运输、水务、市场监管、气象等相关部门和单位参加灾情会商会，及时评估、核定灾情数据及相关情况。</w:t>
      </w:r>
    </w:p>
    <w:p>
      <w:pPr>
        <w:pStyle w:val="6"/>
        <w:rPr>
          <w:rFonts w:ascii="仿宋_GB2312"/>
        </w:rPr>
      </w:pPr>
      <w:r>
        <w:rPr>
          <w:rFonts w:hint="eastAsia" w:ascii="仿宋_GB2312"/>
        </w:rPr>
        <w:t>（</w:t>
      </w:r>
      <w:r>
        <w:rPr>
          <w:rFonts w:ascii="仿宋_GB2312"/>
        </w:rPr>
        <w:t>5</w:t>
      </w:r>
      <w:r>
        <w:rPr>
          <w:rFonts w:hint="eastAsia" w:ascii="仿宋_GB2312"/>
        </w:rPr>
        <w:t>）市减灾委成员单位要加强对本行业本系统遭受自然灾害情况的统计上报工作，及时将数据共享至市减灾办（市应急管理局）。</w:t>
      </w:r>
    </w:p>
    <w:p>
      <w:pPr>
        <w:pStyle w:val="6"/>
        <w:rPr>
          <w:rFonts w:ascii="仿宋_GB2312"/>
        </w:rPr>
      </w:pPr>
      <w:r>
        <w:rPr>
          <w:rFonts w:hint="eastAsia" w:ascii="仿宋_GB2312" w:hAnsi="微软雅黑"/>
        </w:rPr>
        <w:t>（</w:t>
      </w:r>
      <w:r>
        <w:rPr>
          <w:rFonts w:ascii="仿宋_GB2312" w:hAnsi="微软雅黑"/>
        </w:rPr>
        <w:t>6）市减灾办根据救灾工作需要，可要求市减灾委成员单位、各区随时报告灾情和救灾工作情况。</w:t>
      </w:r>
    </w:p>
    <w:p>
      <w:pPr>
        <w:adjustRightInd w:val="0"/>
        <w:snapToGrid w:val="0"/>
        <w:ind w:firstLine="640" w:firstLineChars="200"/>
        <w:outlineLvl w:val="1"/>
        <w:rPr>
          <w:rFonts w:ascii="楷体_GB2312" w:hAnsi="楷体_GB2312" w:eastAsia="楷体_GB2312" w:cs="楷体_GB2312"/>
        </w:rPr>
      </w:pPr>
      <w:bookmarkStart w:id="69" w:name="_Toc41146180"/>
      <w:bookmarkStart w:id="70" w:name="_Toc70532415"/>
      <w:bookmarkStart w:id="71" w:name="_Toc20894"/>
      <w:bookmarkStart w:id="72" w:name="_Toc20392"/>
      <w:bookmarkStart w:id="73" w:name="_Toc3024"/>
      <w:r>
        <w:rPr>
          <w:rFonts w:hint="eastAsia" w:ascii="楷体_GB2312" w:hAnsi="楷体_GB2312" w:eastAsia="楷体_GB2312" w:cs="楷体_GB2312"/>
        </w:rPr>
        <w:t>4.2 信息发布</w:t>
      </w:r>
      <w:bookmarkEnd w:id="69"/>
      <w:bookmarkEnd w:id="70"/>
      <w:bookmarkEnd w:id="71"/>
      <w:bookmarkEnd w:id="72"/>
      <w:bookmarkEnd w:id="73"/>
    </w:p>
    <w:p>
      <w:pPr>
        <w:pStyle w:val="6"/>
        <w:rPr>
          <w:rFonts w:ascii="仿宋_GB2312"/>
        </w:rPr>
      </w:pPr>
      <w:r>
        <w:rPr>
          <w:rFonts w:hint="eastAsia" w:ascii="仿宋_GB2312"/>
        </w:rPr>
        <w:t>（</w:t>
      </w:r>
      <w:r>
        <w:rPr>
          <w:rFonts w:ascii="仿宋_GB2312"/>
        </w:rPr>
        <w:t>1</w:t>
      </w:r>
      <w:r>
        <w:rPr>
          <w:rFonts w:hint="eastAsia" w:ascii="仿宋_GB2312"/>
        </w:rPr>
        <w:t>）信息发布坚持实事求是、及时准确、公开透明的原则。信息发布形式包括授权发布、组织报道、接受记者采访、举行新闻发布会或记者招待会等。要主动通过深圳市突发事件预警信息发布中心、“深圳应急一键通”、政务网站、政务微博、政务微信、政务客户端和手机短信等发布信息。具体按照国家、省和市有关规定执行。</w:t>
      </w:r>
    </w:p>
    <w:p>
      <w:pPr>
        <w:pStyle w:val="6"/>
        <w:rPr>
          <w:rFonts w:ascii="仿宋_GB2312"/>
        </w:rPr>
      </w:pPr>
      <w:r>
        <w:rPr>
          <w:rFonts w:hint="eastAsia" w:ascii="仿宋_GB2312"/>
        </w:rPr>
        <w:t>（</w:t>
      </w:r>
      <w:r>
        <w:rPr>
          <w:rFonts w:ascii="仿宋_GB2312"/>
        </w:rPr>
        <w:t>2</w:t>
      </w:r>
      <w:r>
        <w:rPr>
          <w:rFonts w:hint="eastAsia" w:ascii="仿宋_GB2312"/>
        </w:rPr>
        <w:t>）灾情稳定前，及时向社会滚动发布自然灾害造成的人员伤亡、财产损失以及自然灾害救助工作动态、成效、下一步安排等情况；灾情稳定后，及时评估、核定并按有关规定发布自然灾害损失情况。</w:t>
      </w:r>
    </w:p>
    <w:p>
      <w:pPr>
        <w:pStyle w:val="6"/>
        <w:rPr>
          <w:rFonts w:ascii="仿宋_GB2312"/>
        </w:rPr>
      </w:pPr>
      <w:r>
        <w:rPr>
          <w:rFonts w:hint="eastAsia" w:ascii="仿宋_GB2312"/>
        </w:rPr>
        <w:t>（</w:t>
      </w:r>
      <w:r>
        <w:rPr>
          <w:rFonts w:ascii="仿宋_GB2312"/>
        </w:rPr>
        <w:t>3</w:t>
      </w:r>
      <w:r>
        <w:rPr>
          <w:rFonts w:hint="eastAsia" w:ascii="仿宋_GB2312"/>
        </w:rPr>
        <w:t>）积极</w:t>
      </w:r>
      <w:r>
        <w:rPr>
          <w:rFonts w:hint="eastAsia" w:ascii="仿宋_GB2312" w:cs="仿宋_GB2312"/>
          <w:bCs w:val="0"/>
        </w:rPr>
        <w:t>使用大数据、智能大喇叭、应急广播等新技术、新手段，针</w:t>
      </w:r>
      <w:r>
        <w:rPr>
          <w:rFonts w:hint="eastAsia" w:ascii="仿宋_GB2312"/>
        </w:rPr>
        <w:t>对特殊人群和通信、广播、电视盲区及偏远地区的人群，充分发挥基层灾害信息员的作用，</w:t>
      </w:r>
      <w:r>
        <w:rPr>
          <w:rFonts w:hint="eastAsia" w:ascii="仿宋_GB2312" w:cs="仿宋_GB2312"/>
          <w:bCs w:val="0"/>
        </w:rPr>
        <w:t>结合</w:t>
      </w:r>
      <w:r>
        <w:rPr>
          <w:rFonts w:hint="eastAsia" w:ascii="仿宋_GB2312" w:hAnsi="仿宋_GB2312" w:cs="仿宋_GB2312"/>
        </w:rPr>
        <w:t>“走街串巷、进村入户、人紧盯人”等</w:t>
      </w:r>
      <w:r>
        <w:rPr>
          <w:rFonts w:hint="eastAsia" w:ascii="仿宋_GB2312" w:cs="仿宋_GB2312"/>
          <w:bCs w:val="0"/>
        </w:rPr>
        <w:t>传统方式</w:t>
      </w:r>
      <w:r>
        <w:rPr>
          <w:rFonts w:hint="eastAsia" w:ascii="仿宋_GB2312"/>
        </w:rPr>
        <w:t>作为必要补充手段，及时传递灾情信息，确保灾情信息在短时间内覆盖受灾区域内</w:t>
      </w:r>
      <w:r>
        <w:rPr>
          <w:rFonts w:hint="eastAsia" w:ascii="仿宋_GB2312" w:cs="仿宋_GB2312"/>
          <w:bCs w:val="0"/>
        </w:rPr>
        <w:t>全体居民</w:t>
      </w:r>
      <w:r>
        <w:rPr>
          <w:rFonts w:hint="eastAsia" w:ascii="仿宋_GB2312"/>
        </w:rPr>
        <w:t>。</w:t>
      </w:r>
    </w:p>
    <w:p>
      <w:pPr>
        <w:pStyle w:val="6"/>
      </w:pPr>
      <w:r>
        <w:rPr>
          <w:rFonts w:hint="eastAsia" w:ascii="仿宋_GB2312"/>
        </w:rPr>
        <w:t>（</w:t>
      </w:r>
      <w:r>
        <w:rPr>
          <w:rFonts w:ascii="仿宋_GB2312"/>
        </w:rPr>
        <w:t>4</w:t>
      </w:r>
      <w:r>
        <w:rPr>
          <w:rFonts w:hint="eastAsia" w:ascii="仿宋_GB2312"/>
        </w:rPr>
        <w:t>）关于灾情核定和发布工作，法律法规另有规定的，从其规定。</w:t>
      </w:r>
    </w:p>
    <w:p>
      <w:pPr>
        <w:widowControl w:val="0"/>
        <w:ind w:firstLine="640" w:firstLineChars="200"/>
        <w:outlineLvl w:val="0"/>
        <w:rPr>
          <w:rFonts w:ascii="黑体" w:hAnsi="黑体" w:eastAsia="黑体" w:cs="黑体"/>
        </w:rPr>
      </w:pPr>
      <w:bookmarkStart w:id="74" w:name="_Toc32707"/>
      <w:bookmarkStart w:id="75" w:name="_Toc9175"/>
      <w:bookmarkStart w:id="76" w:name="_Toc41146181"/>
      <w:bookmarkStart w:id="77" w:name="_Toc70532416"/>
      <w:bookmarkStart w:id="78" w:name="_Toc11492"/>
      <w:r>
        <w:rPr>
          <w:rFonts w:hint="eastAsia" w:ascii="黑体" w:hAnsi="黑体" w:eastAsia="黑体" w:cs="黑体"/>
        </w:rPr>
        <w:t>5 应急响应</w:t>
      </w:r>
      <w:bookmarkEnd w:id="74"/>
      <w:bookmarkEnd w:id="75"/>
      <w:bookmarkEnd w:id="76"/>
      <w:bookmarkEnd w:id="77"/>
      <w:bookmarkEnd w:id="78"/>
    </w:p>
    <w:p>
      <w:pPr>
        <w:adjustRightInd w:val="0"/>
        <w:snapToGrid w:val="0"/>
        <w:ind w:firstLine="640" w:firstLineChars="200"/>
        <w:outlineLvl w:val="1"/>
        <w:rPr>
          <w:rFonts w:ascii="楷体_GB2312" w:hAnsi="楷体_GB2312" w:eastAsia="楷体_GB2312" w:cs="楷体_GB2312"/>
        </w:rPr>
      </w:pPr>
      <w:bookmarkStart w:id="79" w:name="_Toc70532417"/>
      <w:bookmarkStart w:id="80" w:name="_Toc14060"/>
      <w:bookmarkStart w:id="81" w:name="_Toc41146182"/>
      <w:bookmarkStart w:id="82" w:name="_Toc32115"/>
      <w:bookmarkStart w:id="83" w:name="_Toc30073"/>
      <w:r>
        <w:rPr>
          <w:rFonts w:hint="eastAsia" w:ascii="楷体_GB2312" w:hAnsi="楷体_GB2312" w:eastAsia="楷体_GB2312" w:cs="楷体_GB2312"/>
        </w:rPr>
        <w:t>5.1 先期处置</w:t>
      </w:r>
      <w:bookmarkEnd w:id="79"/>
      <w:bookmarkEnd w:id="80"/>
      <w:bookmarkEnd w:id="81"/>
      <w:bookmarkEnd w:id="82"/>
      <w:bookmarkEnd w:id="83"/>
    </w:p>
    <w:p>
      <w:pPr>
        <w:pStyle w:val="6"/>
      </w:pPr>
      <w:r>
        <w:rPr>
          <w:rFonts w:hint="eastAsia"/>
        </w:rPr>
        <w:t>自然灾害发生后，受灾地区区政府立即组织力量开展先期救灾救助工作，视情采取以下措施：</w:t>
      </w:r>
    </w:p>
    <w:p>
      <w:pPr>
        <w:pStyle w:val="6"/>
        <w:rPr>
          <w:rFonts w:ascii="仿宋_GB2312"/>
        </w:rPr>
      </w:pPr>
      <w:r>
        <w:rPr>
          <w:rFonts w:hint="eastAsia" w:ascii="仿宋_GB2312"/>
        </w:rPr>
        <w:t>（</w:t>
      </w:r>
      <w:r>
        <w:rPr>
          <w:rFonts w:ascii="仿宋_GB2312"/>
        </w:rPr>
        <w:t>1</w:t>
      </w:r>
      <w:r>
        <w:rPr>
          <w:rFonts w:hint="eastAsia" w:ascii="仿宋_GB2312"/>
        </w:rPr>
        <w:t>）控制并监测灾害现场，防止灾害继续扩大；</w:t>
      </w:r>
    </w:p>
    <w:p>
      <w:pPr>
        <w:pStyle w:val="6"/>
        <w:rPr>
          <w:rFonts w:ascii="仿宋_GB2312"/>
        </w:rPr>
      </w:pPr>
      <w:r>
        <w:rPr>
          <w:rFonts w:hint="eastAsia" w:ascii="仿宋_GB2312"/>
        </w:rPr>
        <w:t>（</w:t>
      </w:r>
      <w:r>
        <w:rPr>
          <w:rFonts w:ascii="仿宋_GB2312"/>
        </w:rPr>
        <w:t>2</w:t>
      </w:r>
      <w:r>
        <w:rPr>
          <w:rFonts w:hint="eastAsia" w:ascii="仿宋_GB2312"/>
        </w:rPr>
        <w:t>）发动基层干部群众开展自救互救；</w:t>
      </w:r>
    </w:p>
    <w:p>
      <w:pPr>
        <w:pStyle w:val="6"/>
        <w:rPr>
          <w:rFonts w:ascii="仿宋_GB2312"/>
        </w:rPr>
      </w:pPr>
      <w:r>
        <w:rPr>
          <w:rFonts w:hint="eastAsia" w:ascii="仿宋_GB2312"/>
        </w:rPr>
        <w:t>（</w:t>
      </w:r>
      <w:r>
        <w:rPr>
          <w:rFonts w:ascii="仿宋_GB2312"/>
        </w:rPr>
        <w:t>3</w:t>
      </w:r>
      <w:r>
        <w:rPr>
          <w:rFonts w:hint="eastAsia" w:ascii="仿宋_GB2312"/>
        </w:rPr>
        <w:t>）组织应急救援力量和工作人员，营救并转移安置受灾人员；</w:t>
      </w:r>
    </w:p>
    <w:p>
      <w:pPr>
        <w:pStyle w:val="6"/>
      </w:pPr>
      <w:r>
        <w:rPr>
          <w:rFonts w:hint="eastAsia" w:ascii="仿宋_GB2312"/>
        </w:rPr>
        <w:t>（</w:t>
      </w:r>
      <w:r>
        <w:rPr>
          <w:rFonts w:ascii="仿宋_GB2312"/>
        </w:rPr>
        <w:t>4</w:t>
      </w:r>
      <w:r>
        <w:rPr>
          <w:rFonts w:hint="eastAsia" w:ascii="仿宋_GB2312"/>
        </w:rPr>
        <w:t>）</w:t>
      </w:r>
      <w:r>
        <w:rPr>
          <w:rFonts w:hint="eastAsia" w:ascii="仿宋_GB2312" w:hAnsi="仿宋_GB2312" w:cs="仿宋_GB2312"/>
        </w:rPr>
        <w:t>开放受灾地区附近的应急避难场所，集中安置受灾人员，提供衣、食、住、医等基本生活救助服务</w:t>
      </w:r>
      <w:r>
        <w:rPr>
          <w:rFonts w:hint="eastAsia"/>
        </w:rPr>
        <w:t>；</w:t>
      </w:r>
    </w:p>
    <w:p>
      <w:pPr>
        <w:pStyle w:val="6"/>
        <w:rPr>
          <w:rFonts w:ascii="仿宋_GB2312"/>
        </w:rPr>
      </w:pPr>
      <w:r>
        <w:rPr>
          <w:rFonts w:hint="eastAsia" w:ascii="仿宋_GB2312"/>
        </w:rPr>
        <w:t>（</w:t>
      </w:r>
      <w:r>
        <w:rPr>
          <w:rFonts w:ascii="仿宋_GB2312"/>
        </w:rPr>
        <w:t>5</w:t>
      </w:r>
      <w:r>
        <w:rPr>
          <w:rFonts w:hint="eastAsia" w:ascii="仿宋_GB2312"/>
        </w:rPr>
        <w:t>）维护好灾害现场和</w:t>
      </w:r>
      <w:r>
        <w:rPr>
          <w:rFonts w:hint="eastAsia" w:ascii="仿宋_GB2312" w:hAnsi="仿宋_GB2312" w:cs="仿宋_GB2312"/>
        </w:rPr>
        <w:t>应急避难场所</w:t>
      </w:r>
      <w:r>
        <w:rPr>
          <w:rFonts w:hint="eastAsia" w:ascii="仿宋_GB2312"/>
        </w:rPr>
        <w:t>内秩序；</w:t>
      </w:r>
    </w:p>
    <w:p>
      <w:pPr>
        <w:pStyle w:val="6"/>
        <w:rPr>
          <w:rFonts w:ascii="仿宋_GB2312"/>
        </w:rPr>
      </w:pPr>
      <w:r>
        <w:rPr>
          <w:rFonts w:hint="eastAsia" w:ascii="仿宋_GB2312"/>
        </w:rPr>
        <w:t>（</w:t>
      </w:r>
      <w:r>
        <w:rPr>
          <w:rFonts w:ascii="仿宋_GB2312"/>
        </w:rPr>
        <w:t>6</w:t>
      </w:r>
      <w:r>
        <w:rPr>
          <w:rFonts w:hint="eastAsia" w:ascii="仿宋_GB2312"/>
        </w:rPr>
        <w:t>）按要求收集并报告灾情信息。</w:t>
      </w:r>
    </w:p>
    <w:p>
      <w:pPr>
        <w:ind w:firstLine="640" w:firstLineChars="200"/>
        <w:outlineLvl w:val="1"/>
        <w:rPr>
          <w:rFonts w:ascii="楷体_GB2312" w:hAnsi="楷体_GB2312" w:eastAsia="楷体_GB2312" w:cs="楷体_GB2312"/>
        </w:rPr>
      </w:pPr>
      <w:bookmarkStart w:id="84" w:name="_Toc10231"/>
      <w:bookmarkStart w:id="85" w:name="_Toc70532418"/>
      <w:bookmarkStart w:id="86" w:name="_Toc32353"/>
      <w:bookmarkStart w:id="87" w:name="_Toc21837"/>
      <w:bookmarkStart w:id="88" w:name="_Toc41146183"/>
      <w:r>
        <w:rPr>
          <w:rFonts w:hint="eastAsia" w:ascii="楷体_GB2312" w:hAnsi="楷体_GB2312" w:eastAsia="楷体_GB2312" w:cs="楷体_GB2312"/>
        </w:rPr>
        <w:t>5.2 分级响应</w:t>
      </w:r>
      <w:bookmarkEnd w:id="84"/>
      <w:bookmarkEnd w:id="85"/>
      <w:bookmarkEnd w:id="86"/>
      <w:bookmarkEnd w:id="87"/>
    </w:p>
    <w:p>
      <w:pPr>
        <w:pStyle w:val="6"/>
      </w:pPr>
      <w:r>
        <w:rPr>
          <w:rFonts w:hint="eastAsia"/>
        </w:rPr>
        <w:t>根据自然灾害影响范围、危害程度等，市级自然灾害救助应急响应由低至高依次分为关注级、预备级两个准备响应阶段，Ⅳ级、Ⅲ级、Ⅱ级、Ⅰ级四个响应等级。</w:t>
      </w:r>
    </w:p>
    <w:p>
      <w:pPr>
        <w:widowControl w:val="0"/>
        <w:ind w:firstLine="643"/>
        <w:outlineLvl w:val="2"/>
        <w:rPr>
          <w:rFonts w:cs="仿宋_GB2312"/>
          <w:b/>
        </w:rPr>
      </w:pPr>
      <w:bookmarkStart w:id="89" w:name="_Toc18908"/>
      <w:r>
        <w:rPr>
          <w:rFonts w:ascii="仿宋_GB2312" w:cs="仿宋_GB2312"/>
          <w:b/>
        </w:rPr>
        <w:t>5.2.1</w:t>
      </w:r>
      <w:r>
        <w:rPr>
          <w:rFonts w:cs="仿宋_GB2312"/>
          <w:b/>
        </w:rPr>
        <w:t xml:space="preserve"> </w:t>
      </w:r>
      <w:r>
        <w:rPr>
          <w:rFonts w:hint="eastAsia" w:cs="仿宋_GB2312"/>
          <w:b/>
        </w:rPr>
        <w:t>关注级响应</w:t>
      </w:r>
      <w:bookmarkEnd w:id="89"/>
    </w:p>
    <w:p>
      <w:pPr>
        <w:widowControl w:val="0"/>
        <w:adjustRightInd w:val="0"/>
        <w:snapToGrid w:val="0"/>
        <w:spacing w:line="560" w:lineRule="exact"/>
        <w:ind w:firstLine="640"/>
        <w:rPr>
          <w:rFonts w:cs="仿宋_GB2312"/>
        </w:rPr>
      </w:pPr>
      <w:r>
        <w:rPr>
          <w:rFonts w:ascii="仿宋_GB2312" w:cs="仿宋_GB2312"/>
        </w:rPr>
        <w:t>5.2.1.1</w:t>
      </w:r>
      <w:r>
        <w:rPr>
          <w:rFonts w:cs="仿宋_GB2312"/>
        </w:rPr>
        <w:t xml:space="preserve"> </w:t>
      </w:r>
      <w:r>
        <w:rPr>
          <w:rFonts w:hint="eastAsia" w:cs="仿宋_GB2312"/>
        </w:rPr>
        <w:t>启动条件</w:t>
      </w:r>
    </w:p>
    <w:p>
      <w:pPr>
        <w:pStyle w:val="21"/>
        <w:adjustRightInd w:val="0"/>
        <w:snapToGrid w:val="0"/>
        <w:spacing w:line="560" w:lineRule="exact"/>
        <w:ind w:firstLine="640" w:firstLineChars="200"/>
        <w:jc w:val="left"/>
        <w:rPr>
          <w:rFonts w:ascii="仿宋_GB2312" w:hAnsi="Times New Roman" w:eastAsia="仿宋_GB2312"/>
          <w:bCs/>
          <w:sz w:val="32"/>
          <w:szCs w:val="32"/>
        </w:rPr>
      </w:pPr>
      <w:r>
        <w:rPr>
          <w:rFonts w:hint="eastAsia" w:ascii="仿宋_GB2312" w:hAnsi="Times New Roman" w:eastAsia="仿宋_GB2312"/>
          <w:bCs/>
          <w:sz w:val="32"/>
          <w:szCs w:val="32"/>
        </w:rPr>
        <w:t>深圳市</w:t>
      </w:r>
      <w:r>
        <w:rPr>
          <w:rFonts w:hint="eastAsia" w:ascii="仿宋_GB2312" w:hAnsi="Times New Roman" w:eastAsia="仿宋_GB2312"/>
          <w:bCs/>
          <w:sz w:val="32"/>
          <w:szCs w:val="32"/>
          <w:lang w:val="en-US" w:eastAsia="zh-CN"/>
        </w:rPr>
        <w:t>任</w:t>
      </w:r>
      <w:r>
        <w:rPr>
          <w:rFonts w:hint="eastAsia" w:ascii="仿宋_GB2312" w:hAnsi="Times New Roman" w:eastAsia="仿宋_GB2312"/>
          <w:bCs/>
          <w:sz w:val="32"/>
          <w:szCs w:val="32"/>
        </w:rPr>
        <w:t>灾种专项应急预案启动Ⅳ级及以上响应，尚未达到本预案Ⅳ级响应启动条件时，自动启动关注级响应。</w:t>
      </w:r>
    </w:p>
    <w:p>
      <w:pPr>
        <w:widowControl w:val="0"/>
        <w:adjustRightInd w:val="0"/>
        <w:snapToGrid w:val="0"/>
        <w:spacing w:line="560" w:lineRule="exact"/>
        <w:ind w:firstLine="640"/>
        <w:rPr>
          <w:rFonts w:cs="仿宋_GB2312"/>
        </w:rPr>
      </w:pPr>
      <w:r>
        <w:rPr>
          <w:rFonts w:ascii="仿宋_GB2312" w:cs="仿宋_GB2312"/>
        </w:rPr>
        <w:t>5.2.1.2</w:t>
      </w:r>
      <w:r>
        <w:rPr>
          <w:rFonts w:cs="仿宋_GB2312"/>
        </w:rPr>
        <w:t xml:space="preserve"> </w:t>
      </w:r>
      <w:r>
        <w:rPr>
          <w:rFonts w:hint="eastAsia" w:cs="仿宋_GB2312"/>
        </w:rPr>
        <w:t>响应措施</w:t>
      </w:r>
    </w:p>
    <w:p>
      <w:pPr>
        <w:pStyle w:val="21"/>
        <w:adjustRightInd w:val="0"/>
        <w:snapToGrid w:val="0"/>
        <w:spacing w:line="56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（1）各区政府</w:t>
      </w:r>
      <w:r>
        <w:rPr>
          <w:rFonts w:hint="eastAsia" w:ascii="仿宋_GB2312" w:hAnsi="宋体" w:eastAsia="仿宋_GB2312"/>
          <w:snapToGrid w:val="0"/>
          <w:kern w:val="24"/>
          <w:sz w:val="32"/>
          <w:szCs w:val="32"/>
        </w:rPr>
        <w:t>加强值班</w:t>
      </w:r>
      <w:r>
        <w:rPr>
          <w:rFonts w:hint="eastAsia" w:ascii="仿宋_GB2312" w:eastAsia="仿宋_GB2312"/>
          <w:sz w:val="32"/>
          <w:szCs w:val="32"/>
        </w:rPr>
        <w:t>，</w:t>
      </w:r>
      <w:r>
        <w:rPr>
          <w:rFonts w:hint="eastAsia" w:ascii="仿宋_GB2312" w:hAnsi="Times New Roman" w:eastAsia="仿宋_GB2312"/>
          <w:sz w:val="32"/>
          <w:szCs w:val="32"/>
        </w:rPr>
        <w:t>密切关注自然灾害预警预报信息，关注所管辖区内灾情险情，及时处置并上报。</w:t>
      </w:r>
    </w:p>
    <w:p>
      <w:pPr>
        <w:pStyle w:val="21"/>
        <w:adjustRightInd w:val="0"/>
        <w:snapToGrid w:val="0"/>
        <w:spacing w:line="560" w:lineRule="exact"/>
        <w:ind w:firstLine="640" w:firstLineChars="200"/>
        <w:jc w:val="left"/>
        <w:rPr>
          <w:rFonts w:ascii="仿宋_GB2312" w:hAnsi="Times New Roman" w:eastAsia="仿宋_GB2312"/>
          <w:b/>
          <w:sz w:val="32"/>
          <w:szCs w:val="32"/>
        </w:rPr>
      </w:pPr>
      <w:r>
        <w:rPr>
          <w:rFonts w:hint="eastAsia" w:ascii="仿宋_GB2312" w:hAnsi="Times New Roman" w:eastAsia="仿宋_GB2312"/>
          <w:sz w:val="32"/>
          <w:szCs w:val="32"/>
        </w:rPr>
        <w:t>（</w:t>
      </w:r>
      <w:r>
        <w:rPr>
          <w:rFonts w:ascii="仿宋_GB2312" w:hAnsi="Times New Roman" w:eastAsia="仿宋_GB2312"/>
          <w:sz w:val="32"/>
          <w:szCs w:val="32"/>
        </w:rPr>
        <w:t>2</w:t>
      </w:r>
      <w:r>
        <w:rPr>
          <w:rFonts w:hint="eastAsia" w:ascii="仿宋_GB2312" w:hAnsi="Times New Roman" w:eastAsia="仿宋_GB2312"/>
          <w:sz w:val="32"/>
          <w:szCs w:val="32"/>
        </w:rPr>
        <w:t>）</w:t>
      </w:r>
      <w:r>
        <w:rPr>
          <w:rFonts w:hint="eastAsia" w:ascii="仿宋_GB2312" w:eastAsia="仿宋_GB2312"/>
          <w:sz w:val="32"/>
          <w:szCs w:val="32"/>
        </w:rPr>
        <w:t>市应急管理局</w:t>
      </w:r>
      <w:r>
        <w:rPr>
          <w:rFonts w:hint="eastAsia" w:ascii="仿宋_GB2312" w:hAnsi="Times New Roman" w:eastAsia="仿宋_GB2312"/>
          <w:sz w:val="32"/>
          <w:szCs w:val="32"/>
        </w:rPr>
        <w:t>实行2</w:t>
      </w:r>
      <w:r>
        <w:rPr>
          <w:rFonts w:ascii="仿宋_GB2312" w:hAnsi="Times New Roman" w:eastAsia="仿宋_GB2312"/>
          <w:sz w:val="32"/>
          <w:szCs w:val="32"/>
        </w:rPr>
        <w:t>4</w:t>
      </w:r>
      <w:r>
        <w:rPr>
          <w:rFonts w:hint="eastAsia" w:ascii="仿宋_GB2312" w:hAnsi="Times New Roman" w:eastAsia="仿宋_GB2312"/>
          <w:sz w:val="32"/>
          <w:szCs w:val="32"/>
        </w:rPr>
        <w:t>小时值班制度，密切关注灾害发展态势；通知全市各级灾害信息员启动关注级响应，关注所管辖区内灾情险情，及时处置并上报。</w:t>
      </w:r>
    </w:p>
    <w:p>
      <w:pPr>
        <w:pStyle w:val="6"/>
        <w:rPr>
          <w:rFonts w:ascii="仿宋_GB2312"/>
        </w:rPr>
      </w:pPr>
      <w:r>
        <w:rPr>
          <w:rFonts w:hint="eastAsia"/>
        </w:rPr>
        <w:t>（</w:t>
      </w:r>
      <w:r>
        <w:rPr>
          <w:rFonts w:ascii="仿宋_GB2312"/>
        </w:rPr>
        <w:t>3</w:t>
      </w:r>
      <w:r>
        <w:rPr>
          <w:rFonts w:hint="eastAsia"/>
        </w:rPr>
        <w:t>）</w:t>
      </w:r>
      <w:r>
        <w:rPr>
          <w:rFonts w:hint="eastAsia" w:ascii="仿宋_GB2312"/>
        </w:rPr>
        <w:t>市气象局加强气象监测预报，及时向</w:t>
      </w:r>
      <w:r>
        <w:rPr>
          <w:rFonts w:hint="eastAsia"/>
        </w:rPr>
        <w:t>市应急管理局</w:t>
      </w:r>
      <w:r>
        <w:rPr>
          <w:rFonts w:hint="eastAsia" w:ascii="仿宋_GB2312"/>
        </w:rPr>
        <w:t>提供最新气象预报信息。</w:t>
      </w:r>
    </w:p>
    <w:p>
      <w:pPr>
        <w:pStyle w:val="6"/>
        <w:rPr>
          <w:rFonts w:ascii="仿宋_GB2312"/>
        </w:rPr>
      </w:pPr>
      <w:r>
        <w:rPr>
          <w:rFonts w:hint="eastAsia" w:ascii="仿宋_GB2312" w:hAnsi="宋体"/>
        </w:rPr>
        <w:t>（</w:t>
      </w:r>
      <w:r>
        <w:rPr>
          <w:rFonts w:ascii="仿宋_GB2312" w:hAnsi="宋体"/>
        </w:rPr>
        <w:t>4</w:t>
      </w:r>
      <w:r>
        <w:rPr>
          <w:rFonts w:hint="eastAsia" w:ascii="仿宋_GB2312" w:hAnsi="宋体"/>
        </w:rPr>
        <w:t>）各有关单位关注</w:t>
      </w:r>
      <w:r>
        <w:rPr>
          <w:rFonts w:hint="eastAsia" w:ascii="仿宋_GB2312"/>
        </w:rPr>
        <w:t>预警预报，保持通信联络。</w:t>
      </w:r>
    </w:p>
    <w:p>
      <w:pPr>
        <w:widowControl w:val="0"/>
        <w:ind w:firstLine="643"/>
        <w:outlineLvl w:val="2"/>
        <w:rPr>
          <w:rFonts w:cs="仿宋_GB2312"/>
          <w:b/>
        </w:rPr>
      </w:pPr>
      <w:bookmarkStart w:id="90" w:name="_Toc6991"/>
      <w:r>
        <w:rPr>
          <w:rFonts w:ascii="仿宋_GB2312" w:cs="仿宋_GB2312"/>
          <w:b/>
        </w:rPr>
        <w:t>5.2.2</w:t>
      </w:r>
      <w:r>
        <w:rPr>
          <w:rFonts w:cs="仿宋_GB2312"/>
          <w:b/>
        </w:rPr>
        <w:t xml:space="preserve"> </w:t>
      </w:r>
      <w:r>
        <w:rPr>
          <w:rFonts w:hint="eastAsia" w:cs="仿宋_GB2312"/>
          <w:b/>
        </w:rPr>
        <w:t>预备级响应</w:t>
      </w:r>
      <w:bookmarkEnd w:id="90"/>
    </w:p>
    <w:p>
      <w:pPr>
        <w:widowControl w:val="0"/>
        <w:adjustRightInd w:val="0"/>
        <w:snapToGrid w:val="0"/>
        <w:spacing w:line="560" w:lineRule="exact"/>
        <w:ind w:firstLine="640"/>
        <w:rPr>
          <w:rFonts w:cs="仿宋_GB2312"/>
        </w:rPr>
      </w:pPr>
      <w:r>
        <w:rPr>
          <w:rFonts w:ascii="仿宋_GB2312" w:cs="仿宋_GB2312"/>
        </w:rPr>
        <w:t>5.2.2.1</w:t>
      </w:r>
      <w:r>
        <w:rPr>
          <w:rFonts w:cs="仿宋_GB2312"/>
        </w:rPr>
        <w:t xml:space="preserve"> </w:t>
      </w:r>
      <w:r>
        <w:rPr>
          <w:rFonts w:hint="eastAsia" w:cs="仿宋_GB2312"/>
        </w:rPr>
        <w:t>启动条件</w:t>
      </w:r>
    </w:p>
    <w:p>
      <w:pPr>
        <w:pStyle w:val="21"/>
        <w:adjustRightInd w:val="0"/>
        <w:snapToGrid w:val="0"/>
        <w:spacing w:line="560" w:lineRule="exact"/>
        <w:ind w:firstLine="640" w:firstLineChars="200"/>
        <w:jc w:val="left"/>
        <w:rPr>
          <w:rFonts w:ascii="仿宋_GB2312" w:hAnsi="Times New Roman" w:eastAsia="仿宋_GB2312"/>
          <w:bCs/>
          <w:sz w:val="32"/>
          <w:szCs w:val="32"/>
        </w:rPr>
      </w:pPr>
      <w:r>
        <w:rPr>
          <w:rFonts w:hint="eastAsia" w:ascii="仿宋_GB2312" w:hAnsi="Times New Roman" w:eastAsia="仿宋_GB2312"/>
          <w:bCs/>
          <w:sz w:val="32"/>
          <w:szCs w:val="32"/>
        </w:rPr>
        <w:t>深圳市各灾种专项应急预案启动Ⅲ级及以上响应，尚未达到本预案Ⅳ级响应启动条件时，自动启动预备级响应。</w:t>
      </w:r>
    </w:p>
    <w:p>
      <w:pPr>
        <w:widowControl w:val="0"/>
        <w:adjustRightInd w:val="0"/>
        <w:snapToGrid w:val="0"/>
        <w:spacing w:line="560" w:lineRule="exact"/>
        <w:ind w:firstLine="640"/>
        <w:rPr>
          <w:rFonts w:cs="仿宋_GB2312"/>
        </w:rPr>
      </w:pPr>
      <w:r>
        <w:rPr>
          <w:rFonts w:ascii="仿宋_GB2312" w:cs="仿宋_GB2312"/>
        </w:rPr>
        <w:t>5.2.2.2</w:t>
      </w:r>
      <w:r>
        <w:rPr>
          <w:rFonts w:cs="仿宋_GB2312"/>
        </w:rPr>
        <w:t xml:space="preserve"> </w:t>
      </w:r>
      <w:r>
        <w:rPr>
          <w:rFonts w:hint="eastAsia" w:cs="仿宋_GB2312"/>
        </w:rPr>
        <w:t>响应措施</w:t>
      </w:r>
    </w:p>
    <w:p>
      <w:pPr>
        <w:pStyle w:val="2"/>
        <w:ind w:firstLine="640"/>
        <w:rPr>
          <w:rFonts w:ascii="仿宋_GB2312" w:eastAsia="仿宋_GB2312"/>
        </w:rPr>
      </w:pPr>
      <w:r>
        <w:rPr>
          <w:rFonts w:ascii="仿宋_GB2312" w:eastAsia="仿宋_GB2312"/>
        </w:rPr>
        <w:t>（1）</w:t>
      </w:r>
      <w:bookmarkStart w:id="91" w:name="_Hlk4689562"/>
      <w:r>
        <w:rPr>
          <w:rFonts w:hint="eastAsia" w:ascii="仿宋_GB2312" w:eastAsia="仿宋_GB2312"/>
        </w:rPr>
        <w:t>各区</w:t>
      </w:r>
      <w:bookmarkEnd w:id="91"/>
      <w:r>
        <w:rPr>
          <w:rFonts w:hint="eastAsia" w:ascii="仿宋_GB2312" w:eastAsia="仿宋_GB2312"/>
        </w:rPr>
        <w:t>政府</w:t>
      </w:r>
      <w:r>
        <w:rPr>
          <w:rFonts w:hint="eastAsia" w:ascii="仿宋_GB2312" w:hAnsi="Times New Roman" w:eastAsia="仿宋_GB2312"/>
        </w:rPr>
        <w:t>根据自然灾害分区预警和辖区险情灾情，启动本区应急响应，</w:t>
      </w:r>
      <w:r>
        <w:rPr>
          <w:rFonts w:hint="eastAsia" w:ascii="仿宋_GB2312" w:eastAsia="仿宋_GB2312"/>
        </w:rPr>
        <w:t>准备启动辖区各项防御工作，组织有关部门和单位做好危险地带人员转移准备工作</w:t>
      </w:r>
      <w:r>
        <w:rPr>
          <w:rFonts w:hint="eastAsia" w:ascii="仿宋_GB2312" w:hAnsi="宋体" w:eastAsia="仿宋_GB2312"/>
          <w:snapToGrid w:val="0"/>
          <w:kern w:val="24"/>
        </w:rPr>
        <w:t>，及时处置和报告辖区险情灾情。</w:t>
      </w:r>
    </w:p>
    <w:p>
      <w:pPr>
        <w:pStyle w:val="21"/>
        <w:adjustRightInd w:val="0"/>
        <w:snapToGrid w:val="0"/>
        <w:spacing w:line="560" w:lineRule="exact"/>
        <w:ind w:firstLine="640" w:firstLineChars="200"/>
        <w:jc w:val="left"/>
        <w:rPr>
          <w:rFonts w:ascii="仿宋_GB2312" w:hAnsi="Times New Roman" w:eastAsia="仿宋_GB2312"/>
          <w:b/>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）市应急管理局督促各应急避难场所做好开放准备，组织各区开放应急避难场所；将应急避难场所开放的信息及时告知公众。</w:t>
      </w:r>
    </w:p>
    <w:p>
      <w:pPr>
        <w:pStyle w:val="6"/>
        <w:rPr>
          <w:rFonts w:ascii="仿宋_GB2312"/>
        </w:rPr>
      </w:pPr>
      <w:r>
        <w:rPr>
          <w:rFonts w:hint="eastAsia"/>
        </w:rPr>
        <w:t>（</w:t>
      </w:r>
      <w:r>
        <w:rPr>
          <w:rFonts w:ascii="仿宋_GB2312"/>
        </w:rPr>
        <w:t>3</w:t>
      </w:r>
      <w:r>
        <w:rPr>
          <w:rFonts w:hint="eastAsia"/>
        </w:rPr>
        <w:t>）</w:t>
      </w:r>
      <w:r>
        <w:rPr>
          <w:rFonts w:hint="eastAsia" w:ascii="仿宋_GB2312"/>
        </w:rPr>
        <w:t>市气象局</w:t>
      </w:r>
      <w:r>
        <w:rPr>
          <w:rFonts w:hint="eastAsia" w:ascii="仿宋_GB2312" w:hAnsi="宋体"/>
          <w:snapToGrid w:val="0"/>
          <w:kern w:val="24"/>
        </w:rPr>
        <w:t>加密会商</w:t>
      </w:r>
      <w:r>
        <w:rPr>
          <w:rFonts w:hint="eastAsia" w:ascii="仿宋_GB2312"/>
        </w:rPr>
        <w:t>，及时向</w:t>
      </w:r>
      <w:r>
        <w:rPr>
          <w:rFonts w:hint="eastAsia"/>
        </w:rPr>
        <w:t>市应急管理局</w:t>
      </w:r>
      <w:r>
        <w:rPr>
          <w:rFonts w:hint="eastAsia" w:ascii="仿宋_GB2312"/>
        </w:rPr>
        <w:t>提供最新气象预报信息和会商分析意见。</w:t>
      </w:r>
    </w:p>
    <w:p>
      <w:pPr>
        <w:pStyle w:val="6"/>
        <w:rPr>
          <w:rFonts w:ascii="仿宋_GB2312" w:hAnsi="宋体"/>
        </w:rPr>
      </w:pPr>
      <w:r>
        <w:rPr>
          <w:rFonts w:hint="eastAsia" w:ascii="仿宋_GB2312" w:hAnsi="宋体"/>
          <w:snapToGrid w:val="0"/>
          <w:kern w:val="24"/>
        </w:rPr>
        <w:t>（</w:t>
      </w:r>
      <w:r>
        <w:rPr>
          <w:rFonts w:ascii="仿宋_GB2312" w:hAnsi="宋体"/>
          <w:snapToGrid w:val="0"/>
          <w:kern w:val="24"/>
        </w:rPr>
        <w:t>4</w:t>
      </w:r>
      <w:r>
        <w:rPr>
          <w:rFonts w:hint="eastAsia" w:ascii="仿宋_GB2312" w:hAnsi="宋体"/>
          <w:snapToGrid w:val="0"/>
          <w:kern w:val="24"/>
        </w:rPr>
        <w:t>）市发展改革委</w:t>
      </w:r>
      <w:r>
        <w:rPr>
          <w:rFonts w:hint="eastAsia" w:ascii="仿宋_GB2312" w:hAnsi="宋体"/>
        </w:rPr>
        <w:t>配合市应急管理局做好救灾物资的供给保障工作。</w:t>
      </w:r>
    </w:p>
    <w:p>
      <w:pPr>
        <w:adjustRightInd w:val="0"/>
        <w:snapToGrid w:val="0"/>
        <w:spacing w:line="560" w:lineRule="exact"/>
        <w:ind w:firstLine="640" w:firstLineChars="200"/>
        <w:rPr>
          <w:rFonts w:ascii="仿宋_GB2312" w:hAnsi="宋体"/>
        </w:rPr>
      </w:pPr>
      <w:r>
        <w:rPr>
          <w:rFonts w:hint="eastAsia" w:ascii="仿宋_GB2312" w:hAnsi="宋体"/>
          <w:snapToGrid w:val="0"/>
          <w:kern w:val="24"/>
        </w:rPr>
        <w:t>（</w:t>
      </w:r>
      <w:r>
        <w:rPr>
          <w:rFonts w:ascii="仿宋_GB2312" w:hAnsi="宋体"/>
          <w:snapToGrid w:val="0"/>
          <w:kern w:val="24"/>
        </w:rPr>
        <w:t>5</w:t>
      </w:r>
      <w:r>
        <w:rPr>
          <w:rFonts w:hint="eastAsia" w:ascii="仿宋_GB2312" w:hAnsi="宋体"/>
          <w:snapToGrid w:val="0"/>
          <w:kern w:val="24"/>
        </w:rPr>
        <w:t>）市卫生健康委</w:t>
      </w:r>
      <w:r>
        <w:rPr>
          <w:rFonts w:hint="eastAsia" w:ascii="仿宋_GB2312" w:hAnsi="宋体"/>
        </w:rPr>
        <w:t>组织做好医疗救护、</w:t>
      </w:r>
      <w:r>
        <w:rPr>
          <w:rFonts w:hint="eastAsia" w:ascii="仿宋_GB2312"/>
        </w:rPr>
        <w:t>疾病预防控制</w:t>
      </w:r>
      <w:r>
        <w:rPr>
          <w:rFonts w:hint="eastAsia" w:ascii="仿宋_GB2312" w:hAnsi="宋体"/>
        </w:rPr>
        <w:t>准备工作，随时开展抢救伤员等工作。</w:t>
      </w:r>
    </w:p>
    <w:p>
      <w:pPr>
        <w:pStyle w:val="107"/>
        <w:adjustRightInd w:val="0"/>
        <w:snapToGrid w:val="0"/>
        <w:spacing w:line="560" w:lineRule="exact"/>
        <w:ind w:firstLine="660" w:firstLineChars="200"/>
        <w:textAlignment w:val="center"/>
        <w:rPr>
          <w:rFonts w:ascii="仿宋_GB2312" w:hAnsi="宋体" w:eastAsia="仿宋_GB2312"/>
          <w:sz w:val="32"/>
          <w:szCs w:val="32"/>
        </w:rPr>
      </w:pPr>
      <w:r>
        <w:rPr>
          <w:rFonts w:hint="eastAsia" w:ascii="仿宋_GB2312" w:eastAsia="仿宋_GB2312"/>
          <w:spacing w:val="5"/>
          <w:sz w:val="32"/>
          <w:szCs w:val="32"/>
        </w:rPr>
        <w:t>（</w:t>
      </w:r>
      <w:r>
        <w:rPr>
          <w:rFonts w:ascii="仿宋_GB2312" w:eastAsia="仿宋_GB2312"/>
          <w:spacing w:val="5"/>
          <w:sz w:val="32"/>
          <w:szCs w:val="32"/>
        </w:rPr>
        <w:t>6</w:t>
      </w:r>
      <w:r>
        <w:rPr>
          <w:rFonts w:hint="eastAsia" w:ascii="仿宋_GB2312" w:eastAsia="仿宋_GB2312"/>
          <w:spacing w:val="5"/>
          <w:sz w:val="32"/>
          <w:szCs w:val="32"/>
        </w:rPr>
        <w:t>）</w:t>
      </w:r>
      <w:r>
        <w:rPr>
          <w:rFonts w:hint="eastAsia" w:ascii="仿宋_GB2312" w:hAnsi="宋体" w:eastAsia="仿宋_GB2312"/>
          <w:sz w:val="32"/>
          <w:szCs w:val="32"/>
        </w:rPr>
        <w:t>深圳警备区做好抢险救灾相应准备。</w:t>
      </w:r>
    </w:p>
    <w:p>
      <w:pPr>
        <w:adjustRightInd w:val="0"/>
        <w:snapToGrid w:val="0"/>
        <w:spacing w:line="560" w:lineRule="exact"/>
        <w:ind w:firstLine="640" w:firstLineChars="200"/>
        <w:rPr>
          <w:rFonts w:ascii="仿宋_GB2312"/>
        </w:rPr>
      </w:pPr>
      <w:r>
        <w:rPr>
          <w:rFonts w:hint="eastAsia" w:ascii="仿宋_GB2312"/>
        </w:rPr>
        <w:t>（</w:t>
      </w:r>
      <w:r>
        <w:rPr>
          <w:rFonts w:ascii="仿宋_GB2312"/>
        </w:rPr>
        <w:t>7</w:t>
      </w:r>
      <w:r>
        <w:rPr>
          <w:rFonts w:hint="eastAsia" w:ascii="仿宋_GB2312"/>
        </w:rPr>
        <w:t>）市消防救援支队</w:t>
      </w:r>
      <w:r>
        <w:rPr>
          <w:rFonts w:hint="eastAsia" w:ascii="仿宋_GB2312" w:hAnsi="宋体"/>
        </w:rPr>
        <w:t>做好抢险救灾相应准备。</w:t>
      </w:r>
    </w:p>
    <w:p>
      <w:pPr>
        <w:pStyle w:val="6"/>
        <w:rPr>
          <w:rFonts w:ascii="仿宋_GB2312"/>
        </w:rPr>
      </w:pPr>
      <w:r>
        <w:rPr>
          <w:rFonts w:hint="eastAsia" w:ascii="仿宋_GB2312" w:hAnsi="宋体"/>
        </w:rPr>
        <w:t>（</w:t>
      </w:r>
      <w:r>
        <w:rPr>
          <w:rFonts w:ascii="仿宋_GB2312" w:hAnsi="宋体"/>
        </w:rPr>
        <w:t>8</w:t>
      </w:r>
      <w:r>
        <w:rPr>
          <w:rFonts w:hint="eastAsia" w:ascii="仿宋_GB2312" w:hAnsi="宋体"/>
        </w:rPr>
        <w:t>）各有关单位做好防御、抢险、救灾相应准备</w:t>
      </w:r>
      <w:r>
        <w:rPr>
          <w:rFonts w:hint="eastAsia" w:ascii="仿宋_GB2312"/>
        </w:rPr>
        <w:t>。</w:t>
      </w:r>
    </w:p>
    <w:p>
      <w:pPr>
        <w:widowControl w:val="0"/>
        <w:ind w:firstLine="643"/>
        <w:outlineLvl w:val="2"/>
        <w:rPr>
          <w:rFonts w:cs="仿宋_GB2312"/>
          <w:b/>
        </w:rPr>
      </w:pPr>
      <w:bookmarkStart w:id="92" w:name="_Toc28485"/>
      <w:r>
        <w:rPr>
          <w:rFonts w:ascii="仿宋_GB2312" w:cs="仿宋_GB2312"/>
          <w:b/>
        </w:rPr>
        <w:t>5.2.3</w:t>
      </w:r>
      <w:r>
        <w:rPr>
          <w:rFonts w:cs="仿宋_GB2312"/>
          <w:b/>
        </w:rPr>
        <w:t xml:space="preserve"> </w:t>
      </w:r>
      <w:r>
        <w:rPr>
          <w:rFonts w:hint="eastAsia" w:cs="仿宋_GB2312"/>
          <w:b/>
        </w:rPr>
        <w:t>Ⅳ级响应</w:t>
      </w:r>
      <w:bookmarkEnd w:id="92"/>
    </w:p>
    <w:p>
      <w:pPr>
        <w:widowControl w:val="0"/>
        <w:adjustRightInd w:val="0"/>
        <w:snapToGrid w:val="0"/>
        <w:spacing w:line="560" w:lineRule="exact"/>
        <w:ind w:firstLine="640"/>
        <w:rPr>
          <w:rFonts w:cs="仿宋_GB2312"/>
        </w:rPr>
      </w:pPr>
      <w:r>
        <w:rPr>
          <w:rFonts w:ascii="仿宋_GB2312" w:cs="仿宋_GB2312"/>
        </w:rPr>
        <w:t>5.2.3.1</w:t>
      </w:r>
      <w:r>
        <w:rPr>
          <w:rFonts w:cs="仿宋_GB2312"/>
        </w:rPr>
        <w:t xml:space="preserve"> </w:t>
      </w:r>
      <w:r>
        <w:rPr>
          <w:rFonts w:hint="eastAsia" w:cs="仿宋_GB2312"/>
        </w:rPr>
        <w:t>启动条件</w:t>
      </w:r>
    </w:p>
    <w:p>
      <w:pPr>
        <w:pStyle w:val="6"/>
      </w:pPr>
      <w:r>
        <w:rPr>
          <w:rFonts w:hint="eastAsia"/>
        </w:rPr>
        <w:t>全市范围内一次灾害过程出现下列情况之一的，启动Ⅳ级响应：</w:t>
      </w:r>
    </w:p>
    <w:p>
      <w:pPr>
        <w:pStyle w:val="6"/>
        <w:rPr>
          <w:rFonts w:ascii="仿宋_GB2312"/>
        </w:rPr>
      </w:pPr>
      <w:r>
        <w:rPr>
          <w:rFonts w:hint="eastAsia" w:ascii="仿宋_GB2312"/>
        </w:rPr>
        <w:t>（</w:t>
      </w:r>
      <w:r>
        <w:rPr>
          <w:rFonts w:ascii="仿宋_GB2312"/>
        </w:rPr>
        <w:t>1</w:t>
      </w:r>
      <w:r>
        <w:rPr>
          <w:rFonts w:hint="eastAsia" w:ascii="仿宋_GB2312"/>
        </w:rPr>
        <w:t>）死亡（含失踪）1人及以上，</w:t>
      </w:r>
      <w:r>
        <w:rPr>
          <w:rFonts w:ascii="仿宋_GB2312"/>
        </w:rPr>
        <w:t>3</w:t>
      </w:r>
      <w:r>
        <w:rPr>
          <w:rFonts w:hint="eastAsia" w:ascii="仿宋_GB2312"/>
        </w:rPr>
        <w:t>人以下；</w:t>
      </w:r>
    </w:p>
    <w:p>
      <w:pPr>
        <w:pStyle w:val="6"/>
      </w:pPr>
      <w:r>
        <w:rPr>
          <w:rFonts w:hint="eastAsia" w:ascii="仿宋_GB2312"/>
        </w:rPr>
        <w:t>（</w:t>
      </w:r>
      <w:r>
        <w:rPr>
          <w:rFonts w:ascii="仿宋_GB2312"/>
        </w:rPr>
        <w:t>2</w:t>
      </w:r>
      <w:r>
        <w:rPr>
          <w:rFonts w:hint="eastAsia" w:ascii="仿宋_GB2312"/>
        </w:rPr>
        <w:t>）紧急转移安置或需紧急生活救助5万人及以上、10万人以下；</w:t>
      </w:r>
    </w:p>
    <w:p>
      <w:pPr>
        <w:pStyle w:val="6"/>
        <w:rPr>
          <w:rFonts w:ascii="仿宋_GB2312"/>
        </w:rPr>
      </w:pPr>
      <w:r>
        <w:rPr>
          <w:rFonts w:hint="eastAsia" w:ascii="仿宋_GB2312"/>
        </w:rPr>
        <w:t>（</w:t>
      </w:r>
      <w:r>
        <w:rPr>
          <w:rFonts w:ascii="仿宋_GB2312"/>
        </w:rPr>
        <w:t>3</w:t>
      </w:r>
      <w:r>
        <w:rPr>
          <w:rFonts w:hint="eastAsia" w:ascii="仿宋_GB2312"/>
        </w:rPr>
        <w:t>）倒塌和严重损坏房屋</w:t>
      </w:r>
      <w:r>
        <w:rPr>
          <w:rFonts w:ascii="仿宋_GB2312"/>
        </w:rPr>
        <w:t>500</w:t>
      </w:r>
      <w:r>
        <w:rPr>
          <w:rFonts w:hint="eastAsia" w:ascii="仿宋_GB2312"/>
        </w:rPr>
        <w:t>间（以自然间计或参考3</w:t>
      </w:r>
      <w:r>
        <w:rPr>
          <w:rFonts w:ascii="仿宋_GB2312"/>
        </w:rPr>
        <w:t>0</w:t>
      </w:r>
      <w:r>
        <w:rPr>
          <w:rFonts w:hint="eastAsia" w:ascii="仿宋_GB2312"/>
        </w:rPr>
        <w:t>平方米/间的标准进行间数折算，下同）及以上、</w:t>
      </w:r>
      <w:r>
        <w:rPr>
          <w:rFonts w:ascii="仿宋_GB2312"/>
        </w:rPr>
        <w:t>1000</w:t>
      </w:r>
      <w:r>
        <w:rPr>
          <w:rFonts w:hint="eastAsia" w:ascii="仿宋_GB2312"/>
        </w:rPr>
        <w:t>间以下或</w:t>
      </w:r>
      <w:r>
        <w:rPr>
          <w:rFonts w:ascii="仿宋_GB2312"/>
        </w:rPr>
        <w:t>150</w:t>
      </w:r>
      <w:r>
        <w:rPr>
          <w:rFonts w:hint="eastAsia" w:ascii="仿宋_GB2312"/>
        </w:rPr>
        <w:t>户及以上、</w:t>
      </w:r>
      <w:r>
        <w:rPr>
          <w:rFonts w:ascii="仿宋_GB2312"/>
        </w:rPr>
        <w:t>300</w:t>
      </w:r>
      <w:r>
        <w:rPr>
          <w:rFonts w:hint="eastAsia" w:ascii="仿宋_GB2312"/>
        </w:rPr>
        <w:t>户以下；</w:t>
      </w:r>
    </w:p>
    <w:p>
      <w:pPr>
        <w:pStyle w:val="6"/>
        <w:rPr>
          <w:rFonts w:ascii="仿宋_GB2312"/>
        </w:rPr>
      </w:pPr>
      <w:r>
        <w:rPr>
          <w:rFonts w:hint="eastAsia" w:ascii="仿宋_GB2312"/>
        </w:rPr>
        <w:t>（</w:t>
      </w:r>
      <w:r>
        <w:rPr>
          <w:rFonts w:ascii="仿宋_GB2312"/>
        </w:rPr>
        <w:t>4</w:t>
      </w:r>
      <w:r>
        <w:rPr>
          <w:rFonts w:hint="eastAsia" w:ascii="仿宋_GB2312"/>
        </w:rPr>
        <w:t>）干旱灾害造成缺粮或缺水等生活困难，需政府救助</w:t>
      </w:r>
      <w:r>
        <w:rPr>
          <w:rFonts w:ascii="仿宋_GB2312"/>
        </w:rPr>
        <w:t>5</w:t>
      </w:r>
      <w:r>
        <w:rPr>
          <w:rFonts w:hint="eastAsia" w:ascii="仿宋_GB2312"/>
        </w:rPr>
        <w:t>万人及以上、</w:t>
      </w:r>
      <w:r>
        <w:rPr>
          <w:rFonts w:ascii="仿宋_GB2312"/>
        </w:rPr>
        <w:t>10</w:t>
      </w:r>
      <w:r>
        <w:rPr>
          <w:rFonts w:hint="eastAsia" w:ascii="仿宋_GB2312"/>
        </w:rPr>
        <w:t>万人以下；</w:t>
      </w:r>
    </w:p>
    <w:p>
      <w:pPr>
        <w:pStyle w:val="6"/>
        <w:rPr>
          <w:rFonts w:ascii="仿宋_GB2312"/>
        </w:rPr>
      </w:pPr>
      <w:r>
        <w:rPr>
          <w:rFonts w:hint="eastAsia" w:ascii="仿宋_GB2312"/>
        </w:rPr>
        <w:t>（5）</w:t>
      </w:r>
      <w:r>
        <w:rPr>
          <w:rFonts w:hint="eastAsia" w:ascii="仿宋_GB2312" w:hAnsi="仿宋_GB2312" w:cs="仿宋_GB2312"/>
        </w:rPr>
        <w:t>灾害造成群众生产生活资料遭受损失、引起社会关注。</w:t>
      </w:r>
    </w:p>
    <w:p>
      <w:pPr>
        <w:widowControl w:val="0"/>
        <w:adjustRightInd w:val="0"/>
        <w:snapToGrid w:val="0"/>
        <w:spacing w:line="560" w:lineRule="exact"/>
        <w:ind w:firstLine="640"/>
        <w:rPr>
          <w:rFonts w:cs="仿宋_GB2312"/>
        </w:rPr>
      </w:pPr>
      <w:r>
        <w:rPr>
          <w:rFonts w:ascii="仿宋_GB2312" w:cs="仿宋_GB2312"/>
        </w:rPr>
        <w:t>5.2.3.2</w:t>
      </w:r>
      <w:r>
        <w:rPr>
          <w:rFonts w:cs="仿宋_GB2312"/>
        </w:rPr>
        <w:t xml:space="preserve"> </w:t>
      </w:r>
      <w:r>
        <w:rPr>
          <w:rFonts w:hint="eastAsia" w:cs="仿宋_GB2312"/>
        </w:rPr>
        <w:t>启动程序</w:t>
      </w:r>
    </w:p>
    <w:p>
      <w:pPr>
        <w:pStyle w:val="6"/>
      </w:pPr>
      <w:r>
        <w:rPr>
          <w:rFonts w:hint="eastAsia"/>
        </w:rPr>
        <w:t>灾害发生后，市减灾办经分析评估，认定灾情达到启动标准，市减灾办主任决定启动Ⅳ级应急响应，并报告市减灾委主任。</w:t>
      </w:r>
    </w:p>
    <w:p>
      <w:pPr>
        <w:widowControl w:val="0"/>
        <w:adjustRightInd w:val="0"/>
        <w:snapToGrid w:val="0"/>
        <w:spacing w:line="560" w:lineRule="exact"/>
        <w:ind w:firstLine="640"/>
        <w:rPr>
          <w:rFonts w:cs="仿宋_GB2312"/>
        </w:rPr>
      </w:pPr>
      <w:r>
        <w:rPr>
          <w:rFonts w:ascii="仿宋_GB2312" w:cs="仿宋_GB2312"/>
        </w:rPr>
        <w:t>5.2.3.3</w:t>
      </w:r>
      <w:r>
        <w:rPr>
          <w:rFonts w:cs="仿宋_GB2312"/>
        </w:rPr>
        <w:t xml:space="preserve"> </w:t>
      </w:r>
      <w:r>
        <w:rPr>
          <w:rFonts w:hint="eastAsia" w:cs="仿宋_GB2312"/>
        </w:rPr>
        <w:t>响应措施</w:t>
      </w:r>
    </w:p>
    <w:p>
      <w:pPr>
        <w:pStyle w:val="6"/>
      </w:pPr>
      <w:r>
        <w:rPr>
          <w:rFonts w:hint="eastAsia"/>
        </w:rPr>
        <w:t>市减灾办组织协调市级层面自然灾害救助工作，指导支持受灾地区自然灾害救助工作。市减灾委及其成员单位视情采取以下措施：</w:t>
      </w:r>
    </w:p>
    <w:p>
      <w:pPr>
        <w:pStyle w:val="6"/>
        <w:rPr>
          <w:rFonts w:ascii="仿宋_GB2312"/>
        </w:rPr>
      </w:pPr>
      <w:r>
        <w:rPr>
          <w:rFonts w:hint="eastAsia" w:ascii="仿宋_GB2312"/>
        </w:rPr>
        <w:t>（</w:t>
      </w:r>
      <w:r>
        <w:rPr>
          <w:rFonts w:ascii="仿宋_GB2312"/>
        </w:rPr>
        <w:t>1</w:t>
      </w:r>
      <w:r>
        <w:rPr>
          <w:rFonts w:hint="eastAsia" w:ascii="仿宋_GB2312"/>
        </w:rPr>
        <w:t>）市减灾办视情况组织有关部门和单位召开会商会，分析受灾地区形势，研究落实对受灾地区的救灾支持措施。</w:t>
      </w:r>
    </w:p>
    <w:p>
      <w:pPr>
        <w:pStyle w:val="6"/>
        <w:rPr>
          <w:rFonts w:ascii="仿宋_GB2312"/>
        </w:rPr>
      </w:pPr>
      <w:r>
        <w:rPr>
          <w:rFonts w:hint="eastAsia" w:ascii="仿宋_GB2312"/>
        </w:rPr>
        <w:t>（</w:t>
      </w:r>
      <w:r>
        <w:rPr>
          <w:rFonts w:ascii="仿宋_GB2312"/>
        </w:rPr>
        <w:t>2</w:t>
      </w:r>
      <w:r>
        <w:rPr>
          <w:rFonts w:hint="eastAsia" w:ascii="仿宋_GB2312"/>
        </w:rPr>
        <w:t>）受灾地区根据自然灾害救助工作需要，成立区级灾害救助现场工作组，具体负责受灾人员转移安置和基本生活保障工作。</w:t>
      </w:r>
    </w:p>
    <w:p>
      <w:pPr>
        <w:pStyle w:val="6"/>
        <w:rPr>
          <w:rFonts w:ascii="仿宋_GB2312"/>
        </w:rPr>
      </w:pPr>
      <w:r>
        <w:rPr>
          <w:rFonts w:hint="eastAsia" w:ascii="仿宋_GB2312"/>
        </w:rPr>
        <w:t>（</w:t>
      </w:r>
      <w:r>
        <w:rPr>
          <w:rFonts w:ascii="仿宋_GB2312"/>
        </w:rPr>
        <w:t>3</w:t>
      </w:r>
      <w:r>
        <w:rPr>
          <w:rFonts w:hint="eastAsia" w:ascii="仿宋_GB2312"/>
        </w:rPr>
        <w:t>）市减灾办派出工作组赴受灾地区慰问受灾人员，核查灾情，协助指导受灾地区开展救灾工作。</w:t>
      </w:r>
    </w:p>
    <w:p>
      <w:pPr>
        <w:pStyle w:val="6"/>
        <w:rPr>
          <w:rFonts w:ascii="仿宋_GB2312"/>
        </w:rPr>
      </w:pPr>
      <w:r>
        <w:rPr>
          <w:rFonts w:hint="eastAsia" w:ascii="仿宋_GB2312"/>
        </w:rPr>
        <w:t>（</w:t>
      </w:r>
      <w:r>
        <w:rPr>
          <w:rFonts w:ascii="仿宋_GB2312"/>
        </w:rPr>
        <w:t>4</w:t>
      </w:r>
      <w:r>
        <w:rPr>
          <w:rFonts w:hint="eastAsia" w:ascii="仿宋_GB2312"/>
        </w:rPr>
        <w:t>）市减灾办及时掌握并按有关规定统一发布灾情和救灾工作动态信息。</w:t>
      </w:r>
    </w:p>
    <w:p>
      <w:pPr>
        <w:pStyle w:val="6"/>
        <w:rPr>
          <w:rFonts w:ascii="仿宋_GB2312"/>
        </w:rPr>
      </w:pPr>
      <w:r>
        <w:rPr>
          <w:rFonts w:hint="eastAsia" w:ascii="仿宋_GB2312"/>
        </w:rPr>
        <w:t>（</w:t>
      </w:r>
      <w:r>
        <w:rPr>
          <w:rFonts w:ascii="仿宋_GB2312"/>
        </w:rPr>
        <w:t>5</w:t>
      </w:r>
      <w:r>
        <w:rPr>
          <w:rFonts w:hint="eastAsia" w:ascii="仿宋_GB2312"/>
        </w:rPr>
        <w:t>）市应急管理局会同市财政局根据受灾地区申请和有关单位对灾情的核定情况，及时下拨市级自然灾害生活补助资金。市应急管理局会同市发展改革委紧急调拨市级生活类救灾物资，指导、监督受灾地区救灾应急措施落实和救灾款物发放。</w:t>
      </w:r>
    </w:p>
    <w:p>
      <w:pPr>
        <w:pStyle w:val="6"/>
        <w:rPr>
          <w:rFonts w:ascii="仿宋_GB2312"/>
        </w:rPr>
      </w:pPr>
      <w:r>
        <w:rPr>
          <w:rFonts w:hint="eastAsia" w:ascii="仿宋_GB2312"/>
        </w:rPr>
        <w:t>（</w:t>
      </w:r>
      <w:r>
        <w:rPr>
          <w:rFonts w:ascii="仿宋_GB2312"/>
        </w:rPr>
        <w:t>6</w:t>
      </w:r>
      <w:r>
        <w:rPr>
          <w:rFonts w:hint="eastAsia" w:ascii="仿宋_GB2312"/>
        </w:rPr>
        <w:t>）市卫生健康委指导受灾地区做好医疗救治、疾病预防控制和心理援助工作。</w:t>
      </w:r>
    </w:p>
    <w:p>
      <w:pPr>
        <w:adjustRightInd w:val="0"/>
        <w:snapToGrid w:val="0"/>
        <w:spacing w:line="560" w:lineRule="exact"/>
        <w:ind w:firstLine="640" w:firstLineChars="200"/>
        <w:rPr>
          <w:rFonts w:ascii="仿宋_GB2312"/>
        </w:rPr>
      </w:pPr>
      <w:r>
        <w:rPr>
          <w:rFonts w:hint="eastAsia" w:ascii="仿宋_GB2312"/>
        </w:rPr>
        <w:t>（</w:t>
      </w:r>
      <w:r>
        <w:rPr>
          <w:rFonts w:ascii="仿宋_GB2312"/>
        </w:rPr>
        <w:t>7</w:t>
      </w:r>
      <w:r>
        <w:rPr>
          <w:rFonts w:hint="eastAsia" w:ascii="仿宋_GB2312"/>
        </w:rPr>
        <w:t>）市消防救援支队</w:t>
      </w:r>
      <w:r>
        <w:rPr>
          <w:rFonts w:hint="eastAsia" w:ascii="仿宋_GB2312" w:hAnsi="宋体"/>
        </w:rPr>
        <w:t>做好抢险救灾相应准备，组织开展综合抢险救灾，协助地方政府救援受困群众。</w:t>
      </w:r>
    </w:p>
    <w:p>
      <w:pPr>
        <w:pStyle w:val="6"/>
        <w:rPr>
          <w:rFonts w:ascii="仿宋_GB2312"/>
        </w:rPr>
      </w:pPr>
      <w:r>
        <w:rPr>
          <w:rFonts w:hint="eastAsia" w:ascii="仿宋_GB2312"/>
        </w:rPr>
        <w:t>（8）灾情稳定后，受灾地区组织开展评估、核定损失等工作，汇总上报灾情信息。</w:t>
      </w:r>
    </w:p>
    <w:p>
      <w:pPr>
        <w:pStyle w:val="6"/>
        <w:rPr>
          <w:rFonts w:ascii="仿宋_GB2312"/>
        </w:rPr>
      </w:pPr>
      <w:r>
        <w:rPr>
          <w:rFonts w:hint="eastAsia" w:ascii="仿宋_GB2312"/>
        </w:rPr>
        <w:t>（9）</w:t>
      </w:r>
      <w:r>
        <w:rPr>
          <w:rFonts w:hint="eastAsia" w:ascii="仿宋_GB2312" w:hAnsi="宋体"/>
        </w:rPr>
        <w:t>各有关单位</w:t>
      </w:r>
      <w:r>
        <w:rPr>
          <w:rFonts w:hint="eastAsia" w:ascii="仿宋_GB2312"/>
        </w:rPr>
        <w:t>按职责分工，做好有关工作。</w:t>
      </w:r>
    </w:p>
    <w:p>
      <w:pPr>
        <w:widowControl w:val="0"/>
        <w:ind w:firstLine="643"/>
        <w:outlineLvl w:val="2"/>
        <w:rPr>
          <w:rFonts w:cs="仿宋_GB2312"/>
          <w:b/>
        </w:rPr>
      </w:pPr>
      <w:bookmarkStart w:id="93" w:name="_Toc4447"/>
      <w:r>
        <w:rPr>
          <w:rFonts w:ascii="仿宋_GB2312" w:cs="仿宋_GB2312"/>
          <w:b/>
        </w:rPr>
        <w:t>5.2.4</w:t>
      </w:r>
      <w:r>
        <w:rPr>
          <w:rFonts w:cs="仿宋_GB2312"/>
          <w:b/>
        </w:rPr>
        <w:t xml:space="preserve"> </w:t>
      </w:r>
      <w:r>
        <w:rPr>
          <w:rFonts w:hint="eastAsia" w:cs="仿宋_GB2312"/>
          <w:b/>
        </w:rPr>
        <w:t>Ⅲ级响应</w:t>
      </w:r>
      <w:bookmarkEnd w:id="93"/>
    </w:p>
    <w:p>
      <w:pPr>
        <w:widowControl w:val="0"/>
        <w:adjustRightInd w:val="0"/>
        <w:snapToGrid w:val="0"/>
        <w:spacing w:line="560" w:lineRule="exact"/>
        <w:ind w:firstLine="640"/>
        <w:rPr>
          <w:rFonts w:cs="仿宋_GB2312"/>
        </w:rPr>
      </w:pPr>
      <w:r>
        <w:rPr>
          <w:rFonts w:ascii="仿宋_GB2312" w:cs="仿宋_GB2312"/>
        </w:rPr>
        <w:t>5.2.4.1</w:t>
      </w:r>
      <w:r>
        <w:rPr>
          <w:rFonts w:cs="仿宋_GB2312"/>
        </w:rPr>
        <w:t xml:space="preserve"> </w:t>
      </w:r>
      <w:r>
        <w:rPr>
          <w:rFonts w:hint="eastAsia" w:cs="仿宋_GB2312"/>
        </w:rPr>
        <w:t>启动条件</w:t>
      </w:r>
    </w:p>
    <w:p>
      <w:pPr>
        <w:pStyle w:val="6"/>
      </w:pPr>
      <w:r>
        <w:rPr>
          <w:rFonts w:hint="eastAsia"/>
        </w:rPr>
        <w:t>全市范围内一次灾害过程出现下列情况之一的，启动Ⅲ级响应：</w:t>
      </w:r>
    </w:p>
    <w:p>
      <w:pPr>
        <w:pStyle w:val="6"/>
        <w:rPr>
          <w:rFonts w:ascii="仿宋_GB2312"/>
        </w:rPr>
      </w:pPr>
      <w:r>
        <w:rPr>
          <w:rFonts w:hint="eastAsia" w:ascii="仿宋_GB2312"/>
        </w:rPr>
        <w:t>（</w:t>
      </w:r>
      <w:r>
        <w:rPr>
          <w:rFonts w:ascii="仿宋_GB2312"/>
        </w:rPr>
        <w:t>1</w:t>
      </w:r>
      <w:r>
        <w:rPr>
          <w:rFonts w:hint="eastAsia" w:ascii="仿宋_GB2312"/>
        </w:rPr>
        <w:t>）死亡（含失踪）</w:t>
      </w:r>
      <w:r>
        <w:rPr>
          <w:rFonts w:ascii="仿宋_GB2312"/>
        </w:rPr>
        <w:t>3</w:t>
      </w:r>
      <w:r>
        <w:rPr>
          <w:rFonts w:hint="eastAsia" w:ascii="仿宋_GB2312"/>
        </w:rPr>
        <w:t>人及以上、</w:t>
      </w:r>
      <w:r>
        <w:rPr>
          <w:rFonts w:ascii="仿宋_GB2312"/>
        </w:rPr>
        <w:t>10</w:t>
      </w:r>
      <w:r>
        <w:rPr>
          <w:rFonts w:hint="eastAsia" w:ascii="仿宋_GB2312"/>
        </w:rPr>
        <w:t>人以下；</w:t>
      </w:r>
    </w:p>
    <w:p>
      <w:pPr>
        <w:pStyle w:val="6"/>
        <w:rPr>
          <w:rFonts w:ascii="仿宋_GB2312"/>
          <w:highlight w:val="yellow"/>
        </w:rPr>
      </w:pPr>
      <w:r>
        <w:rPr>
          <w:rFonts w:hint="eastAsia" w:ascii="仿宋_GB2312"/>
        </w:rPr>
        <w:t>（</w:t>
      </w:r>
      <w:r>
        <w:rPr>
          <w:rFonts w:ascii="仿宋_GB2312"/>
        </w:rPr>
        <w:t>2</w:t>
      </w:r>
      <w:r>
        <w:rPr>
          <w:rFonts w:hint="eastAsia" w:ascii="仿宋_GB2312"/>
        </w:rPr>
        <w:t>）紧急转移安置或需紧急生活救助10万人及以上、20万人以下；</w:t>
      </w:r>
    </w:p>
    <w:p>
      <w:pPr>
        <w:pStyle w:val="6"/>
        <w:rPr>
          <w:rFonts w:ascii="仿宋_GB2312"/>
        </w:rPr>
      </w:pPr>
      <w:r>
        <w:rPr>
          <w:rFonts w:hint="eastAsia" w:ascii="仿宋_GB2312"/>
        </w:rPr>
        <w:t>（</w:t>
      </w:r>
      <w:r>
        <w:rPr>
          <w:rFonts w:ascii="仿宋_GB2312"/>
        </w:rPr>
        <w:t>3</w:t>
      </w:r>
      <w:r>
        <w:rPr>
          <w:rFonts w:hint="eastAsia" w:ascii="仿宋_GB2312"/>
        </w:rPr>
        <w:t>）倒塌和严重损坏房屋</w:t>
      </w:r>
      <w:r>
        <w:rPr>
          <w:rFonts w:ascii="仿宋_GB2312"/>
        </w:rPr>
        <w:t>1000</w:t>
      </w:r>
      <w:r>
        <w:rPr>
          <w:rFonts w:hint="eastAsia" w:ascii="仿宋_GB2312"/>
        </w:rPr>
        <w:t>间及以上、</w:t>
      </w:r>
      <w:r>
        <w:rPr>
          <w:rFonts w:ascii="仿宋_GB2312"/>
        </w:rPr>
        <w:t>3000</w:t>
      </w:r>
      <w:r>
        <w:rPr>
          <w:rFonts w:hint="eastAsia" w:ascii="仿宋_GB2312"/>
        </w:rPr>
        <w:t>间以下或</w:t>
      </w:r>
      <w:r>
        <w:rPr>
          <w:rFonts w:ascii="仿宋_GB2312"/>
        </w:rPr>
        <w:t>300</w:t>
      </w:r>
      <w:r>
        <w:rPr>
          <w:rFonts w:hint="eastAsia" w:ascii="仿宋_GB2312"/>
        </w:rPr>
        <w:t>户及以上、</w:t>
      </w:r>
      <w:r>
        <w:rPr>
          <w:rFonts w:ascii="仿宋_GB2312"/>
        </w:rPr>
        <w:t>700</w:t>
      </w:r>
      <w:r>
        <w:rPr>
          <w:rFonts w:hint="eastAsia" w:ascii="仿宋_GB2312"/>
        </w:rPr>
        <w:t>户以下；</w:t>
      </w:r>
    </w:p>
    <w:p>
      <w:pPr>
        <w:pStyle w:val="6"/>
        <w:rPr>
          <w:rFonts w:ascii="仿宋_GB2312"/>
        </w:rPr>
      </w:pPr>
      <w:r>
        <w:rPr>
          <w:rFonts w:hint="eastAsia" w:ascii="仿宋_GB2312"/>
        </w:rPr>
        <w:t>（</w:t>
      </w:r>
      <w:r>
        <w:rPr>
          <w:rFonts w:ascii="仿宋_GB2312"/>
        </w:rPr>
        <w:t>4</w:t>
      </w:r>
      <w:r>
        <w:rPr>
          <w:rFonts w:hint="eastAsia" w:ascii="仿宋_GB2312"/>
        </w:rPr>
        <w:t>）干旱灾害造成缺粮或缺水等生活困难，需政府救助</w:t>
      </w:r>
      <w:r>
        <w:rPr>
          <w:rFonts w:ascii="仿宋_GB2312"/>
        </w:rPr>
        <w:t>10</w:t>
      </w:r>
      <w:r>
        <w:rPr>
          <w:rFonts w:hint="eastAsia" w:ascii="仿宋_GB2312"/>
        </w:rPr>
        <w:t>万人及以上、</w:t>
      </w:r>
      <w:r>
        <w:rPr>
          <w:rFonts w:ascii="仿宋_GB2312"/>
        </w:rPr>
        <w:t>20</w:t>
      </w:r>
      <w:r>
        <w:rPr>
          <w:rFonts w:hint="eastAsia" w:ascii="仿宋_GB2312"/>
        </w:rPr>
        <w:t>万人以下；</w:t>
      </w:r>
    </w:p>
    <w:p>
      <w:pPr>
        <w:adjustRightInd w:val="0"/>
        <w:snapToGrid w:val="0"/>
        <w:spacing w:line="560" w:lineRule="exact"/>
        <w:ind w:firstLine="640"/>
        <w:rPr>
          <w:rFonts w:ascii="仿宋_GB2312"/>
        </w:rPr>
      </w:pPr>
      <w:r>
        <w:rPr>
          <w:rFonts w:hint="eastAsia" w:ascii="仿宋_GB2312" w:hAnsi="仿宋_GB2312" w:cs="仿宋_GB2312"/>
        </w:rPr>
        <w:t>（</w:t>
      </w:r>
      <w:r>
        <w:rPr>
          <w:rFonts w:ascii="仿宋_GB2312" w:hAnsi="仿宋_GB2312" w:cs="仿宋_GB2312"/>
        </w:rPr>
        <w:t>5</w:t>
      </w:r>
      <w:r>
        <w:rPr>
          <w:rFonts w:hint="eastAsia" w:ascii="仿宋_GB2312" w:hAnsi="仿宋_GB2312" w:cs="仿宋_GB2312"/>
        </w:rPr>
        <w:t>）灾害造成群众生产生活资料遭受较大损失、社会关注度较高。</w:t>
      </w:r>
    </w:p>
    <w:p>
      <w:pPr>
        <w:widowControl w:val="0"/>
        <w:adjustRightInd w:val="0"/>
        <w:snapToGrid w:val="0"/>
        <w:spacing w:line="560" w:lineRule="exact"/>
        <w:ind w:firstLine="640"/>
        <w:rPr>
          <w:rFonts w:cs="仿宋_GB2312"/>
        </w:rPr>
      </w:pPr>
      <w:r>
        <w:rPr>
          <w:rFonts w:ascii="仿宋_GB2312" w:cs="仿宋_GB2312"/>
        </w:rPr>
        <w:t>5.2.4.2</w:t>
      </w:r>
      <w:r>
        <w:rPr>
          <w:rFonts w:cs="仿宋_GB2312"/>
        </w:rPr>
        <w:t xml:space="preserve"> </w:t>
      </w:r>
      <w:r>
        <w:rPr>
          <w:rFonts w:hint="eastAsia" w:cs="仿宋_GB2312"/>
        </w:rPr>
        <w:t>启动程序</w:t>
      </w:r>
    </w:p>
    <w:p>
      <w:pPr>
        <w:pStyle w:val="6"/>
      </w:pPr>
      <w:r>
        <w:rPr>
          <w:rFonts w:hint="eastAsia"/>
        </w:rPr>
        <w:t>灾害发生后，市减灾办经分析评估，认定灾情达到启动标准，向市减灾委提出启动Ⅲ级响应的建议，由市减灾委副主任决定启动Ⅲ级响应，并报告市减灾委主任。</w:t>
      </w:r>
    </w:p>
    <w:p>
      <w:pPr>
        <w:widowControl w:val="0"/>
        <w:adjustRightInd w:val="0"/>
        <w:snapToGrid w:val="0"/>
        <w:spacing w:line="560" w:lineRule="exact"/>
        <w:ind w:firstLine="640"/>
        <w:rPr>
          <w:rFonts w:cs="仿宋_GB2312"/>
        </w:rPr>
      </w:pPr>
      <w:r>
        <w:rPr>
          <w:rFonts w:ascii="仿宋_GB2312" w:cs="仿宋_GB2312"/>
        </w:rPr>
        <w:t>5.2.4.3</w:t>
      </w:r>
      <w:r>
        <w:rPr>
          <w:rFonts w:cs="仿宋_GB2312"/>
        </w:rPr>
        <w:t xml:space="preserve"> </w:t>
      </w:r>
      <w:r>
        <w:rPr>
          <w:rFonts w:hint="eastAsia" w:cs="仿宋_GB2312"/>
        </w:rPr>
        <w:t>响应措施</w:t>
      </w:r>
    </w:p>
    <w:p>
      <w:pPr>
        <w:pStyle w:val="6"/>
      </w:pPr>
      <w:r>
        <w:rPr>
          <w:rFonts w:hint="eastAsia"/>
        </w:rPr>
        <w:t>市减灾委副主任组织协调市级层面自然灾害救助工作，指导支持受灾地区开展自然灾害救助工作。市减灾委及其成员单位视情采取以下措施：</w:t>
      </w:r>
    </w:p>
    <w:p>
      <w:pPr>
        <w:pStyle w:val="6"/>
        <w:rPr>
          <w:rFonts w:ascii="仿宋_GB2312"/>
        </w:rPr>
      </w:pPr>
      <w:r>
        <w:rPr>
          <w:rFonts w:hint="eastAsia" w:ascii="仿宋_GB2312"/>
        </w:rPr>
        <w:t>（</w:t>
      </w:r>
      <w:r>
        <w:rPr>
          <w:rFonts w:ascii="仿宋_GB2312"/>
        </w:rPr>
        <w:t>1</w:t>
      </w:r>
      <w:r>
        <w:rPr>
          <w:rFonts w:hint="eastAsia" w:ascii="仿宋_GB2312"/>
        </w:rPr>
        <w:t>）市减灾办及时组织有关部门及受灾地区区政府召开会商会，分析受灾地区形势，研究落实对受灾地区的救灾支持措施。</w:t>
      </w:r>
    </w:p>
    <w:p>
      <w:pPr>
        <w:pStyle w:val="6"/>
        <w:rPr>
          <w:rFonts w:ascii="仿宋_GB2312"/>
        </w:rPr>
      </w:pPr>
      <w:r>
        <w:rPr>
          <w:rFonts w:hint="eastAsia" w:ascii="仿宋_GB2312"/>
        </w:rPr>
        <w:t>（</w:t>
      </w:r>
      <w:r>
        <w:rPr>
          <w:rFonts w:ascii="仿宋_GB2312"/>
        </w:rPr>
        <w:t>2</w:t>
      </w:r>
      <w:r>
        <w:rPr>
          <w:rFonts w:hint="eastAsia" w:ascii="仿宋_GB2312"/>
        </w:rPr>
        <w:t>）根据自然灾害救助工作需要，成立市级灾害救助现场工作组，具体负责受灾人员基本生活救助和善后处置工作。</w:t>
      </w:r>
    </w:p>
    <w:p>
      <w:pPr>
        <w:pStyle w:val="6"/>
        <w:rPr>
          <w:rFonts w:ascii="仿宋_GB2312"/>
        </w:rPr>
      </w:pPr>
      <w:r>
        <w:rPr>
          <w:rFonts w:hint="eastAsia" w:ascii="仿宋_GB2312"/>
        </w:rPr>
        <w:t>（</w:t>
      </w:r>
      <w:r>
        <w:rPr>
          <w:rFonts w:ascii="仿宋_GB2312"/>
        </w:rPr>
        <w:t>3</w:t>
      </w:r>
      <w:r>
        <w:rPr>
          <w:rFonts w:hint="eastAsia" w:ascii="仿宋_GB2312"/>
        </w:rPr>
        <w:t>）派出由市减灾办负责同志带队、有关部门参加的联合工作组赴受灾地区慰问受灾人员，核查灾情，协助指导受灾地区开展救灾工作。</w:t>
      </w:r>
    </w:p>
    <w:p>
      <w:pPr>
        <w:pStyle w:val="6"/>
        <w:rPr>
          <w:rFonts w:ascii="仿宋_GB2312"/>
        </w:rPr>
      </w:pPr>
      <w:r>
        <w:rPr>
          <w:rFonts w:hint="eastAsia" w:ascii="仿宋_GB2312"/>
        </w:rPr>
        <w:t>（</w:t>
      </w:r>
      <w:r>
        <w:rPr>
          <w:rFonts w:ascii="仿宋_GB2312"/>
        </w:rPr>
        <w:t>4</w:t>
      </w:r>
      <w:r>
        <w:rPr>
          <w:rFonts w:hint="eastAsia" w:ascii="仿宋_GB2312"/>
        </w:rPr>
        <w:t>）市减灾办及时掌握并按照有关规定统一发布灾情和救灾工作动态信息。</w:t>
      </w:r>
    </w:p>
    <w:p>
      <w:pPr>
        <w:pStyle w:val="6"/>
        <w:rPr>
          <w:rFonts w:ascii="仿宋_GB2312"/>
        </w:rPr>
      </w:pPr>
      <w:r>
        <w:rPr>
          <w:rFonts w:hint="eastAsia" w:ascii="仿宋_GB2312"/>
        </w:rPr>
        <w:t>（</w:t>
      </w:r>
      <w:r>
        <w:rPr>
          <w:rFonts w:ascii="仿宋_GB2312"/>
        </w:rPr>
        <w:t>5</w:t>
      </w:r>
      <w:r>
        <w:rPr>
          <w:rFonts w:hint="eastAsia" w:ascii="仿宋_GB2312"/>
        </w:rPr>
        <w:t>）市应急管理局会同市财政局根据受灾地区申请和有关单位对灾情的核定情况，及时下拨市级自然灾害生活补助资金，向省财政厅、省应急管理厅申请省级自然灾害生活补助资金。市应急管理局会同市发展改革委紧急调拨市级生活类救灾物资，指导、监督受灾地区救灾应急措施落实和救灾款物发放。交通运输、铁路、邮政、民航等部门和单位协调指导开展救灾物资、人员运输工作。</w:t>
      </w:r>
    </w:p>
    <w:p>
      <w:pPr>
        <w:pStyle w:val="6"/>
        <w:rPr>
          <w:rFonts w:ascii="仿宋_GB2312"/>
        </w:rPr>
      </w:pPr>
      <w:r>
        <w:rPr>
          <w:rFonts w:hint="eastAsia" w:ascii="仿宋_GB2312"/>
        </w:rPr>
        <w:t>（</w:t>
      </w:r>
      <w:r>
        <w:rPr>
          <w:rFonts w:ascii="仿宋_GB2312"/>
        </w:rPr>
        <w:t>6</w:t>
      </w:r>
      <w:r>
        <w:rPr>
          <w:rFonts w:hint="eastAsia" w:ascii="仿宋_GB2312"/>
        </w:rPr>
        <w:t>）市卫生健康委及时组织医疗卫生队伍赴受灾地区协助开展医疗救治、疾病预防控制和心理援助等工作。</w:t>
      </w:r>
    </w:p>
    <w:p>
      <w:pPr>
        <w:pStyle w:val="6"/>
        <w:rPr>
          <w:rFonts w:ascii="仿宋_GB2312"/>
        </w:rPr>
      </w:pPr>
      <w:r>
        <w:rPr>
          <w:rFonts w:hint="eastAsia" w:ascii="仿宋_GB2312"/>
        </w:rPr>
        <w:t>（</w:t>
      </w:r>
      <w:r>
        <w:rPr>
          <w:rFonts w:ascii="仿宋_GB2312"/>
        </w:rPr>
        <w:t>7</w:t>
      </w:r>
      <w:r>
        <w:rPr>
          <w:rFonts w:hint="eastAsia" w:ascii="仿宋_GB2312"/>
        </w:rPr>
        <w:t>）市应急管理局指导社会组织、志愿者等社会力量参与灾害救助工作，市民政局协助市应急管理局动员协调有关社会组织参与救灾捐赠工作。</w:t>
      </w:r>
    </w:p>
    <w:p>
      <w:pPr>
        <w:adjustRightInd w:val="0"/>
        <w:snapToGrid w:val="0"/>
        <w:spacing w:line="560" w:lineRule="exact"/>
        <w:ind w:firstLine="640" w:firstLineChars="200"/>
        <w:rPr>
          <w:rFonts w:ascii="仿宋_GB2312"/>
        </w:rPr>
      </w:pPr>
      <w:r>
        <w:rPr>
          <w:rFonts w:hint="eastAsia" w:ascii="仿宋_GB2312"/>
        </w:rPr>
        <w:t>（</w:t>
      </w:r>
      <w:r>
        <w:rPr>
          <w:rFonts w:ascii="仿宋_GB2312"/>
        </w:rPr>
        <w:t>8</w:t>
      </w:r>
      <w:r>
        <w:rPr>
          <w:rFonts w:hint="eastAsia" w:ascii="仿宋_GB2312"/>
        </w:rPr>
        <w:t>）市消防救援支队</w:t>
      </w:r>
      <w:r>
        <w:rPr>
          <w:rFonts w:hint="eastAsia" w:ascii="仿宋_GB2312" w:hAnsi="宋体"/>
        </w:rPr>
        <w:t>做好抢险救灾相应准备，组织开展综合抢险救灾，协助地方政府救援受困群众。</w:t>
      </w:r>
    </w:p>
    <w:p>
      <w:pPr>
        <w:pStyle w:val="6"/>
      </w:pPr>
      <w:r>
        <w:rPr>
          <w:rFonts w:hint="eastAsia" w:ascii="仿宋_GB2312"/>
        </w:rPr>
        <w:t>（9）灾情稳定后，市应急管理局指导受灾行政区评估、核定自然灾害损失情况。</w:t>
      </w:r>
    </w:p>
    <w:p>
      <w:pPr>
        <w:pStyle w:val="6"/>
        <w:rPr>
          <w:rFonts w:ascii="仿宋_GB2312"/>
        </w:rPr>
      </w:pPr>
      <w:r>
        <w:rPr>
          <w:rFonts w:hint="eastAsia" w:ascii="仿宋_GB2312"/>
        </w:rPr>
        <w:t>（10）</w:t>
      </w:r>
      <w:r>
        <w:rPr>
          <w:rFonts w:hint="eastAsia" w:ascii="仿宋_GB2312" w:hAnsi="宋体"/>
        </w:rPr>
        <w:t>各有关单位</w:t>
      </w:r>
      <w:r>
        <w:rPr>
          <w:rFonts w:hint="eastAsia" w:ascii="仿宋_GB2312"/>
        </w:rPr>
        <w:t>按职责分工，做好有关工作。</w:t>
      </w:r>
    </w:p>
    <w:p>
      <w:pPr>
        <w:widowControl w:val="0"/>
        <w:ind w:firstLine="643"/>
        <w:outlineLvl w:val="2"/>
        <w:rPr>
          <w:rFonts w:cs="仿宋_GB2312"/>
          <w:b/>
        </w:rPr>
      </w:pPr>
      <w:bookmarkStart w:id="94" w:name="_Toc11339"/>
      <w:r>
        <w:rPr>
          <w:rFonts w:ascii="仿宋_GB2312" w:cs="仿宋_GB2312"/>
          <w:b/>
        </w:rPr>
        <w:t>5.2.5</w:t>
      </w:r>
      <w:r>
        <w:rPr>
          <w:rFonts w:cs="仿宋_GB2312"/>
          <w:b/>
        </w:rPr>
        <w:t xml:space="preserve"> </w:t>
      </w:r>
      <w:r>
        <w:rPr>
          <w:rFonts w:hint="eastAsia" w:cs="仿宋_GB2312"/>
          <w:b/>
        </w:rPr>
        <w:t>Ⅱ级响应</w:t>
      </w:r>
      <w:bookmarkEnd w:id="94"/>
    </w:p>
    <w:p>
      <w:pPr>
        <w:widowControl w:val="0"/>
        <w:adjustRightInd w:val="0"/>
        <w:snapToGrid w:val="0"/>
        <w:spacing w:line="560" w:lineRule="exact"/>
        <w:ind w:firstLine="640"/>
        <w:rPr>
          <w:rFonts w:cs="仿宋_GB2312"/>
        </w:rPr>
      </w:pPr>
      <w:r>
        <w:rPr>
          <w:rFonts w:ascii="仿宋_GB2312" w:cs="仿宋_GB2312"/>
        </w:rPr>
        <w:t>5.2.5.1</w:t>
      </w:r>
      <w:r>
        <w:rPr>
          <w:rFonts w:cs="仿宋_GB2312"/>
        </w:rPr>
        <w:t xml:space="preserve"> </w:t>
      </w:r>
      <w:r>
        <w:rPr>
          <w:rFonts w:hint="eastAsia" w:cs="仿宋_GB2312"/>
        </w:rPr>
        <w:t>启动条件</w:t>
      </w:r>
    </w:p>
    <w:p>
      <w:pPr>
        <w:pStyle w:val="6"/>
        <w:rPr>
          <w:rFonts w:ascii="仿宋_GB2312"/>
        </w:rPr>
      </w:pPr>
      <w:r>
        <w:rPr>
          <w:rFonts w:hint="eastAsia"/>
        </w:rPr>
        <w:t>全市范围内一次灾害过程出现下</w:t>
      </w:r>
      <w:r>
        <w:rPr>
          <w:rFonts w:hint="eastAsia" w:ascii="仿宋_GB2312"/>
        </w:rPr>
        <w:t>列情况之一的，启动Ⅱ级响应：</w:t>
      </w:r>
    </w:p>
    <w:p>
      <w:pPr>
        <w:pStyle w:val="6"/>
        <w:rPr>
          <w:rFonts w:ascii="仿宋_GB2312"/>
        </w:rPr>
      </w:pPr>
      <w:r>
        <w:rPr>
          <w:rFonts w:hint="eastAsia" w:ascii="仿宋_GB2312"/>
        </w:rPr>
        <w:t>（</w:t>
      </w:r>
      <w:r>
        <w:rPr>
          <w:rFonts w:ascii="仿宋_GB2312"/>
        </w:rPr>
        <w:t>1</w:t>
      </w:r>
      <w:r>
        <w:rPr>
          <w:rFonts w:hint="eastAsia" w:ascii="仿宋_GB2312"/>
        </w:rPr>
        <w:t>）死亡（含失踪）</w:t>
      </w:r>
      <w:r>
        <w:rPr>
          <w:rFonts w:ascii="仿宋_GB2312"/>
        </w:rPr>
        <w:t>10</w:t>
      </w:r>
      <w:r>
        <w:rPr>
          <w:rFonts w:hint="eastAsia" w:ascii="仿宋_GB2312"/>
        </w:rPr>
        <w:t>人及以上、</w:t>
      </w:r>
      <w:r>
        <w:rPr>
          <w:rFonts w:ascii="仿宋_GB2312"/>
        </w:rPr>
        <w:t>30</w:t>
      </w:r>
      <w:r>
        <w:rPr>
          <w:rFonts w:hint="eastAsia" w:ascii="仿宋_GB2312"/>
        </w:rPr>
        <w:t>人以下；</w:t>
      </w:r>
    </w:p>
    <w:p>
      <w:pPr>
        <w:pStyle w:val="6"/>
        <w:rPr>
          <w:rFonts w:ascii="仿宋_GB2312"/>
        </w:rPr>
      </w:pPr>
      <w:r>
        <w:rPr>
          <w:rFonts w:hint="eastAsia" w:ascii="仿宋_GB2312"/>
        </w:rPr>
        <w:t>（</w:t>
      </w:r>
      <w:r>
        <w:rPr>
          <w:rFonts w:ascii="仿宋_GB2312"/>
        </w:rPr>
        <w:t>2</w:t>
      </w:r>
      <w:r>
        <w:rPr>
          <w:rFonts w:hint="eastAsia" w:ascii="仿宋_GB2312"/>
        </w:rPr>
        <w:t>）紧急转移安置或需紧急生活救助20万人及以上、50万人以下；</w:t>
      </w:r>
    </w:p>
    <w:p>
      <w:pPr>
        <w:pStyle w:val="6"/>
        <w:rPr>
          <w:rFonts w:ascii="仿宋_GB2312"/>
        </w:rPr>
      </w:pPr>
      <w:r>
        <w:rPr>
          <w:rFonts w:hint="eastAsia" w:ascii="仿宋_GB2312"/>
        </w:rPr>
        <w:t>（</w:t>
      </w:r>
      <w:r>
        <w:rPr>
          <w:rFonts w:ascii="仿宋_GB2312"/>
        </w:rPr>
        <w:t>3</w:t>
      </w:r>
      <w:r>
        <w:rPr>
          <w:rFonts w:hint="eastAsia" w:ascii="仿宋_GB2312"/>
        </w:rPr>
        <w:t>）倒塌和严重损坏房屋</w:t>
      </w:r>
      <w:r>
        <w:rPr>
          <w:rFonts w:ascii="仿宋_GB2312"/>
        </w:rPr>
        <w:t>3000</w:t>
      </w:r>
      <w:r>
        <w:rPr>
          <w:rFonts w:hint="eastAsia" w:ascii="仿宋_GB2312"/>
        </w:rPr>
        <w:t>间及以上、</w:t>
      </w:r>
      <w:r>
        <w:rPr>
          <w:rFonts w:ascii="仿宋_GB2312"/>
        </w:rPr>
        <w:t>5000</w:t>
      </w:r>
      <w:r>
        <w:rPr>
          <w:rFonts w:hint="eastAsia" w:ascii="仿宋_GB2312"/>
        </w:rPr>
        <w:t>间以下或</w:t>
      </w:r>
      <w:r>
        <w:rPr>
          <w:rFonts w:ascii="仿宋_GB2312"/>
        </w:rPr>
        <w:t>700</w:t>
      </w:r>
      <w:r>
        <w:rPr>
          <w:rFonts w:hint="eastAsia" w:ascii="仿宋_GB2312"/>
        </w:rPr>
        <w:t>户及以上、</w:t>
      </w:r>
      <w:r>
        <w:rPr>
          <w:rFonts w:ascii="仿宋_GB2312"/>
        </w:rPr>
        <w:t>1500</w:t>
      </w:r>
      <w:r>
        <w:rPr>
          <w:rFonts w:hint="eastAsia" w:ascii="仿宋_GB2312"/>
        </w:rPr>
        <w:t>户以下；</w:t>
      </w:r>
    </w:p>
    <w:p>
      <w:pPr>
        <w:pStyle w:val="6"/>
        <w:rPr>
          <w:rFonts w:ascii="仿宋_GB2312"/>
        </w:rPr>
      </w:pPr>
      <w:r>
        <w:rPr>
          <w:rFonts w:hint="eastAsia" w:ascii="仿宋_GB2312"/>
        </w:rPr>
        <w:t>（</w:t>
      </w:r>
      <w:r>
        <w:rPr>
          <w:rFonts w:ascii="仿宋_GB2312"/>
        </w:rPr>
        <w:t>4</w:t>
      </w:r>
      <w:r>
        <w:rPr>
          <w:rFonts w:hint="eastAsia" w:ascii="仿宋_GB2312"/>
        </w:rPr>
        <w:t>）干旱灾害造成缺粮或缺水等生活困难，需政府救助</w:t>
      </w:r>
      <w:r>
        <w:rPr>
          <w:rFonts w:ascii="仿宋_GB2312"/>
        </w:rPr>
        <w:t>20</w:t>
      </w:r>
      <w:r>
        <w:rPr>
          <w:rFonts w:hint="eastAsia" w:ascii="仿宋_GB2312"/>
        </w:rPr>
        <w:t>万人及以上、</w:t>
      </w:r>
      <w:r>
        <w:rPr>
          <w:rFonts w:ascii="仿宋_GB2312"/>
        </w:rPr>
        <w:t>50</w:t>
      </w:r>
      <w:r>
        <w:rPr>
          <w:rFonts w:hint="eastAsia" w:ascii="仿宋_GB2312"/>
        </w:rPr>
        <w:t>万人以下；</w:t>
      </w:r>
    </w:p>
    <w:p>
      <w:pPr>
        <w:pStyle w:val="6"/>
        <w:rPr>
          <w:rFonts w:ascii="仿宋_GB2312"/>
        </w:rPr>
      </w:pPr>
      <w:r>
        <w:rPr>
          <w:rFonts w:hint="eastAsia" w:ascii="仿宋_GB2312" w:hAnsi="仿宋_GB2312" w:cs="仿宋_GB2312"/>
        </w:rPr>
        <w:t>（</w:t>
      </w:r>
      <w:r>
        <w:rPr>
          <w:rFonts w:ascii="仿宋_GB2312"/>
        </w:rPr>
        <w:t>5</w:t>
      </w:r>
      <w:r>
        <w:rPr>
          <w:rFonts w:hint="eastAsia" w:ascii="仿宋_GB2312" w:hAnsi="仿宋_GB2312" w:cs="仿宋_GB2312"/>
        </w:rPr>
        <w:t>）灾害造成群众生产生活资料遭受重大损失、社会关注度高。</w:t>
      </w:r>
    </w:p>
    <w:p>
      <w:pPr>
        <w:widowControl w:val="0"/>
        <w:adjustRightInd w:val="0"/>
        <w:snapToGrid w:val="0"/>
        <w:spacing w:line="560" w:lineRule="exact"/>
        <w:ind w:firstLine="640"/>
        <w:rPr>
          <w:rFonts w:cs="仿宋_GB2312"/>
        </w:rPr>
      </w:pPr>
      <w:r>
        <w:rPr>
          <w:rFonts w:ascii="仿宋_GB2312" w:cs="仿宋_GB2312"/>
        </w:rPr>
        <w:t>5.2.5.2</w:t>
      </w:r>
      <w:r>
        <w:rPr>
          <w:rFonts w:cs="仿宋_GB2312"/>
        </w:rPr>
        <w:t xml:space="preserve"> </w:t>
      </w:r>
      <w:r>
        <w:rPr>
          <w:rFonts w:hint="eastAsia" w:cs="仿宋_GB2312"/>
        </w:rPr>
        <w:t>启动程序</w:t>
      </w:r>
    </w:p>
    <w:p>
      <w:pPr>
        <w:pStyle w:val="6"/>
      </w:pPr>
      <w:r>
        <w:rPr>
          <w:rFonts w:hint="eastAsia"/>
        </w:rPr>
        <w:t>灾害发生后，市减灾办经分析评估，认定灾情达到启动标准，向市减灾委提出启动Ⅱ级响应的建议，由市减灾委主任决定启动Ⅱ级响应。</w:t>
      </w:r>
    </w:p>
    <w:p>
      <w:pPr>
        <w:widowControl w:val="0"/>
        <w:adjustRightInd w:val="0"/>
        <w:snapToGrid w:val="0"/>
        <w:spacing w:line="560" w:lineRule="exact"/>
        <w:ind w:firstLine="640"/>
        <w:rPr>
          <w:rFonts w:cs="仿宋_GB2312"/>
        </w:rPr>
      </w:pPr>
      <w:r>
        <w:rPr>
          <w:rFonts w:ascii="仿宋_GB2312" w:cs="仿宋_GB2312"/>
        </w:rPr>
        <w:t>5.2.5.3</w:t>
      </w:r>
      <w:r>
        <w:rPr>
          <w:rFonts w:cs="仿宋_GB2312"/>
        </w:rPr>
        <w:t xml:space="preserve"> </w:t>
      </w:r>
      <w:r>
        <w:rPr>
          <w:rFonts w:hint="eastAsia" w:cs="仿宋_GB2312"/>
        </w:rPr>
        <w:t>响应措施</w:t>
      </w:r>
    </w:p>
    <w:p>
      <w:pPr>
        <w:pStyle w:val="6"/>
      </w:pPr>
      <w:r>
        <w:rPr>
          <w:rFonts w:hint="eastAsia"/>
        </w:rPr>
        <w:t>市减灾委主任组织协调市级层面自然灾害救助工作，指导支持受灾地区开展自然灾害救助工作。市减灾委及其成员单位视情采取以下措施：</w:t>
      </w:r>
    </w:p>
    <w:p>
      <w:pPr>
        <w:pStyle w:val="6"/>
        <w:rPr>
          <w:rFonts w:ascii="仿宋_GB2312"/>
        </w:rPr>
      </w:pPr>
      <w:r>
        <w:rPr>
          <w:rFonts w:hint="eastAsia" w:ascii="仿宋_GB2312"/>
        </w:rPr>
        <w:t>（</w:t>
      </w:r>
      <w:r>
        <w:rPr>
          <w:rFonts w:ascii="仿宋_GB2312"/>
        </w:rPr>
        <w:t>1</w:t>
      </w:r>
      <w:r>
        <w:rPr>
          <w:rFonts w:hint="eastAsia" w:ascii="仿宋_GB2312"/>
        </w:rPr>
        <w:t>）市减灾委主任（或副主任）主持召开会商会，市减灾委成员单位、专家组及有关受灾地区区政府相关负责同志参加，分析受灾地区形势，研究落实对受灾地区的救灾支持措施。</w:t>
      </w:r>
    </w:p>
    <w:p>
      <w:pPr>
        <w:pStyle w:val="6"/>
        <w:rPr>
          <w:rFonts w:ascii="仿宋_GB2312"/>
        </w:rPr>
      </w:pPr>
      <w:r>
        <w:rPr>
          <w:rFonts w:hint="eastAsia" w:ascii="仿宋_GB2312"/>
        </w:rPr>
        <w:t>（</w:t>
      </w:r>
      <w:r>
        <w:rPr>
          <w:rFonts w:ascii="仿宋_GB2312"/>
        </w:rPr>
        <w:t>2</w:t>
      </w:r>
      <w:r>
        <w:rPr>
          <w:rFonts w:hint="eastAsia" w:ascii="仿宋_GB2312"/>
        </w:rPr>
        <w:t>）市减灾委主任根据灾情发展，率有关部门或派出负责同志带队的先期工作组赴受灾地区慰问受灾人员，核查灾情，指导地方开展救灾工作。</w:t>
      </w:r>
    </w:p>
    <w:p>
      <w:pPr>
        <w:pStyle w:val="6"/>
        <w:rPr>
          <w:rFonts w:ascii="仿宋_GB2312"/>
        </w:rPr>
      </w:pPr>
      <w:r>
        <w:rPr>
          <w:rFonts w:hint="eastAsia" w:ascii="仿宋_GB2312"/>
        </w:rPr>
        <w:t>（</w:t>
      </w:r>
      <w:r>
        <w:rPr>
          <w:rFonts w:ascii="仿宋_GB2312"/>
        </w:rPr>
        <w:t>3</w:t>
      </w:r>
      <w:r>
        <w:rPr>
          <w:rFonts w:hint="eastAsia" w:ascii="仿宋_GB2312"/>
        </w:rPr>
        <w:t>）市减灾办及时掌握灾情和救灾工作动态信息，组织灾情会商，按照有关规定统一发布灾情，及时发布受灾地区需求。市减灾委有关成员单位做好灾情、受灾地区需求、救灾工作动态等信息共享，每日向市减灾办报送有关情况。必要时，市减灾委专家组组织专家进行实时灾情、灾情发展趋势以及受灾地区需求评估。</w:t>
      </w:r>
    </w:p>
    <w:p>
      <w:pPr>
        <w:pStyle w:val="6"/>
        <w:rPr>
          <w:rFonts w:ascii="仿宋_GB2312"/>
        </w:rPr>
      </w:pPr>
      <w:r>
        <w:rPr>
          <w:rFonts w:hint="eastAsia" w:ascii="仿宋_GB2312"/>
        </w:rPr>
        <w:t>（</w:t>
      </w:r>
      <w:r>
        <w:rPr>
          <w:rFonts w:ascii="仿宋_GB2312"/>
        </w:rPr>
        <w:t>4</w:t>
      </w:r>
      <w:r>
        <w:rPr>
          <w:rFonts w:hint="eastAsia" w:ascii="仿宋_GB2312"/>
        </w:rPr>
        <w:t>）市应急管理局会同市财政局根据受灾地区申请和有关单位对灾情的核定情况，及时下拨市级自然灾害生活补助资金，向省财政厅、省应急管理厅申请省级自然灾害生活补助资金，必要时向财政部、应急管理部申请中央自然灾害生活补助资金。市应急管理局会同市发展改革委紧急调拨市级生活类救灾物资，指导、监督受灾地区救灾应急措施落实和救灾款物发放。交通运输、铁路、邮政、民航等部门和单位协调指导开展救灾物资、人员运输工作。</w:t>
      </w:r>
    </w:p>
    <w:p>
      <w:pPr>
        <w:pStyle w:val="6"/>
        <w:rPr>
          <w:rFonts w:ascii="仿宋_GB2312"/>
        </w:rPr>
      </w:pPr>
      <w:r>
        <w:rPr>
          <w:rFonts w:hint="eastAsia" w:ascii="仿宋_GB2312"/>
        </w:rPr>
        <w:t>（</w:t>
      </w:r>
      <w:r>
        <w:rPr>
          <w:rFonts w:ascii="仿宋_GB2312"/>
        </w:rPr>
        <w:t>5</w:t>
      </w:r>
      <w:r>
        <w:rPr>
          <w:rFonts w:hint="eastAsia" w:ascii="仿宋_GB2312"/>
        </w:rPr>
        <w:t>）市卫生健康委根据需要，及时派出医疗卫生队伍赴受灾地区协助开展医疗救治、疾病预防控制和心理援助等工作。</w:t>
      </w:r>
    </w:p>
    <w:p>
      <w:pPr>
        <w:pStyle w:val="6"/>
        <w:rPr>
          <w:rFonts w:ascii="仿宋_GB2312"/>
        </w:rPr>
      </w:pPr>
      <w:r>
        <w:rPr>
          <w:rFonts w:hint="eastAsia" w:ascii="仿宋_GB2312"/>
        </w:rPr>
        <w:t>（</w:t>
      </w:r>
      <w:r>
        <w:rPr>
          <w:rFonts w:ascii="仿宋_GB2312"/>
        </w:rPr>
        <w:t>6</w:t>
      </w:r>
      <w:r>
        <w:rPr>
          <w:rFonts w:hint="eastAsia" w:ascii="仿宋_GB2312"/>
        </w:rPr>
        <w:t>）市规划和自然资源局准备受灾地区地理信息数据，组织受灾地区现场影像获取等应急测绘，开展灾情监测和空间分析，提供应急测绘保障服务。</w:t>
      </w:r>
    </w:p>
    <w:p>
      <w:pPr>
        <w:pStyle w:val="6"/>
        <w:rPr>
          <w:rFonts w:ascii="仿宋_GB2312"/>
        </w:rPr>
      </w:pPr>
      <w:r>
        <w:rPr>
          <w:rFonts w:hint="eastAsia" w:ascii="仿宋_GB2312"/>
        </w:rPr>
        <w:t>（</w:t>
      </w:r>
      <w:r>
        <w:rPr>
          <w:rFonts w:ascii="仿宋_GB2312"/>
        </w:rPr>
        <w:t>7</w:t>
      </w:r>
      <w:r>
        <w:rPr>
          <w:rFonts w:hint="eastAsia" w:ascii="仿宋_GB2312"/>
        </w:rPr>
        <w:t>）市委宣传部指导做好新闻宣传和舆论引导等工作。</w:t>
      </w:r>
    </w:p>
    <w:p>
      <w:pPr>
        <w:pStyle w:val="6"/>
        <w:rPr>
          <w:rFonts w:ascii="仿宋_GB2312"/>
        </w:rPr>
      </w:pPr>
      <w:r>
        <w:rPr>
          <w:rFonts w:hint="eastAsia" w:ascii="仿宋_GB2312"/>
        </w:rPr>
        <w:t>（</w:t>
      </w:r>
      <w:r>
        <w:rPr>
          <w:rFonts w:ascii="仿宋_GB2312"/>
        </w:rPr>
        <w:t>8</w:t>
      </w:r>
      <w:r>
        <w:rPr>
          <w:rFonts w:hint="eastAsia" w:ascii="仿宋_GB2312"/>
        </w:rPr>
        <w:t>）市应急管理局会同市民政局指导社会组织、志愿者等社会力量参与灾害救助工作。市红十字会依法开展救灾募捐活动，参与救灾救助工作。</w:t>
      </w:r>
    </w:p>
    <w:p>
      <w:pPr>
        <w:adjustRightInd w:val="0"/>
        <w:snapToGrid w:val="0"/>
        <w:spacing w:line="560" w:lineRule="exact"/>
        <w:ind w:firstLine="640" w:firstLineChars="200"/>
        <w:rPr>
          <w:rFonts w:ascii="仿宋_GB2312"/>
        </w:rPr>
      </w:pPr>
      <w:r>
        <w:rPr>
          <w:rFonts w:hint="eastAsia" w:ascii="仿宋_GB2312"/>
        </w:rPr>
        <w:t>（</w:t>
      </w:r>
      <w:r>
        <w:rPr>
          <w:rFonts w:ascii="仿宋_GB2312"/>
        </w:rPr>
        <w:t>9</w:t>
      </w:r>
      <w:r>
        <w:rPr>
          <w:rFonts w:hint="eastAsia" w:ascii="仿宋_GB2312"/>
        </w:rPr>
        <w:t>）市消防救援支队</w:t>
      </w:r>
      <w:r>
        <w:rPr>
          <w:rFonts w:hint="eastAsia" w:ascii="仿宋_GB2312" w:hAnsi="宋体"/>
        </w:rPr>
        <w:t>做好抢险救灾相应准备，组织开展综合抢险救灾，协助地方政府救援受困群众。</w:t>
      </w:r>
    </w:p>
    <w:p>
      <w:pPr>
        <w:pStyle w:val="6"/>
        <w:rPr>
          <w:rFonts w:ascii="仿宋_GB2312"/>
        </w:rPr>
      </w:pPr>
      <w:r>
        <w:rPr>
          <w:rFonts w:hint="eastAsia" w:ascii="仿宋_GB2312"/>
        </w:rPr>
        <w:t>（10）灾情稳定后，市应急管理局牵头开展灾害损失综合评估工作，及时将评估结果报送省减灾委。</w:t>
      </w:r>
    </w:p>
    <w:p>
      <w:pPr>
        <w:pStyle w:val="6"/>
      </w:pPr>
      <w:r>
        <w:rPr>
          <w:rFonts w:hint="eastAsia" w:ascii="仿宋_GB2312"/>
        </w:rPr>
        <w:t>（11）</w:t>
      </w:r>
      <w:r>
        <w:rPr>
          <w:rFonts w:hint="eastAsia" w:ascii="仿宋_GB2312" w:hAnsi="宋体"/>
        </w:rPr>
        <w:t>各有关单位</w:t>
      </w:r>
      <w:r>
        <w:rPr>
          <w:rFonts w:hint="eastAsia" w:ascii="仿宋_GB2312"/>
        </w:rPr>
        <w:t>按职责分工，做好有关工作。</w:t>
      </w:r>
    </w:p>
    <w:p>
      <w:pPr>
        <w:widowControl w:val="0"/>
        <w:ind w:firstLine="643"/>
        <w:outlineLvl w:val="2"/>
        <w:rPr>
          <w:rFonts w:cs="仿宋_GB2312"/>
          <w:b/>
        </w:rPr>
      </w:pPr>
      <w:bookmarkStart w:id="95" w:name="_Toc1614"/>
      <w:bookmarkStart w:id="96" w:name="_Toc41146186"/>
      <w:r>
        <w:rPr>
          <w:rFonts w:ascii="仿宋_GB2312" w:cs="仿宋_GB2312"/>
          <w:b/>
        </w:rPr>
        <w:t>5.2.6</w:t>
      </w:r>
      <w:r>
        <w:rPr>
          <w:rFonts w:cs="仿宋_GB2312"/>
          <w:b/>
        </w:rPr>
        <w:t xml:space="preserve"> </w:t>
      </w:r>
      <w:r>
        <w:rPr>
          <w:rFonts w:hint="eastAsia" w:cs="仿宋_GB2312"/>
          <w:b/>
        </w:rPr>
        <w:t>Ⅰ级响应</w:t>
      </w:r>
      <w:bookmarkEnd w:id="95"/>
      <w:bookmarkEnd w:id="96"/>
    </w:p>
    <w:p>
      <w:pPr>
        <w:widowControl w:val="0"/>
        <w:adjustRightInd w:val="0"/>
        <w:snapToGrid w:val="0"/>
        <w:spacing w:line="560" w:lineRule="exact"/>
        <w:ind w:firstLine="640"/>
        <w:rPr>
          <w:rFonts w:cs="仿宋_GB2312"/>
        </w:rPr>
      </w:pPr>
      <w:r>
        <w:rPr>
          <w:rFonts w:ascii="仿宋_GB2312" w:cs="仿宋_GB2312"/>
        </w:rPr>
        <w:t>5.2.6.1</w:t>
      </w:r>
      <w:r>
        <w:rPr>
          <w:rFonts w:cs="仿宋_GB2312"/>
        </w:rPr>
        <w:t xml:space="preserve"> </w:t>
      </w:r>
      <w:r>
        <w:rPr>
          <w:rFonts w:hint="eastAsia" w:cs="仿宋_GB2312"/>
        </w:rPr>
        <w:t>启动条件</w:t>
      </w:r>
    </w:p>
    <w:p>
      <w:pPr>
        <w:pStyle w:val="6"/>
      </w:pPr>
      <w:r>
        <w:rPr>
          <w:rFonts w:hint="eastAsia"/>
        </w:rPr>
        <w:t>全市范围内一次灾害过程出现下列情况之一的，启动Ⅰ级响应：</w:t>
      </w:r>
    </w:p>
    <w:p>
      <w:pPr>
        <w:pStyle w:val="6"/>
        <w:rPr>
          <w:rFonts w:ascii="仿宋_GB2312"/>
        </w:rPr>
      </w:pPr>
      <w:r>
        <w:rPr>
          <w:rFonts w:hint="eastAsia" w:ascii="仿宋_GB2312"/>
        </w:rPr>
        <w:t>（</w:t>
      </w:r>
      <w:r>
        <w:rPr>
          <w:rFonts w:ascii="仿宋_GB2312"/>
        </w:rPr>
        <w:t>1</w:t>
      </w:r>
      <w:r>
        <w:rPr>
          <w:rFonts w:hint="eastAsia" w:ascii="仿宋_GB2312"/>
        </w:rPr>
        <w:t>）死亡（含失踪）</w:t>
      </w:r>
      <w:r>
        <w:rPr>
          <w:rFonts w:ascii="仿宋_GB2312"/>
        </w:rPr>
        <w:t>30</w:t>
      </w:r>
      <w:r>
        <w:rPr>
          <w:rFonts w:hint="eastAsia" w:ascii="仿宋_GB2312"/>
        </w:rPr>
        <w:t>人及以上；</w:t>
      </w:r>
    </w:p>
    <w:p>
      <w:pPr>
        <w:pStyle w:val="6"/>
        <w:rPr>
          <w:rFonts w:ascii="仿宋_GB2312"/>
        </w:rPr>
      </w:pPr>
      <w:r>
        <w:rPr>
          <w:rFonts w:hint="eastAsia" w:ascii="仿宋_GB2312"/>
        </w:rPr>
        <w:t>（</w:t>
      </w:r>
      <w:r>
        <w:rPr>
          <w:rFonts w:ascii="仿宋_GB2312"/>
        </w:rPr>
        <w:t>2</w:t>
      </w:r>
      <w:r>
        <w:rPr>
          <w:rFonts w:hint="eastAsia" w:ascii="仿宋_GB2312"/>
        </w:rPr>
        <w:t>）紧急转移安置或需紧急生活救助50万人及以上；</w:t>
      </w:r>
    </w:p>
    <w:p>
      <w:pPr>
        <w:pStyle w:val="6"/>
        <w:rPr>
          <w:rFonts w:ascii="仿宋_GB2312"/>
        </w:rPr>
      </w:pPr>
      <w:r>
        <w:rPr>
          <w:rFonts w:hint="eastAsia" w:ascii="仿宋_GB2312"/>
        </w:rPr>
        <w:t>（</w:t>
      </w:r>
      <w:r>
        <w:rPr>
          <w:rFonts w:ascii="仿宋_GB2312"/>
        </w:rPr>
        <w:t>3</w:t>
      </w:r>
      <w:r>
        <w:rPr>
          <w:rFonts w:hint="eastAsia" w:ascii="仿宋_GB2312"/>
        </w:rPr>
        <w:t>）倒塌和严重损坏房屋</w:t>
      </w:r>
      <w:r>
        <w:rPr>
          <w:rFonts w:ascii="仿宋_GB2312"/>
        </w:rPr>
        <w:t>5000</w:t>
      </w:r>
      <w:r>
        <w:rPr>
          <w:rFonts w:hint="eastAsia" w:ascii="仿宋_GB2312"/>
        </w:rPr>
        <w:t>间或</w:t>
      </w:r>
      <w:r>
        <w:rPr>
          <w:rFonts w:ascii="仿宋_GB2312"/>
        </w:rPr>
        <w:t>1500</w:t>
      </w:r>
      <w:r>
        <w:rPr>
          <w:rFonts w:hint="eastAsia" w:ascii="仿宋_GB2312"/>
        </w:rPr>
        <w:t>户及以上；</w:t>
      </w:r>
    </w:p>
    <w:p>
      <w:pPr>
        <w:pStyle w:val="6"/>
        <w:rPr>
          <w:rFonts w:ascii="仿宋_GB2312"/>
        </w:rPr>
      </w:pPr>
      <w:r>
        <w:rPr>
          <w:rFonts w:hint="eastAsia" w:ascii="仿宋_GB2312"/>
        </w:rPr>
        <w:t>（</w:t>
      </w:r>
      <w:r>
        <w:rPr>
          <w:rFonts w:ascii="仿宋_GB2312"/>
        </w:rPr>
        <w:t>4</w:t>
      </w:r>
      <w:r>
        <w:rPr>
          <w:rFonts w:hint="eastAsia" w:ascii="仿宋_GB2312"/>
        </w:rPr>
        <w:t>）干旱灾害造成缺粮或缺水等生活困难，需政府救助</w:t>
      </w:r>
      <w:r>
        <w:rPr>
          <w:rFonts w:ascii="仿宋_GB2312"/>
        </w:rPr>
        <w:t>50</w:t>
      </w:r>
      <w:r>
        <w:rPr>
          <w:rFonts w:hint="eastAsia" w:ascii="仿宋_GB2312"/>
        </w:rPr>
        <w:t>万人及以上；</w:t>
      </w:r>
    </w:p>
    <w:p>
      <w:pPr>
        <w:adjustRightInd w:val="0"/>
        <w:snapToGrid w:val="0"/>
        <w:spacing w:line="560" w:lineRule="exact"/>
        <w:ind w:firstLine="640"/>
        <w:rPr>
          <w:rFonts w:cs="仿宋_GB2312"/>
        </w:rPr>
      </w:pPr>
      <w:r>
        <w:rPr>
          <w:rFonts w:hint="eastAsia" w:ascii="仿宋_GB2312" w:hAnsi="仿宋_GB2312" w:cs="仿宋_GB2312"/>
        </w:rPr>
        <w:t>（</w:t>
      </w:r>
      <w:r>
        <w:rPr>
          <w:rFonts w:ascii="仿宋_GB2312"/>
        </w:rPr>
        <w:t>5</w:t>
      </w:r>
      <w:r>
        <w:rPr>
          <w:rFonts w:hint="eastAsia" w:ascii="仿宋_GB2312" w:hAnsi="仿宋_GB2312" w:cs="仿宋_GB2312"/>
        </w:rPr>
        <w:t>）灾害造成群众生产生活资料遭受巨大损失、社会关注度特别高。</w:t>
      </w:r>
    </w:p>
    <w:p>
      <w:pPr>
        <w:widowControl w:val="0"/>
        <w:adjustRightInd w:val="0"/>
        <w:snapToGrid w:val="0"/>
        <w:spacing w:line="560" w:lineRule="exact"/>
        <w:ind w:firstLine="640"/>
        <w:rPr>
          <w:rFonts w:cs="仿宋_GB2312"/>
        </w:rPr>
      </w:pPr>
      <w:r>
        <w:rPr>
          <w:rFonts w:ascii="仿宋_GB2312" w:cs="仿宋_GB2312"/>
        </w:rPr>
        <w:t>5.2.6.2</w:t>
      </w:r>
      <w:r>
        <w:rPr>
          <w:rFonts w:cs="仿宋_GB2312"/>
        </w:rPr>
        <w:t xml:space="preserve"> </w:t>
      </w:r>
      <w:r>
        <w:rPr>
          <w:rFonts w:hint="eastAsia" w:cs="仿宋_GB2312"/>
        </w:rPr>
        <w:t>启动程序</w:t>
      </w:r>
    </w:p>
    <w:p>
      <w:pPr>
        <w:pStyle w:val="6"/>
      </w:pPr>
      <w:r>
        <w:rPr>
          <w:rFonts w:hint="eastAsia"/>
        </w:rPr>
        <w:t>灾害发生后，市减灾办经分析评估，认定灾情达到启动标准，向市减灾委提出启动Ⅰ级响应的建议，按照市委市政府决定，启动Ⅰ级应急响应。</w:t>
      </w:r>
    </w:p>
    <w:p>
      <w:pPr>
        <w:widowControl w:val="0"/>
        <w:adjustRightInd w:val="0"/>
        <w:snapToGrid w:val="0"/>
        <w:spacing w:line="560" w:lineRule="exact"/>
        <w:ind w:firstLine="640"/>
        <w:rPr>
          <w:rFonts w:cs="仿宋_GB2312"/>
        </w:rPr>
      </w:pPr>
      <w:r>
        <w:rPr>
          <w:rFonts w:ascii="仿宋_GB2312" w:cs="仿宋_GB2312"/>
        </w:rPr>
        <w:t>5.2.6.3</w:t>
      </w:r>
      <w:r>
        <w:rPr>
          <w:rFonts w:cs="仿宋_GB2312"/>
        </w:rPr>
        <w:t xml:space="preserve"> </w:t>
      </w:r>
      <w:r>
        <w:rPr>
          <w:rFonts w:hint="eastAsia" w:cs="仿宋_GB2312"/>
        </w:rPr>
        <w:t>响应措施</w:t>
      </w:r>
    </w:p>
    <w:p>
      <w:pPr>
        <w:pStyle w:val="6"/>
      </w:pPr>
      <w:r>
        <w:rPr>
          <w:rFonts w:hint="eastAsia"/>
        </w:rPr>
        <w:t>市减灾委主任统一组织、领导、协调市级层面自然灾害救助工作，指导支持受灾行政区自然灾害救助工作。市减灾委及其成员单位视情采取以下措施：</w:t>
      </w:r>
    </w:p>
    <w:p>
      <w:pPr>
        <w:pStyle w:val="6"/>
        <w:rPr>
          <w:rFonts w:ascii="仿宋_GB2312"/>
        </w:rPr>
      </w:pPr>
      <w:r>
        <w:rPr>
          <w:rFonts w:hint="eastAsia" w:ascii="仿宋_GB2312"/>
        </w:rPr>
        <w:t>（</w:t>
      </w:r>
      <w:r>
        <w:rPr>
          <w:rFonts w:ascii="仿宋_GB2312"/>
        </w:rPr>
        <w:t>1</w:t>
      </w:r>
      <w:r>
        <w:rPr>
          <w:rFonts w:hint="eastAsia" w:ascii="仿宋_GB2312"/>
        </w:rPr>
        <w:t>）市减灾委主任主持召开会商会，市减灾委各成员单位、专家组及受灾地区区政府有关负责同志参加，对指导支持受灾地区减灾救灾重大事项作出决定，分析灾情形势，研究落实对受灾地区的救灾支持措施。</w:t>
      </w:r>
    </w:p>
    <w:p>
      <w:pPr>
        <w:pStyle w:val="6"/>
        <w:rPr>
          <w:rFonts w:ascii="仿宋_GB2312"/>
        </w:rPr>
      </w:pPr>
      <w:r>
        <w:rPr>
          <w:rFonts w:hint="eastAsia" w:ascii="仿宋_GB2312"/>
        </w:rPr>
        <w:t>（</w:t>
      </w:r>
      <w:r>
        <w:rPr>
          <w:rFonts w:ascii="仿宋_GB2312"/>
        </w:rPr>
        <w:t>2</w:t>
      </w:r>
      <w:r>
        <w:rPr>
          <w:rFonts w:hint="eastAsia" w:ascii="仿宋_GB2312"/>
        </w:rPr>
        <w:t>）市减灾委主任率有关单位赴受灾地区指导自然灾害救助工作，根据灾情发展和市委市政府批示指示，率有关部门或派出负责同志带队的先期工作组赴受灾地区指导自然灾害救助工作。</w:t>
      </w:r>
    </w:p>
    <w:p>
      <w:pPr>
        <w:pStyle w:val="6"/>
        <w:rPr>
          <w:rFonts w:ascii="仿宋_GB2312"/>
        </w:rPr>
      </w:pPr>
      <w:r>
        <w:rPr>
          <w:rFonts w:hint="eastAsia" w:ascii="仿宋_GB2312"/>
        </w:rPr>
        <w:t>（</w:t>
      </w:r>
      <w:r>
        <w:rPr>
          <w:rFonts w:ascii="仿宋_GB2312"/>
        </w:rPr>
        <w:t>3</w:t>
      </w:r>
      <w:r>
        <w:rPr>
          <w:rFonts w:hint="eastAsia" w:ascii="仿宋_GB2312"/>
        </w:rPr>
        <w:t>）市减灾办及时掌握灾情、救灾工作动态信息，组织灾情会商，按照有关规定统一发布灾情，及时发布受灾地区需求。市减灾委有关成员单位按照职责做好灾情、受灾地区需求、救灾工作动态等信息共享，每日向市减灾办报送有关情况。必要时，市减灾委专家组组织专家进行实时灾情、灾情发展趋势以及受灾地区需求评估。</w:t>
      </w:r>
    </w:p>
    <w:p>
      <w:pPr>
        <w:pStyle w:val="6"/>
        <w:rPr>
          <w:rFonts w:ascii="仿宋_GB2312"/>
        </w:rPr>
      </w:pPr>
      <w:r>
        <w:rPr>
          <w:rFonts w:hint="eastAsia" w:ascii="仿宋_GB2312"/>
        </w:rPr>
        <w:t>（</w:t>
      </w:r>
      <w:r>
        <w:rPr>
          <w:rFonts w:ascii="仿宋_GB2312"/>
        </w:rPr>
        <w:t>4</w:t>
      </w:r>
      <w:r>
        <w:rPr>
          <w:rFonts w:hint="eastAsia" w:ascii="仿宋_GB2312"/>
        </w:rPr>
        <w:t>）市应急管理局会同市财政局根据受灾地区申请和有关单位对灾情的核定情况，及时下拨市级自然灾害生活补助资金，向省财政厅、省应急管理厅申请省级自然灾害生活补助资金或向财政部、应急管理部申请中央自然灾害生活补助资金。市应急管理局会同市发展改革委紧急调拨市级生活类救灾物资，指导、监督受灾地区救灾应急措施落实和救灾款物发放。交通运输、铁路、邮政、民航等部门和单位协调指导开展救灾物资、人员运输工作。</w:t>
      </w:r>
    </w:p>
    <w:p>
      <w:pPr>
        <w:pStyle w:val="6"/>
        <w:rPr>
          <w:rFonts w:ascii="仿宋_GB2312"/>
        </w:rPr>
      </w:pPr>
      <w:r>
        <w:rPr>
          <w:rFonts w:hint="eastAsia" w:ascii="仿宋_GB2312"/>
        </w:rPr>
        <w:t>（</w:t>
      </w:r>
      <w:r>
        <w:rPr>
          <w:rFonts w:ascii="仿宋_GB2312"/>
        </w:rPr>
        <w:t>5</w:t>
      </w:r>
      <w:r>
        <w:rPr>
          <w:rFonts w:hint="eastAsia" w:ascii="仿宋_GB2312"/>
        </w:rPr>
        <w:t>）市公安局加强受灾地区社会治安和道路交通应急管理，协助组织受灾地区人员紧急转移。</w:t>
      </w:r>
    </w:p>
    <w:p>
      <w:pPr>
        <w:adjustRightInd w:val="0"/>
        <w:snapToGrid w:val="0"/>
        <w:spacing w:line="560" w:lineRule="exact"/>
        <w:ind w:firstLine="640" w:firstLineChars="200"/>
        <w:rPr>
          <w:rFonts w:ascii="仿宋_GB2312"/>
        </w:rPr>
      </w:pPr>
      <w:r>
        <w:rPr>
          <w:rFonts w:hint="eastAsia" w:ascii="仿宋_GB2312"/>
        </w:rPr>
        <w:t>（</w:t>
      </w:r>
      <w:r>
        <w:rPr>
          <w:rFonts w:ascii="仿宋_GB2312"/>
        </w:rPr>
        <w:t>6</w:t>
      </w:r>
      <w:r>
        <w:rPr>
          <w:rFonts w:hint="eastAsia" w:ascii="仿宋_GB2312"/>
        </w:rPr>
        <w:t>）市消防救援支队</w:t>
      </w:r>
      <w:r>
        <w:rPr>
          <w:rFonts w:hint="eastAsia" w:ascii="仿宋_GB2312" w:hAnsi="宋体"/>
        </w:rPr>
        <w:t>做好抢险救灾相应准备，组织开展综合抢险救灾，协助地方政府救援受困群众。</w:t>
      </w:r>
    </w:p>
    <w:p>
      <w:pPr>
        <w:pStyle w:val="6"/>
        <w:rPr>
          <w:rFonts w:ascii="仿宋_GB2312"/>
        </w:rPr>
      </w:pPr>
    </w:p>
    <w:p>
      <w:pPr>
        <w:pStyle w:val="6"/>
        <w:rPr>
          <w:rFonts w:ascii="仿宋_GB2312"/>
        </w:rPr>
      </w:pPr>
      <w:r>
        <w:rPr>
          <w:rFonts w:hint="eastAsia" w:ascii="仿宋_GB2312"/>
        </w:rPr>
        <w:t>（7）深圳警备区组织协调驻深部队、武警部队和民兵预备役等单位参加救灾，必要时协助运送、发放救灾物资。</w:t>
      </w:r>
    </w:p>
    <w:p>
      <w:pPr>
        <w:pStyle w:val="6"/>
        <w:rPr>
          <w:rFonts w:ascii="仿宋_GB2312"/>
        </w:rPr>
      </w:pPr>
      <w:r>
        <w:rPr>
          <w:rFonts w:hint="eastAsia" w:ascii="仿宋_GB2312"/>
        </w:rPr>
        <w:t>（8）市商务局组织协调重点连锁超市保障生活必需品市场供应稳定。</w:t>
      </w:r>
    </w:p>
    <w:p>
      <w:pPr>
        <w:pStyle w:val="6"/>
        <w:rPr>
          <w:rFonts w:ascii="仿宋_GB2312"/>
        </w:rPr>
      </w:pPr>
      <w:r>
        <w:rPr>
          <w:rFonts w:hint="eastAsia" w:ascii="仿宋_GB2312"/>
        </w:rPr>
        <w:t>（9）市工业和信息化局组织协调救灾装备、防护和消杀用品、医药等生产供应工作。</w:t>
      </w:r>
    </w:p>
    <w:p>
      <w:pPr>
        <w:pStyle w:val="6"/>
        <w:rPr>
          <w:rFonts w:ascii="仿宋_GB2312"/>
        </w:rPr>
      </w:pPr>
      <w:r>
        <w:rPr>
          <w:rFonts w:hint="eastAsia" w:ascii="仿宋_GB2312"/>
        </w:rPr>
        <w:t>（10）市住房和建设局指导灾后房屋建筑和市政基础设施工程的安全应急评估等工作。</w:t>
      </w:r>
    </w:p>
    <w:p>
      <w:pPr>
        <w:pStyle w:val="6"/>
        <w:rPr>
          <w:rFonts w:ascii="仿宋_GB2312"/>
        </w:rPr>
      </w:pPr>
      <w:r>
        <w:rPr>
          <w:rFonts w:hint="eastAsia" w:ascii="仿宋_GB2312"/>
        </w:rPr>
        <w:t>（11）市水务局指导受灾地区</w:t>
      </w:r>
      <w:r>
        <w:rPr>
          <w:rFonts w:hint="eastAsia" w:ascii="仿宋_GB2312"/>
          <w:lang w:eastAsia="zh-CN"/>
        </w:rPr>
        <w:t>水务</w:t>
      </w:r>
      <w:r>
        <w:rPr>
          <w:rFonts w:hint="eastAsia" w:ascii="仿宋_GB2312"/>
        </w:rPr>
        <w:t>工程修复、</w:t>
      </w:r>
      <w:r>
        <w:rPr>
          <w:rFonts w:hint="eastAsia" w:ascii="仿宋_GB2312"/>
          <w:lang w:eastAsia="zh-CN"/>
        </w:rPr>
        <w:t>水务</w:t>
      </w:r>
      <w:r>
        <w:rPr>
          <w:rFonts w:hint="eastAsia" w:ascii="仿宋_GB2312"/>
        </w:rPr>
        <w:t>行业供水和城市应急供水工作。</w:t>
      </w:r>
    </w:p>
    <w:p>
      <w:pPr>
        <w:pStyle w:val="6"/>
        <w:rPr>
          <w:rFonts w:ascii="仿宋_GB2312"/>
        </w:rPr>
      </w:pPr>
      <w:r>
        <w:rPr>
          <w:rFonts w:hint="eastAsia" w:ascii="仿宋_GB2312"/>
        </w:rPr>
        <w:t>（12）市卫生健康委组织指导受灾地区及时组织医疗卫生队伍赴受灾地区协助开展医疗救治、疾病预防控制和心理援助等工作。</w:t>
      </w:r>
    </w:p>
    <w:p>
      <w:pPr>
        <w:pStyle w:val="6"/>
        <w:rPr>
          <w:rFonts w:ascii="仿宋_GB2312"/>
        </w:rPr>
      </w:pPr>
      <w:r>
        <w:rPr>
          <w:rFonts w:hint="eastAsia" w:ascii="仿宋_GB2312"/>
        </w:rPr>
        <w:t>（13）市科技创新委提供科技方面的综合咨询建议，协调适用于受灾地区救灾的科技成果支持救灾工作。</w:t>
      </w:r>
    </w:p>
    <w:p>
      <w:pPr>
        <w:pStyle w:val="6"/>
        <w:rPr>
          <w:rFonts w:ascii="仿宋_GB2312"/>
        </w:rPr>
      </w:pPr>
      <w:r>
        <w:rPr>
          <w:rFonts w:hint="eastAsia" w:ascii="仿宋_GB2312"/>
        </w:rPr>
        <w:t>（14）市规划和自然资源局准备受灾地区地理信息数据，组织受灾地区现场影像获取等应急测绘，开展灾情监测和空间分析，提供应急测绘保障服务。</w:t>
      </w:r>
    </w:p>
    <w:p>
      <w:pPr>
        <w:pStyle w:val="6"/>
        <w:rPr>
          <w:rFonts w:ascii="仿宋_GB2312"/>
        </w:rPr>
      </w:pPr>
      <w:r>
        <w:rPr>
          <w:rFonts w:hint="eastAsia" w:ascii="仿宋_GB2312"/>
        </w:rPr>
        <w:t>（15）市生态环境局及时监测因灾害导致的环境污染或变化等情况。</w:t>
      </w:r>
    </w:p>
    <w:p>
      <w:pPr>
        <w:pStyle w:val="6"/>
        <w:rPr>
          <w:rFonts w:ascii="仿宋_GB2312"/>
        </w:rPr>
      </w:pPr>
      <w:r>
        <w:rPr>
          <w:rFonts w:hint="eastAsia" w:ascii="仿宋_GB2312"/>
        </w:rPr>
        <w:t>（16）市通信管理局组织基础电信运营企业做好公用通信网络应急保障工作。</w:t>
      </w:r>
    </w:p>
    <w:p>
      <w:pPr>
        <w:pStyle w:val="6"/>
        <w:rPr>
          <w:rFonts w:ascii="仿宋_GB2312"/>
        </w:rPr>
      </w:pPr>
      <w:r>
        <w:rPr>
          <w:rFonts w:hint="eastAsia" w:ascii="仿宋_GB2312"/>
        </w:rPr>
        <w:t>（17）市委宣传部组织做好新闻宣传和舆论引导等工作。</w:t>
      </w:r>
    </w:p>
    <w:p>
      <w:pPr>
        <w:pStyle w:val="6"/>
        <w:rPr>
          <w:rFonts w:ascii="仿宋_GB2312"/>
        </w:rPr>
      </w:pPr>
      <w:r>
        <w:rPr>
          <w:rFonts w:hint="eastAsia" w:ascii="仿宋_GB2312"/>
        </w:rPr>
        <w:t>（18）市应急管理局视情组织开展跨区或者全市性救灾捐赠活动，统一接收、管理、分配国内和国际救灾捐赠款物；会同市民政局指导社会组织、志愿者等社会力量参与灾害救助工作。市港澳办协助做好与港澳地区的联动互助、跨区域救援等相关协调工作，市政府外办等单位协助做好救灾的涉外工作。市红十字会依法开展救灾募捐活动，参与救灾救助工作。</w:t>
      </w:r>
    </w:p>
    <w:p>
      <w:pPr>
        <w:pStyle w:val="6"/>
        <w:rPr>
          <w:rFonts w:ascii="仿宋_GB2312"/>
        </w:rPr>
      </w:pPr>
      <w:r>
        <w:rPr>
          <w:rFonts w:hint="eastAsia" w:ascii="仿宋_GB2312"/>
        </w:rPr>
        <w:t>（19）灾情稳定后，市应急管理局牵头开展灾害损失评估、灾害调查评估工作，经市政府同意后及时将评估结果报送省减灾委。市应急管理局组织核定并按有关规定和要求发布自然灾害损失情况。</w:t>
      </w:r>
    </w:p>
    <w:p>
      <w:pPr>
        <w:pStyle w:val="6"/>
        <w:rPr>
          <w:rFonts w:ascii="仿宋_GB2312"/>
        </w:rPr>
      </w:pPr>
      <w:r>
        <w:rPr>
          <w:rFonts w:hint="eastAsia" w:ascii="仿宋_GB2312"/>
        </w:rPr>
        <w:t>（20）灾情稳定后，国家金融监督管理总局深圳监管局、市地方金融管理局监督指导保险机构开展受灾地区灾害保险理赔等工作。</w:t>
      </w:r>
    </w:p>
    <w:p>
      <w:pPr>
        <w:pStyle w:val="6"/>
      </w:pPr>
      <w:r>
        <w:rPr>
          <w:rFonts w:hint="eastAsia" w:ascii="仿宋_GB2312"/>
        </w:rPr>
        <w:t>（21）</w:t>
      </w:r>
      <w:r>
        <w:rPr>
          <w:rFonts w:hint="eastAsia" w:ascii="仿宋_GB2312" w:hAnsi="宋体"/>
        </w:rPr>
        <w:t>各有关单位</w:t>
      </w:r>
      <w:r>
        <w:rPr>
          <w:rFonts w:hint="eastAsia" w:ascii="仿宋_GB2312"/>
        </w:rPr>
        <w:t>按照职责分工，做好有关工作。</w:t>
      </w:r>
    </w:p>
    <w:bookmarkEnd w:id="88"/>
    <w:p>
      <w:pPr>
        <w:adjustRightInd w:val="0"/>
        <w:snapToGrid w:val="0"/>
        <w:ind w:firstLine="640" w:firstLineChars="200"/>
        <w:outlineLvl w:val="1"/>
        <w:rPr>
          <w:rFonts w:ascii="楷体_GB2312" w:hAnsi="楷体_GB2312" w:eastAsia="楷体_GB2312" w:cs="楷体_GB2312"/>
        </w:rPr>
      </w:pPr>
      <w:bookmarkStart w:id="97" w:name="_Toc8109"/>
      <w:bookmarkStart w:id="98" w:name="_Toc41146187"/>
      <w:bookmarkStart w:id="99" w:name="_Toc70532419"/>
      <w:bookmarkStart w:id="100" w:name="_Toc18800"/>
      <w:bookmarkStart w:id="101" w:name="_Toc11427"/>
      <w:r>
        <w:rPr>
          <w:rFonts w:hint="eastAsia" w:ascii="楷体_GB2312" w:hAnsi="楷体_GB2312" w:eastAsia="楷体_GB2312" w:cs="楷体_GB2312"/>
        </w:rPr>
        <w:t>5.3 启动条件调整</w:t>
      </w:r>
      <w:bookmarkEnd w:id="97"/>
      <w:bookmarkEnd w:id="98"/>
      <w:bookmarkEnd w:id="99"/>
      <w:bookmarkEnd w:id="100"/>
      <w:bookmarkEnd w:id="101"/>
    </w:p>
    <w:p>
      <w:pPr>
        <w:pStyle w:val="6"/>
      </w:pPr>
      <w:r>
        <w:rPr>
          <w:rFonts w:hint="eastAsia"/>
        </w:rPr>
        <w:t>对发生在敏感地区、敏感时间和救助能力特别薄弱的地区，或灾害对受灾地区经济社会造成重大影响时，启动市级自然灾害救助应急响应的标准可酌情调整。</w:t>
      </w:r>
    </w:p>
    <w:p>
      <w:pPr>
        <w:ind w:firstLine="640" w:firstLineChars="200"/>
        <w:outlineLvl w:val="1"/>
        <w:rPr>
          <w:rFonts w:ascii="楷体_GB2312" w:hAnsi="楷体_GB2312" w:eastAsia="楷体_GB2312" w:cs="楷体_GB2312"/>
        </w:rPr>
      </w:pPr>
      <w:bookmarkStart w:id="102" w:name="_Toc32565"/>
      <w:bookmarkStart w:id="103" w:name="_Toc70532420"/>
      <w:bookmarkStart w:id="104" w:name="_Toc15990"/>
      <w:bookmarkStart w:id="105" w:name="_Toc22881"/>
      <w:bookmarkStart w:id="106" w:name="_Toc41146188"/>
      <w:r>
        <w:rPr>
          <w:rFonts w:hint="eastAsia" w:ascii="楷体_GB2312" w:hAnsi="楷体_GB2312" w:eastAsia="楷体_GB2312" w:cs="楷体_GB2312"/>
        </w:rPr>
        <w:t>5.4 响应终止</w:t>
      </w:r>
      <w:bookmarkEnd w:id="102"/>
      <w:bookmarkEnd w:id="103"/>
      <w:bookmarkEnd w:id="104"/>
      <w:bookmarkEnd w:id="105"/>
      <w:bookmarkEnd w:id="106"/>
    </w:p>
    <w:p>
      <w:pPr>
        <w:pStyle w:val="6"/>
      </w:pPr>
      <w:r>
        <w:rPr>
          <w:rFonts w:hint="eastAsia"/>
        </w:rPr>
        <w:t>灾情基本稳定、救助应急工作结束，经评估短期内灾害影响不再扩大或已经明显减轻后，由市减灾办提出建议，按照启动响应的审批程序决定降低响应级别或终止响应。</w:t>
      </w:r>
    </w:p>
    <w:p>
      <w:pPr>
        <w:widowControl w:val="0"/>
        <w:ind w:firstLine="640" w:firstLineChars="200"/>
        <w:outlineLvl w:val="0"/>
        <w:rPr>
          <w:rFonts w:ascii="黑体" w:hAnsi="黑体" w:eastAsia="黑体" w:cs="黑体"/>
        </w:rPr>
      </w:pPr>
      <w:bookmarkStart w:id="107" w:name="_Toc12002"/>
      <w:bookmarkStart w:id="108" w:name="_Toc21690"/>
      <w:bookmarkStart w:id="109" w:name="_Toc70532421"/>
      <w:bookmarkStart w:id="110" w:name="_Toc22287"/>
      <w:bookmarkStart w:id="111" w:name="_Toc41146189"/>
      <w:r>
        <w:rPr>
          <w:rFonts w:hint="eastAsia" w:ascii="黑体" w:hAnsi="黑体" w:eastAsia="黑体" w:cs="黑体"/>
        </w:rPr>
        <w:t>6 灾后救助与恢复重建</w:t>
      </w:r>
      <w:bookmarkEnd w:id="107"/>
      <w:bookmarkEnd w:id="108"/>
      <w:bookmarkEnd w:id="109"/>
      <w:bookmarkEnd w:id="110"/>
      <w:bookmarkEnd w:id="111"/>
    </w:p>
    <w:p>
      <w:pPr>
        <w:ind w:firstLine="640" w:firstLineChars="200"/>
        <w:outlineLvl w:val="1"/>
        <w:rPr>
          <w:rFonts w:ascii="楷体_GB2312" w:hAnsi="楷体_GB2312" w:eastAsia="楷体_GB2312" w:cs="楷体_GB2312"/>
        </w:rPr>
      </w:pPr>
      <w:bookmarkStart w:id="112" w:name="_Toc24613"/>
      <w:bookmarkStart w:id="113" w:name="_Toc21586"/>
      <w:bookmarkStart w:id="114" w:name="_Toc5339"/>
      <w:bookmarkStart w:id="115" w:name="_Toc70532422"/>
      <w:bookmarkStart w:id="116" w:name="_Toc41146190"/>
      <w:r>
        <w:rPr>
          <w:rFonts w:hint="eastAsia" w:ascii="楷体_GB2312" w:hAnsi="楷体_GB2312" w:eastAsia="楷体_GB2312" w:cs="楷体_GB2312"/>
        </w:rPr>
        <w:t>6.1 过渡期生活救助</w:t>
      </w:r>
      <w:bookmarkEnd w:id="112"/>
      <w:bookmarkEnd w:id="113"/>
      <w:bookmarkEnd w:id="114"/>
      <w:bookmarkEnd w:id="115"/>
      <w:bookmarkEnd w:id="116"/>
    </w:p>
    <w:p>
      <w:pPr>
        <w:pStyle w:val="6"/>
        <w:rPr>
          <w:rFonts w:ascii="仿宋_GB2312"/>
        </w:rPr>
      </w:pPr>
      <w:r>
        <w:rPr>
          <w:rFonts w:hint="eastAsia" w:ascii="仿宋_GB2312"/>
        </w:rPr>
        <w:t>（</w:t>
      </w:r>
      <w:r>
        <w:rPr>
          <w:rFonts w:ascii="仿宋_GB2312"/>
        </w:rPr>
        <w:t>1</w:t>
      </w:r>
      <w:r>
        <w:rPr>
          <w:rFonts w:hint="eastAsia" w:ascii="仿宋_GB2312"/>
        </w:rPr>
        <w:t>）自然灾害发生后，市减灾办组织有关单位、专家及受灾地区应急管理部门评估过渡期生活救助需求情况。</w:t>
      </w:r>
    </w:p>
    <w:p>
      <w:pPr>
        <w:pStyle w:val="6"/>
        <w:rPr>
          <w:rFonts w:ascii="仿宋_GB2312"/>
        </w:rPr>
      </w:pPr>
      <w:r>
        <w:rPr>
          <w:rFonts w:hint="eastAsia" w:ascii="仿宋_GB2312"/>
        </w:rPr>
        <w:t>（</w:t>
      </w:r>
      <w:r>
        <w:rPr>
          <w:rFonts w:ascii="仿宋_GB2312"/>
        </w:rPr>
        <w:t>2</w:t>
      </w:r>
      <w:r>
        <w:rPr>
          <w:rFonts w:hint="eastAsia" w:ascii="仿宋_GB2312"/>
        </w:rPr>
        <w:t>）市应急管理局会同市财政局及时拨付过渡期生活救助资金。市应急管理局指导受灾地区做好过渡期生活救助的人员核定、资金发放及监管等工作。</w:t>
      </w:r>
    </w:p>
    <w:p>
      <w:pPr>
        <w:pStyle w:val="6"/>
        <w:rPr>
          <w:rFonts w:ascii="仿宋_GB2312"/>
        </w:rPr>
      </w:pPr>
      <w:r>
        <w:rPr>
          <w:rFonts w:hint="eastAsia" w:ascii="仿宋_GB2312"/>
        </w:rPr>
        <w:t>（</w:t>
      </w:r>
      <w:r>
        <w:rPr>
          <w:rFonts w:ascii="仿宋_GB2312"/>
        </w:rPr>
        <w:t>3</w:t>
      </w:r>
      <w:r>
        <w:rPr>
          <w:rFonts w:hint="eastAsia" w:ascii="仿宋_GB2312"/>
        </w:rPr>
        <w:t>）市减灾办会同有关单位监督检查受灾地区过渡期生活救助政策和措施落实，定期通报受灾地区救助工作情况。</w:t>
      </w:r>
    </w:p>
    <w:p>
      <w:pPr>
        <w:pStyle w:val="6"/>
        <w:rPr>
          <w:rFonts w:ascii="仿宋_GB2312"/>
        </w:rPr>
      </w:pPr>
      <w:r>
        <w:rPr>
          <w:rFonts w:hint="eastAsia" w:ascii="仿宋_GB2312"/>
        </w:rPr>
        <w:t>（</w:t>
      </w:r>
      <w:r>
        <w:rPr>
          <w:rFonts w:ascii="仿宋_GB2312"/>
        </w:rPr>
        <w:t>4</w:t>
      </w:r>
      <w:r>
        <w:rPr>
          <w:rFonts w:hint="eastAsia" w:ascii="仿宋_GB2312"/>
        </w:rPr>
        <w:t>）鼓励支持社会力量协助筹集救灾款物。</w:t>
      </w:r>
    </w:p>
    <w:p>
      <w:pPr>
        <w:pStyle w:val="6"/>
        <w:rPr>
          <w:rFonts w:ascii="仿宋_GB2312"/>
        </w:rPr>
      </w:pPr>
      <w:r>
        <w:rPr>
          <w:rFonts w:hint="eastAsia" w:ascii="仿宋_GB2312"/>
        </w:rPr>
        <w:t>（</w:t>
      </w:r>
      <w:r>
        <w:rPr>
          <w:rFonts w:ascii="仿宋_GB2312"/>
        </w:rPr>
        <w:t>5</w:t>
      </w:r>
      <w:r>
        <w:rPr>
          <w:rFonts w:hint="eastAsia" w:ascii="仿宋_GB2312"/>
        </w:rPr>
        <w:t>）市应急管理局在过渡期生活救助工作结束后，组织对救助情况进行评估。</w:t>
      </w:r>
    </w:p>
    <w:p>
      <w:pPr>
        <w:ind w:firstLine="640" w:firstLineChars="200"/>
        <w:outlineLvl w:val="1"/>
        <w:rPr>
          <w:rFonts w:ascii="楷体_GB2312" w:hAnsi="楷体_GB2312" w:eastAsia="楷体_GB2312" w:cs="楷体_GB2312"/>
        </w:rPr>
      </w:pPr>
      <w:bookmarkStart w:id="117" w:name="_Toc32494"/>
      <w:bookmarkStart w:id="118" w:name="_Toc70532423"/>
      <w:bookmarkStart w:id="119" w:name="_Toc41146191"/>
      <w:bookmarkStart w:id="120" w:name="_Toc20829"/>
      <w:r>
        <w:rPr>
          <w:rFonts w:hint="eastAsia" w:ascii="楷体_GB2312" w:hAnsi="楷体_GB2312" w:eastAsia="楷体_GB2312" w:cs="楷体_GB2312"/>
        </w:rPr>
        <w:t>6.2 冬春救助</w:t>
      </w:r>
      <w:bookmarkEnd w:id="117"/>
      <w:bookmarkEnd w:id="118"/>
      <w:bookmarkEnd w:id="119"/>
      <w:bookmarkEnd w:id="120"/>
    </w:p>
    <w:p>
      <w:pPr>
        <w:pStyle w:val="6"/>
      </w:pPr>
      <w:r>
        <w:rPr>
          <w:rFonts w:hint="eastAsia"/>
        </w:rPr>
        <w:t>自然灾害发生后的当年冬季、次年春季，受灾地区区政府为生活困难的受灾人员提供基本生活救助。</w:t>
      </w:r>
    </w:p>
    <w:p>
      <w:pPr>
        <w:pStyle w:val="6"/>
        <w:rPr>
          <w:rFonts w:ascii="仿宋_GB2312"/>
        </w:rPr>
      </w:pPr>
      <w:r>
        <w:rPr>
          <w:rFonts w:hint="eastAsia" w:ascii="仿宋_GB2312"/>
        </w:rPr>
        <w:t>（</w:t>
      </w:r>
      <w:r>
        <w:rPr>
          <w:rFonts w:ascii="仿宋_GB2312"/>
        </w:rPr>
        <w:t>1</w:t>
      </w:r>
      <w:r>
        <w:rPr>
          <w:rFonts w:hint="eastAsia" w:ascii="仿宋_GB2312"/>
        </w:rPr>
        <w:t>）受灾地区应急管理部门会同本级政府有关职能部门在每年</w:t>
      </w:r>
      <w:r>
        <w:rPr>
          <w:rFonts w:ascii="仿宋_GB2312"/>
        </w:rPr>
        <w:t>9</w:t>
      </w:r>
      <w:r>
        <w:rPr>
          <w:rFonts w:hint="eastAsia" w:ascii="仿宋_GB2312"/>
        </w:rPr>
        <w:t>月下旬启动冬春受灾人员生活困难情况调查评估，并核实有关情况。</w:t>
      </w:r>
    </w:p>
    <w:p>
      <w:pPr>
        <w:pStyle w:val="6"/>
        <w:rPr>
          <w:rFonts w:ascii="仿宋_GB2312"/>
        </w:rPr>
      </w:pPr>
      <w:r>
        <w:rPr>
          <w:rFonts w:hint="eastAsia" w:ascii="仿宋_GB2312"/>
        </w:rPr>
        <w:t>（</w:t>
      </w:r>
      <w:r>
        <w:rPr>
          <w:rFonts w:ascii="仿宋_GB2312"/>
        </w:rPr>
        <w:t>2</w:t>
      </w:r>
      <w:r>
        <w:rPr>
          <w:rFonts w:hint="eastAsia" w:ascii="仿宋_GB2312"/>
        </w:rPr>
        <w:t>）受灾地区区应急管理局会同有关职能部门在每年</w:t>
      </w:r>
      <w:r>
        <w:rPr>
          <w:rFonts w:ascii="仿宋_GB2312"/>
        </w:rPr>
        <w:t>10</w:t>
      </w:r>
      <w:r>
        <w:rPr>
          <w:rFonts w:hint="eastAsia" w:ascii="仿宋_GB2312"/>
        </w:rPr>
        <w:t>月底前统计、评估受灾人员当年冬季、次年春季基本生活救助需求，核实救助对象，编制工作台账，制定救助工作方案，经区政府批准后组织实施，并报市应急管理局备案。</w:t>
      </w:r>
    </w:p>
    <w:p>
      <w:pPr>
        <w:pStyle w:val="6"/>
        <w:rPr>
          <w:rFonts w:ascii="仿宋_GB2312"/>
        </w:rPr>
      </w:pPr>
      <w:r>
        <w:rPr>
          <w:rFonts w:hint="eastAsia" w:ascii="仿宋_GB2312"/>
        </w:rPr>
        <w:t>（</w:t>
      </w:r>
      <w:r>
        <w:rPr>
          <w:rFonts w:ascii="仿宋_GB2312"/>
        </w:rPr>
        <w:t>3</w:t>
      </w:r>
      <w:r>
        <w:rPr>
          <w:rFonts w:hint="eastAsia" w:ascii="仿宋_GB2312"/>
        </w:rPr>
        <w:t>）根据受灾地区区政府的申请，结合灾情评估情况，市应急管理局会同市财政局确定资金补助方案，及时下拨自然灾害生活补助资金，专项用于帮助解决受灾人员冬春期间吃饭、穿衣、取暖等基本生活困难。</w:t>
      </w:r>
    </w:p>
    <w:p>
      <w:pPr>
        <w:pStyle w:val="6"/>
      </w:pPr>
      <w:r>
        <w:rPr>
          <w:rFonts w:hint="eastAsia" w:ascii="仿宋_GB2312"/>
        </w:rPr>
        <w:t>（</w:t>
      </w:r>
      <w:r>
        <w:rPr>
          <w:rFonts w:ascii="仿宋_GB2312"/>
        </w:rPr>
        <w:t>4</w:t>
      </w:r>
      <w:r>
        <w:rPr>
          <w:rFonts w:hint="eastAsia" w:ascii="仿宋_GB2312"/>
        </w:rPr>
        <w:t>）市应急管理局会同市政府有关职能部门通过开展救灾捐赠、对口支援、政府采购等方式解决受灾人员的过冬衣被等问题，组织有关单位和专家评估全市冬春期间中期和终期救助工作绩效。</w:t>
      </w:r>
    </w:p>
    <w:p>
      <w:pPr>
        <w:ind w:firstLine="640" w:firstLineChars="200"/>
        <w:outlineLvl w:val="1"/>
        <w:rPr>
          <w:rFonts w:ascii="楷体_GB2312" w:hAnsi="楷体_GB2312" w:eastAsia="楷体_GB2312" w:cs="楷体_GB2312"/>
        </w:rPr>
      </w:pPr>
      <w:bookmarkStart w:id="121" w:name="_Toc70532424"/>
      <w:bookmarkStart w:id="122" w:name="_Toc41146192"/>
      <w:bookmarkStart w:id="123" w:name="_Toc10325"/>
      <w:bookmarkStart w:id="124" w:name="_Toc7269"/>
      <w:bookmarkStart w:id="125" w:name="_Toc4187"/>
      <w:r>
        <w:rPr>
          <w:rFonts w:hint="eastAsia" w:ascii="楷体_GB2312" w:hAnsi="楷体_GB2312" w:eastAsia="楷体_GB2312" w:cs="楷体_GB2312"/>
        </w:rPr>
        <w:t>6.3 倒损住房恢复重建</w:t>
      </w:r>
      <w:bookmarkEnd w:id="121"/>
      <w:bookmarkEnd w:id="122"/>
      <w:bookmarkEnd w:id="123"/>
      <w:bookmarkEnd w:id="124"/>
      <w:bookmarkEnd w:id="125"/>
    </w:p>
    <w:p>
      <w:pPr>
        <w:pStyle w:val="6"/>
        <w:rPr>
          <w:rFonts w:cs="仿宋_GB2312"/>
        </w:rPr>
      </w:pPr>
      <w:r>
        <w:rPr>
          <w:rFonts w:hint="eastAsia"/>
        </w:rPr>
        <w:t>受灾地区区政府负责组织实施因灾倒损住房恢复重建。因灾倒损住房恢复重建要尊重群众意愿，采取自建、援建和帮建相结合的方式。建房资金等通过政府救助、社会互助、自行筹措、政策优惠等多种途径解决。重建规划和房屋设计要根据灾情因地制宜确定方案，科学安排项目选址，合理布局，确保安全。</w:t>
      </w:r>
    </w:p>
    <w:p>
      <w:pPr>
        <w:pStyle w:val="6"/>
        <w:rPr>
          <w:rFonts w:ascii="仿宋_GB2312"/>
        </w:rPr>
      </w:pPr>
      <w:r>
        <w:rPr>
          <w:rFonts w:hint="eastAsia" w:ascii="仿宋_GB2312"/>
        </w:rPr>
        <w:t>（</w:t>
      </w:r>
      <w:r>
        <w:rPr>
          <w:rFonts w:ascii="仿宋_GB2312"/>
        </w:rPr>
        <w:t>1</w:t>
      </w:r>
      <w:r>
        <w:rPr>
          <w:rFonts w:hint="eastAsia" w:ascii="仿宋_GB2312"/>
        </w:rPr>
        <w:t>）市应急管理局根据区应急管理局对倒损住房的核定情况，视情况组织评估小组，参考其他有关单位评估数据，对因灾倒损住房情况进行综合评估。</w:t>
      </w:r>
    </w:p>
    <w:p>
      <w:pPr>
        <w:pStyle w:val="6"/>
        <w:rPr>
          <w:rFonts w:ascii="仿宋_GB2312"/>
        </w:rPr>
      </w:pPr>
      <w:r>
        <w:rPr>
          <w:rFonts w:hint="eastAsia" w:ascii="仿宋_GB2312"/>
        </w:rPr>
        <w:t>（</w:t>
      </w:r>
      <w:r>
        <w:rPr>
          <w:rFonts w:ascii="仿宋_GB2312"/>
        </w:rPr>
        <w:t>2</w:t>
      </w:r>
      <w:r>
        <w:rPr>
          <w:rFonts w:hint="eastAsia" w:ascii="仿宋_GB2312"/>
        </w:rPr>
        <w:t>）市应急管理局根据倒损住房情况评估结果，按照市级倒损住房恢复重建资金补助标准，提出资金补助建议，经市财政局审核后下达。</w:t>
      </w:r>
    </w:p>
    <w:p>
      <w:pPr>
        <w:pStyle w:val="6"/>
        <w:rPr>
          <w:rFonts w:ascii="仿宋_GB2312"/>
        </w:rPr>
      </w:pPr>
      <w:r>
        <w:rPr>
          <w:rFonts w:hint="eastAsia" w:ascii="仿宋_GB2312"/>
        </w:rPr>
        <w:t>（</w:t>
      </w:r>
      <w:r>
        <w:rPr>
          <w:rFonts w:ascii="仿宋_GB2312"/>
        </w:rPr>
        <w:t>3</w:t>
      </w:r>
      <w:r>
        <w:rPr>
          <w:rFonts w:hint="eastAsia" w:ascii="仿宋_GB2312"/>
        </w:rPr>
        <w:t>）倒损住房恢复重建工作结束后，市应急管理局组织督查组通过开展实地抽查等方式或信息化核查手段，对全市倒损住房恢复重建补助资金管理工作情况进行评估。</w:t>
      </w:r>
    </w:p>
    <w:p>
      <w:pPr>
        <w:pStyle w:val="6"/>
        <w:rPr>
          <w:rFonts w:ascii="仿宋_GB2312"/>
        </w:rPr>
      </w:pPr>
      <w:r>
        <w:rPr>
          <w:rFonts w:hint="eastAsia" w:ascii="仿宋_GB2312"/>
        </w:rPr>
        <w:t>（</w:t>
      </w:r>
      <w:r>
        <w:rPr>
          <w:rFonts w:ascii="仿宋_GB2312"/>
        </w:rPr>
        <w:t>4</w:t>
      </w:r>
      <w:r>
        <w:rPr>
          <w:rFonts w:hint="eastAsia" w:ascii="仿宋_GB2312"/>
        </w:rPr>
        <w:t>）市住房建设局负责倒损住房恢复重建的技术支持和质量监督等工作。市规划和自然资源局负责灾后恢复重建的测绘地理信息保障服务工作。其他相关部门按职责分工，配合做好重建规划、选址，制定优惠政策，支持做好住房恢复重建工作。</w:t>
      </w:r>
    </w:p>
    <w:p>
      <w:pPr>
        <w:pStyle w:val="6"/>
      </w:pPr>
      <w:r>
        <w:rPr>
          <w:rFonts w:hint="eastAsia" w:ascii="仿宋_GB2312"/>
        </w:rPr>
        <w:t>（</w:t>
      </w:r>
      <w:r>
        <w:rPr>
          <w:rFonts w:ascii="仿宋_GB2312"/>
        </w:rPr>
        <w:t>5</w:t>
      </w:r>
      <w:r>
        <w:rPr>
          <w:rFonts w:hint="eastAsia" w:ascii="仿宋_GB2312"/>
        </w:rPr>
        <w:t>）市政府统一组织开展的恢复重建，按有关规定执行。</w:t>
      </w:r>
    </w:p>
    <w:p>
      <w:pPr>
        <w:ind w:firstLine="640" w:firstLineChars="200"/>
        <w:outlineLvl w:val="1"/>
        <w:rPr>
          <w:rFonts w:ascii="楷体_GB2312" w:hAnsi="楷体_GB2312" w:eastAsia="楷体_GB2312" w:cs="楷体_GB2312"/>
        </w:rPr>
      </w:pPr>
      <w:bookmarkStart w:id="126" w:name="_Toc70532425"/>
      <w:bookmarkStart w:id="127" w:name="_Toc41146193"/>
      <w:bookmarkStart w:id="128" w:name="_Toc15522"/>
      <w:bookmarkStart w:id="129" w:name="_Toc24508"/>
      <w:bookmarkStart w:id="130" w:name="_Toc29539"/>
      <w:r>
        <w:rPr>
          <w:rFonts w:hint="eastAsia" w:ascii="楷体_GB2312" w:hAnsi="楷体_GB2312" w:eastAsia="楷体_GB2312" w:cs="楷体_GB2312"/>
        </w:rPr>
        <w:t>6.4 保险赔付</w:t>
      </w:r>
      <w:bookmarkEnd w:id="126"/>
      <w:bookmarkEnd w:id="127"/>
      <w:bookmarkEnd w:id="128"/>
      <w:bookmarkEnd w:id="129"/>
      <w:bookmarkEnd w:id="130"/>
    </w:p>
    <w:p>
      <w:pPr>
        <w:pStyle w:val="6"/>
      </w:pPr>
      <w:r>
        <w:rPr>
          <w:rFonts w:hint="eastAsia"/>
        </w:rPr>
        <w:t>巨灾保险制度实施期间，充分发挥巨灾保险灾害风险转移和损失补偿作用，由市应急管理局协调巨灾保险承保机构，及时开展保险理赔服务工作。各区政府和相关单位为保险理赔提供支持协助。</w:t>
      </w:r>
    </w:p>
    <w:p>
      <w:pPr>
        <w:widowControl w:val="0"/>
        <w:ind w:firstLine="640" w:firstLineChars="200"/>
        <w:outlineLvl w:val="0"/>
        <w:rPr>
          <w:rFonts w:ascii="黑体" w:hAnsi="黑体" w:eastAsia="黑体" w:cs="黑体"/>
        </w:rPr>
      </w:pPr>
      <w:bookmarkStart w:id="131" w:name="_Toc26348"/>
      <w:bookmarkStart w:id="132" w:name="_Toc70532426"/>
      <w:bookmarkStart w:id="133" w:name="_Toc523"/>
      <w:bookmarkStart w:id="134" w:name="_Toc41146194"/>
      <w:bookmarkStart w:id="135" w:name="_Toc9820"/>
      <w:r>
        <w:rPr>
          <w:rFonts w:hint="eastAsia" w:ascii="黑体" w:hAnsi="黑体" w:eastAsia="黑体" w:cs="黑体"/>
        </w:rPr>
        <w:t>7 保障措施</w:t>
      </w:r>
      <w:bookmarkEnd w:id="131"/>
      <w:bookmarkEnd w:id="132"/>
      <w:bookmarkEnd w:id="133"/>
      <w:bookmarkEnd w:id="134"/>
      <w:bookmarkEnd w:id="135"/>
    </w:p>
    <w:p>
      <w:pPr>
        <w:ind w:firstLine="640" w:firstLineChars="200"/>
        <w:outlineLvl w:val="1"/>
        <w:rPr>
          <w:rFonts w:ascii="楷体_GB2312" w:hAnsi="楷体_GB2312" w:eastAsia="楷体_GB2312" w:cs="楷体_GB2312"/>
        </w:rPr>
      </w:pPr>
      <w:bookmarkStart w:id="136" w:name="_Toc70532427"/>
      <w:bookmarkStart w:id="137" w:name="_Toc12398"/>
      <w:bookmarkStart w:id="138" w:name="_Toc41146195"/>
      <w:bookmarkStart w:id="139" w:name="_Toc10121"/>
      <w:bookmarkStart w:id="140" w:name="_Toc11886"/>
      <w:r>
        <w:rPr>
          <w:rFonts w:hint="eastAsia" w:ascii="楷体_GB2312" w:hAnsi="楷体_GB2312" w:eastAsia="楷体_GB2312" w:cs="楷体_GB2312"/>
        </w:rPr>
        <w:t>7.1 人力保障</w:t>
      </w:r>
      <w:bookmarkEnd w:id="136"/>
      <w:bookmarkEnd w:id="137"/>
    </w:p>
    <w:p>
      <w:pPr>
        <w:spacing w:line="600" w:lineRule="exact"/>
        <w:ind w:firstLine="640" w:firstLineChars="200"/>
        <w:rPr>
          <w:rFonts w:ascii="仿宋_GB2312" w:cs="仿宋_GB2312"/>
          <w:bCs/>
        </w:rPr>
      </w:pPr>
      <w:r>
        <w:rPr>
          <w:rFonts w:hint="eastAsia" w:ascii="仿宋_GB2312"/>
        </w:rPr>
        <w:t>（</w:t>
      </w:r>
      <w:r>
        <w:rPr>
          <w:rFonts w:ascii="仿宋_GB2312"/>
        </w:rPr>
        <w:t>1</w:t>
      </w:r>
      <w:r>
        <w:rPr>
          <w:rFonts w:hint="eastAsia" w:ascii="仿宋_GB2312"/>
        </w:rPr>
        <w:t>）加强自然灾害各类专业应急队伍建设，</w:t>
      </w:r>
      <w:r>
        <w:rPr>
          <w:rFonts w:hint="eastAsia" w:ascii="仿宋_GB2312" w:cs="仿宋_GB2312"/>
          <w:bCs/>
        </w:rPr>
        <w:t>组建专职人员和兼职人员相结合的应急队伍，</w:t>
      </w:r>
      <w:r>
        <w:rPr>
          <w:rFonts w:hint="eastAsia" w:ascii="仿宋_GB2312"/>
        </w:rPr>
        <w:t>提高自然灾害救助能力</w:t>
      </w:r>
      <w:r>
        <w:rPr>
          <w:rFonts w:hint="eastAsia" w:ascii="仿宋_GB2312" w:cs="仿宋_GB2312"/>
          <w:bCs/>
        </w:rPr>
        <w:t>。</w:t>
      </w:r>
      <w:r>
        <w:rPr>
          <w:rFonts w:hint="eastAsia" w:ascii="仿宋_GB2312" w:hAnsi="仿宋_GB2312" w:cs="仿宋_GB2312"/>
        </w:rPr>
        <w:t>支持、培育和发展相关社会组织和志愿者队伍，鼓励、引导其在救灾工作中发挥积极作用。</w:t>
      </w:r>
    </w:p>
    <w:p>
      <w:pPr>
        <w:adjustRightInd w:val="0"/>
        <w:snapToGrid w:val="0"/>
        <w:spacing w:line="560" w:lineRule="exact"/>
        <w:ind w:firstLine="640"/>
        <w:rPr>
          <w:rFonts w:ascii="仿宋_GB2312" w:hAnsi="仿宋_GB2312" w:cs="仿宋_GB2312"/>
        </w:rPr>
      </w:pPr>
      <w:r>
        <w:rPr>
          <w:rFonts w:hint="eastAsia" w:ascii="仿宋_GB2312" w:hAnsi="仿宋_GB2312" w:cs="仿宋_GB2312"/>
        </w:rPr>
        <w:t>（</w:t>
      </w:r>
      <w:r>
        <w:rPr>
          <w:rFonts w:ascii="仿宋_GB2312"/>
        </w:rPr>
        <w:t>2</w:t>
      </w:r>
      <w:r>
        <w:rPr>
          <w:rFonts w:hint="eastAsia" w:ascii="仿宋_GB2312" w:hAnsi="仿宋_GB2312" w:cs="仿宋_GB2312"/>
        </w:rPr>
        <w:t>）组织各领域专家，重点开展灾情会商、赴受灾地区现场评估及灾害管理业务咨询工作。</w:t>
      </w:r>
    </w:p>
    <w:p>
      <w:pPr>
        <w:adjustRightInd w:val="0"/>
        <w:snapToGrid w:val="0"/>
        <w:spacing w:line="560" w:lineRule="exact"/>
        <w:ind w:firstLine="640"/>
        <w:rPr>
          <w:rFonts w:ascii="仿宋_GB2312" w:cs="仿宋_GB2312"/>
        </w:rPr>
      </w:pPr>
      <w:r>
        <w:rPr>
          <w:rFonts w:hint="eastAsia" w:ascii="仿宋_GB2312" w:hAnsi="仿宋_GB2312" w:cs="仿宋_GB2312"/>
        </w:rPr>
        <w:t>（</w:t>
      </w:r>
      <w:r>
        <w:rPr>
          <w:rFonts w:ascii="仿宋_GB2312"/>
        </w:rPr>
        <w:t>3</w:t>
      </w:r>
      <w:r>
        <w:rPr>
          <w:rFonts w:hint="eastAsia" w:ascii="仿宋_GB2312" w:hAnsi="仿宋_GB2312" w:cs="仿宋_GB2312"/>
        </w:rPr>
        <w:t>）落实灾害信息员培训制度，建立健全市、区、街道、社区四级基层灾害信息员队伍，明确各级灾害信息员配置，</w:t>
      </w:r>
      <w:r>
        <w:rPr>
          <w:rFonts w:hint="eastAsia"/>
        </w:rPr>
        <w:t>每个社区至少设立</w:t>
      </w:r>
      <w:r>
        <w:rPr>
          <w:rFonts w:ascii="仿宋_GB2312"/>
        </w:rPr>
        <w:t>1</w:t>
      </w:r>
      <w:r>
        <w:rPr>
          <w:rFonts w:hint="eastAsia"/>
        </w:rPr>
        <w:t>名灾害信息员，多灾易灾和灾害高风险地区可适量增配。鼓励、引导保险行业等社会力量有序参与灾害信息报告工作。</w:t>
      </w:r>
    </w:p>
    <w:p>
      <w:pPr>
        <w:ind w:firstLine="640" w:firstLineChars="200"/>
        <w:outlineLvl w:val="1"/>
        <w:rPr>
          <w:rFonts w:ascii="楷体_GB2312" w:hAnsi="楷体_GB2312" w:eastAsia="楷体_GB2312" w:cs="楷体_GB2312"/>
        </w:rPr>
      </w:pPr>
      <w:bookmarkStart w:id="141" w:name="_Toc32420"/>
      <w:bookmarkStart w:id="142" w:name="_Toc70532428"/>
      <w:r>
        <w:rPr>
          <w:rFonts w:hint="eastAsia" w:ascii="楷体_GB2312" w:hAnsi="楷体_GB2312" w:eastAsia="楷体_GB2312" w:cs="楷体_GB2312"/>
        </w:rPr>
        <w:t>7.2 资金保障</w:t>
      </w:r>
      <w:bookmarkEnd w:id="138"/>
      <w:bookmarkEnd w:id="139"/>
      <w:bookmarkEnd w:id="140"/>
      <w:bookmarkEnd w:id="141"/>
      <w:bookmarkEnd w:id="142"/>
    </w:p>
    <w:p>
      <w:pPr>
        <w:pStyle w:val="6"/>
      </w:pPr>
      <w:r>
        <w:rPr>
          <w:rFonts w:hint="eastAsia"/>
        </w:rPr>
        <w:t>市财政局、应急管理局</w:t>
      </w:r>
      <w:r>
        <w:t>等部门根据《中华人民共和国预算法》《自然灾害救助条例》等规定，安排市级救</w:t>
      </w:r>
      <w:r>
        <w:rPr>
          <w:rFonts w:hint="eastAsia"/>
        </w:rPr>
        <w:t>灾资金预算，多渠道筹措灾害救助资金，并按照救灾工作分级负责、救灾资金分级负担、以地方为主的原则，建立完善市、区救灾资金分担机制，督促区政府加大救灾资金投入力度。</w:t>
      </w:r>
    </w:p>
    <w:p>
      <w:pPr>
        <w:ind w:firstLine="640" w:firstLineChars="200"/>
        <w:outlineLvl w:val="1"/>
        <w:rPr>
          <w:rFonts w:ascii="楷体_GB2312" w:hAnsi="楷体_GB2312" w:eastAsia="楷体_GB2312" w:cs="楷体_GB2312"/>
        </w:rPr>
      </w:pPr>
      <w:bookmarkStart w:id="143" w:name="_Toc70532429"/>
      <w:bookmarkStart w:id="144" w:name="_Toc31741"/>
      <w:r>
        <w:rPr>
          <w:rFonts w:hint="eastAsia" w:ascii="楷体_GB2312" w:hAnsi="楷体_GB2312" w:eastAsia="楷体_GB2312" w:cs="楷体_GB2312"/>
        </w:rPr>
        <w:t>7.3 物资保障</w:t>
      </w:r>
      <w:bookmarkEnd w:id="143"/>
      <w:bookmarkEnd w:id="144"/>
    </w:p>
    <w:p>
      <w:pPr>
        <w:pStyle w:val="6"/>
        <w:rPr>
          <w:rFonts w:ascii="仿宋_GB2312"/>
        </w:rPr>
      </w:pPr>
      <w:r>
        <w:rPr>
          <w:rFonts w:hint="eastAsia" w:ascii="仿宋_GB2312"/>
        </w:rPr>
        <w:t>（</w:t>
      </w:r>
      <w:r>
        <w:rPr>
          <w:rFonts w:ascii="仿宋_GB2312"/>
        </w:rPr>
        <w:t>1</w:t>
      </w:r>
      <w:r>
        <w:rPr>
          <w:rFonts w:hint="eastAsia" w:ascii="仿宋_GB2312"/>
        </w:rPr>
        <w:t>）市减灾委成员单位、各区政府充分应用信息化手段，加强全市救灾物资储备，整合救灾储备，实行分级、分类管理。</w:t>
      </w:r>
    </w:p>
    <w:p>
      <w:pPr>
        <w:pStyle w:val="6"/>
        <w:rPr>
          <w:rFonts w:ascii="仿宋_GB2312"/>
        </w:rPr>
      </w:pPr>
      <w:r>
        <w:rPr>
          <w:rFonts w:hint="eastAsia" w:ascii="仿宋_GB2312"/>
        </w:rPr>
        <w:t>（</w:t>
      </w:r>
      <w:r>
        <w:rPr>
          <w:rFonts w:ascii="仿宋_GB2312"/>
        </w:rPr>
        <w:t>2</w:t>
      </w:r>
      <w:r>
        <w:rPr>
          <w:rFonts w:hint="eastAsia" w:ascii="仿宋_GB2312"/>
        </w:rPr>
        <w:t>）市粮食和物资储备保障中心负责本级救灾物资储备管理工作，各区结合实际完善救灾物资储备仓库建设，设置社会捐赠接收站（点）。</w:t>
      </w:r>
    </w:p>
    <w:p>
      <w:pPr>
        <w:pStyle w:val="6"/>
        <w:rPr>
          <w:rFonts w:ascii="仿宋_GB2312"/>
        </w:rPr>
      </w:pPr>
      <w:r>
        <w:rPr>
          <w:rFonts w:hint="eastAsia" w:ascii="仿宋_GB2312"/>
        </w:rPr>
        <w:t>（</w:t>
      </w:r>
      <w:r>
        <w:rPr>
          <w:rFonts w:ascii="仿宋_GB2312"/>
        </w:rPr>
        <w:t>3</w:t>
      </w:r>
      <w:r>
        <w:rPr>
          <w:rFonts w:hint="eastAsia" w:ascii="仿宋_GB2312"/>
        </w:rPr>
        <w:t>）各区政府建立救灾物资代储制度和救灾物资生产厂家、物流企业名录，建立健全救灾物资应急采购和紧急调拨、物流运输制度。</w:t>
      </w:r>
    </w:p>
    <w:p>
      <w:pPr>
        <w:pStyle w:val="6"/>
        <w:rPr>
          <w:rFonts w:ascii="仿宋_GB2312" w:cs="仿宋_GB2312"/>
        </w:rPr>
      </w:pPr>
      <w:r>
        <w:rPr>
          <w:rFonts w:hint="eastAsia" w:ascii="仿宋_GB2312"/>
        </w:rPr>
        <w:t>（</w:t>
      </w:r>
      <w:r>
        <w:rPr>
          <w:rFonts w:ascii="仿宋_GB2312"/>
        </w:rPr>
        <w:t>4</w:t>
      </w:r>
      <w:r>
        <w:rPr>
          <w:rFonts w:hint="eastAsia" w:ascii="仿宋_GB2312"/>
        </w:rPr>
        <w:t>）各区政府鼓励引导社区、企事业单位和家庭储备基本的灾害应急物资和生活必需品。参考《深圳市家庭应急物资储备建议清单》，</w:t>
      </w:r>
      <w:r>
        <w:rPr>
          <w:rFonts w:hint="eastAsia" w:ascii="仿宋_GB2312" w:cs="仿宋_GB2312"/>
        </w:rPr>
        <w:t>引导居民家庭储备灭火器、手电筒、常用药品等应急物品，推广家庭应急包。</w:t>
      </w:r>
    </w:p>
    <w:p>
      <w:pPr>
        <w:ind w:firstLine="640" w:firstLineChars="200"/>
        <w:outlineLvl w:val="1"/>
        <w:rPr>
          <w:rFonts w:ascii="楷体_GB2312" w:hAnsi="楷体_GB2312" w:eastAsia="楷体_GB2312" w:cs="楷体_GB2312"/>
        </w:rPr>
      </w:pPr>
      <w:bookmarkStart w:id="145" w:name="_Toc70532430"/>
      <w:bookmarkStart w:id="146" w:name="_Toc21362"/>
      <w:r>
        <w:rPr>
          <w:rFonts w:hint="eastAsia" w:ascii="楷体_GB2312" w:hAnsi="楷体_GB2312" w:eastAsia="楷体_GB2312" w:cs="楷体_GB2312"/>
        </w:rPr>
        <w:t>7.4 交通保障</w:t>
      </w:r>
      <w:bookmarkEnd w:id="145"/>
      <w:bookmarkEnd w:id="146"/>
    </w:p>
    <w:p>
      <w:pPr>
        <w:pStyle w:val="6"/>
      </w:pPr>
      <w:r>
        <w:rPr>
          <w:rFonts w:hint="eastAsia"/>
        </w:rPr>
        <w:t>加强紧急情况下综合运输管理，建立健全自然灾害应急救助运输保障系统、社会交通运输工具征用机制和应急救助“绿色通道”机制，实现全市及区域自然灾害应急救助交通运输统一指挥调度。铁路、公路、水运、航空等部门（单位）确保自然灾害救助人员和受到自然灾害危害的人员、救助物资、救助设备优先运输。</w:t>
      </w:r>
    </w:p>
    <w:p>
      <w:pPr>
        <w:ind w:firstLine="640" w:firstLineChars="200"/>
        <w:outlineLvl w:val="1"/>
        <w:rPr>
          <w:rFonts w:ascii="楷体_GB2312" w:hAnsi="楷体_GB2312" w:eastAsia="楷体_GB2312" w:cs="楷体_GB2312"/>
        </w:rPr>
      </w:pPr>
      <w:bookmarkStart w:id="147" w:name="_Toc70532431"/>
      <w:bookmarkStart w:id="148" w:name="_Toc2119"/>
      <w:r>
        <w:rPr>
          <w:rFonts w:hint="eastAsia" w:ascii="楷体_GB2312" w:hAnsi="楷体_GB2312" w:eastAsia="楷体_GB2312" w:cs="楷体_GB2312"/>
        </w:rPr>
        <w:t>7.5 应急避难场所保障</w:t>
      </w:r>
      <w:bookmarkEnd w:id="147"/>
      <w:bookmarkEnd w:id="148"/>
    </w:p>
    <w:p>
      <w:pPr>
        <w:adjustRightInd w:val="0"/>
        <w:snapToGrid w:val="0"/>
        <w:spacing w:line="560" w:lineRule="exact"/>
        <w:ind w:firstLine="640"/>
        <w:rPr>
          <w:rFonts w:ascii="仿宋_GB2312" w:hAnsi="仿宋_GB2312" w:cs="仿宋_GB2312"/>
        </w:rPr>
      </w:pPr>
      <w:r>
        <w:rPr>
          <w:rFonts w:hint="eastAsia" w:ascii="仿宋_GB2312"/>
        </w:rPr>
        <w:t>（</w:t>
      </w:r>
      <w:r>
        <w:rPr>
          <w:rFonts w:ascii="仿宋_GB2312"/>
        </w:rPr>
        <w:t>1</w:t>
      </w:r>
      <w:r>
        <w:rPr>
          <w:rFonts w:hint="eastAsia" w:ascii="仿宋_GB2312"/>
        </w:rPr>
        <w:t>）</w:t>
      </w:r>
      <w:r>
        <w:rPr>
          <w:rFonts w:hint="eastAsia" w:ascii="仿宋_GB2312" w:hAnsi="仿宋_GB2312" w:cs="仿宋_GB2312"/>
        </w:rPr>
        <w:t>各区政府、各有关单位根据有关规划，利用公园、广场、体育场馆等公共设施，统筹规划建设应急避难场所，设置统一、规范的明显标志，储备必要物资，提供必要医疗</w:t>
      </w:r>
      <w:r>
        <w:rPr>
          <w:rFonts w:hint="eastAsia" w:ascii="仿宋_GB2312" w:hAnsi="仿宋_GB2312" w:cs="仿宋_GB2312"/>
          <w:lang w:val="en-US" w:eastAsia="zh-CN"/>
        </w:rPr>
        <w:t>保障和安全保障</w:t>
      </w:r>
      <w:r>
        <w:rPr>
          <w:rFonts w:hint="eastAsia" w:ascii="仿宋_GB2312" w:hAnsi="仿宋_GB2312" w:cs="仿宋_GB2312"/>
        </w:rPr>
        <w:t>。</w:t>
      </w:r>
    </w:p>
    <w:p>
      <w:pPr>
        <w:pStyle w:val="6"/>
        <w:rPr>
          <w:rFonts w:ascii="仿宋_GB2312" w:hAnsi="仿宋_GB2312" w:cs="仿宋_GB2312"/>
          <w:bCs w:val="0"/>
        </w:rPr>
      </w:pPr>
      <w:r>
        <w:rPr>
          <w:rFonts w:hint="eastAsia" w:ascii="仿宋_GB2312" w:hAnsi="仿宋_GB2312" w:cs="仿宋_GB2312"/>
          <w:bCs w:val="0"/>
        </w:rPr>
        <w:t>（</w:t>
      </w:r>
      <w:r>
        <w:rPr>
          <w:rFonts w:ascii="仿宋_GB2312"/>
        </w:rPr>
        <w:t>2</w:t>
      </w:r>
      <w:r>
        <w:rPr>
          <w:rFonts w:hint="eastAsia" w:ascii="仿宋_GB2312" w:hAnsi="仿宋_GB2312" w:cs="仿宋_GB2312"/>
          <w:bCs w:val="0"/>
        </w:rPr>
        <w:t>）灾情发生前后，各区政府及时启用各类避难场所，科学设置受灾人员安置点，避开山洪、地质灾害隐患点、低洼易涝区等，防范次生灾害，同时加强安置点消防安全、卫生防疫、食品安全、治安等保障，确保安置点秩序。</w:t>
      </w:r>
    </w:p>
    <w:p>
      <w:pPr>
        <w:pStyle w:val="6"/>
        <w:rPr>
          <w:rFonts w:ascii="仿宋_GB2312"/>
        </w:rPr>
      </w:pPr>
      <w:r>
        <w:rPr>
          <w:rFonts w:hint="eastAsia" w:ascii="仿宋_GB2312"/>
        </w:rPr>
        <w:t>（</w:t>
      </w:r>
      <w:r>
        <w:rPr>
          <w:rFonts w:ascii="仿宋_GB2312"/>
        </w:rPr>
        <w:t>3</w:t>
      </w:r>
      <w:r>
        <w:rPr>
          <w:rFonts w:hint="eastAsia" w:ascii="仿宋_GB2312"/>
        </w:rPr>
        <w:t>）各区政府、各有关单位按职责分工，负责本辖区、本行业、本领域应急避难场所日常管理维护工作，保证应急避难设施设备日常有效、安全，满足应急启用、开放功能。</w:t>
      </w:r>
    </w:p>
    <w:p>
      <w:pPr>
        <w:ind w:firstLine="640" w:firstLineChars="200"/>
        <w:outlineLvl w:val="1"/>
        <w:rPr>
          <w:rFonts w:ascii="楷体_GB2312" w:hAnsi="楷体_GB2312" w:eastAsia="楷体_GB2312" w:cs="楷体_GB2312"/>
        </w:rPr>
      </w:pPr>
      <w:bookmarkStart w:id="149" w:name="_Toc17459"/>
      <w:bookmarkStart w:id="150" w:name="_Toc9439"/>
      <w:bookmarkStart w:id="151" w:name="_Toc70532432"/>
      <w:bookmarkStart w:id="152" w:name="_Toc41146197"/>
      <w:bookmarkStart w:id="153" w:name="_Toc31515"/>
      <w:r>
        <w:rPr>
          <w:rFonts w:hint="eastAsia" w:ascii="楷体_GB2312" w:hAnsi="楷体_GB2312" w:eastAsia="楷体_GB2312" w:cs="楷体_GB2312"/>
        </w:rPr>
        <w:t>7.6 通信保障</w:t>
      </w:r>
      <w:bookmarkEnd w:id="149"/>
      <w:bookmarkEnd w:id="150"/>
      <w:bookmarkEnd w:id="151"/>
      <w:bookmarkEnd w:id="152"/>
      <w:bookmarkEnd w:id="153"/>
    </w:p>
    <w:p>
      <w:pPr>
        <w:pStyle w:val="6"/>
      </w:pPr>
      <w:r>
        <w:rPr>
          <w:rFonts w:hint="eastAsia"/>
        </w:rPr>
        <w:t>市工业和信息化局、市文化广电旅游体育局、市通信管理局等有关单位依法保障自然灾害应急救助工作的信息渠道畅通，完善公用通信网，建立有线和无线相结合的应急通信系统</w:t>
      </w:r>
      <w:r>
        <w:t>，健全应急通信保障体系。</w:t>
      </w:r>
    </w:p>
    <w:p>
      <w:pPr>
        <w:pStyle w:val="6"/>
      </w:pPr>
      <w:r>
        <w:rPr>
          <w:rFonts w:hint="eastAsia"/>
        </w:rPr>
        <w:t>有关单位</w:t>
      </w:r>
      <w:r>
        <w:rPr>
          <w:rStyle w:val="74"/>
          <w:rFonts w:ascii="仿宋_GB2312" w:hAnsi="仿宋_GB2312" w:cs="仿宋_GB2312"/>
        </w:rPr>
        <w:t>配置“</w:t>
      </w:r>
      <w:r>
        <w:rPr>
          <w:rStyle w:val="74"/>
          <w:rFonts w:hint="eastAsia" w:ascii="仿宋_GB2312" w:hAnsi="仿宋_GB2312" w:cs="仿宋_GB2312"/>
        </w:rPr>
        <w:t>深圳应急</w:t>
      </w:r>
      <w:r>
        <w:rPr>
          <w:rStyle w:val="74"/>
          <w:rFonts w:ascii="仿宋_GB2312" w:hAnsi="仿宋_GB2312" w:cs="仿宋_GB2312"/>
        </w:rPr>
        <w:t>一键通”移动端、对讲机等</w:t>
      </w:r>
      <w:r>
        <w:rPr>
          <w:rFonts w:hint="eastAsia"/>
        </w:rPr>
        <w:t>必要通信装备</w:t>
      </w:r>
      <w:r>
        <w:rPr>
          <w:rStyle w:val="74"/>
          <w:rFonts w:ascii="仿宋_GB2312" w:hAnsi="仿宋_GB2312" w:cs="仿宋_GB2312"/>
        </w:rPr>
        <w:t>，</w:t>
      </w:r>
      <w:r>
        <w:rPr>
          <w:rFonts w:hint="eastAsia"/>
        </w:rPr>
        <w:t>保障应急联络通信畅通有效。</w:t>
      </w:r>
    </w:p>
    <w:p>
      <w:pPr>
        <w:ind w:firstLine="640" w:firstLineChars="200"/>
        <w:outlineLvl w:val="1"/>
        <w:rPr>
          <w:rFonts w:ascii="楷体_GB2312" w:hAnsi="楷体_GB2312" w:eastAsia="楷体_GB2312" w:cs="楷体_GB2312"/>
        </w:rPr>
      </w:pPr>
      <w:bookmarkStart w:id="154" w:name="_Toc41146200"/>
      <w:bookmarkStart w:id="155" w:name="_Toc21242"/>
      <w:bookmarkStart w:id="156" w:name="_Toc70532433"/>
      <w:bookmarkStart w:id="157" w:name="_Toc26067"/>
      <w:bookmarkStart w:id="158" w:name="_Toc20514"/>
      <w:r>
        <w:rPr>
          <w:rFonts w:hint="eastAsia" w:ascii="楷体_GB2312" w:hAnsi="楷体_GB2312" w:eastAsia="楷体_GB2312" w:cs="楷体_GB2312"/>
        </w:rPr>
        <w:t>7.7 社会动员保障</w:t>
      </w:r>
      <w:bookmarkEnd w:id="154"/>
      <w:bookmarkEnd w:id="155"/>
      <w:bookmarkEnd w:id="156"/>
      <w:bookmarkEnd w:id="157"/>
      <w:bookmarkEnd w:id="158"/>
    </w:p>
    <w:p>
      <w:pPr>
        <w:pStyle w:val="6"/>
        <w:rPr>
          <w:rFonts w:ascii="仿宋_GB2312"/>
        </w:rPr>
      </w:pPr>
      <w:r>
        <w:rPr>
          <w:rFonts w:hint="eastAsia" w:ascii="仿宋_GB2312"/>
        </w:rPr>
        <w:t>（</w:t>
      </w:r>
      <w:r>
        <w:rPr>
          <w:rFonts w:ascii="仿宋_GB2312"/>
        </w:rPr>
        <w:t>1</w:t>
      </w:r>
      <w:r>
        <w:rPr>
          <w:rFonts w:hint="eastAsia" w:ascii="仿宋_GB2312"/>
        </w:rPr>
        <w:t>）制订完善救灾捐赠管理相关制度，建立健全救灾捐赠动员、运行和监督管理机制，规范救灾捐赠的组织发动、款物接收、统计、分配、使用、公示反馈等各环节工作。完善接收境外救灾捐赠管理机制。</w:t>
      </w:r>
    </w:p>
    <w:p>
      <w:pPr>
        <w:pStyle w:val="6"/>
        <w:rPr>
          <w:rFonts w:ascii="仿宋_GB2312"/>
        </w:rPr>
      </w:pPr>
      <w:r>
        <w:rPr>
          <w:rFonts w:hint="eastAsia" w:ascii="仿宋_GB2312"/>
        </w:rPr>
        <w:t>（</w:t>
      </w:r>
      <w:r>
        <w:rPr>
          <w:rFonts w:ascii="仿宋_GB2312"/>
        </w:rPr>
        <w:t>2</w:t>
      </w:r>
      <w:r>
        <w:rPr>
          <w:rFonts w:hint="eastAsia" w:ascii="仿宋_GB2312"/>
        </w:rPr>
        <w:t>）建立非受灾地区支援受灾地区、轻受灾地区支援重受灾地区的自然灾害救助对口支援机制。</w:t>
      </w:r>
    </w:p>
    <w:p>
      <w:pPr>
        <w:pStyle w:val="6"/>
      </w:pPr>
      <w:r>
        <w:rPr>
          <w:rFonts w:hint="eastAsia" w:ascii="仿宋_GB2312"/>
        </w:rPr>
        <w:t>（</w:t>
      </w:r>
      <w:r>
        <w:rPr>
          <w:rFonts w:ascii="仿宋_GB2312"/>
        </w:rPr>
        <w:t>3</w:t>
      </w:r>
      <w:r>
        <w:rPr>
          <w:rFonts w:hint="eastAsia" w:ascii="仿宋_GB2312"/>
        </w:rPr>
        <w:t>）必要时发布社会动员令，动员社会各界参与救灾工作。</w:t>
      </w:r>
    </w:p>
    <w:p>
      <w:pPr>
        <w:ind w:firstLine="640" w:firstLineChars="200"/>
        <w:outlineLvl w:val="1"/>
        <w:rPr>
          <w:rFonts w:ascii="楷体_GB2312" w:hAnsi="楷体_GB2312" w:eastAsia="楷体_GB2312" w:cs="楷体_GB2312"/>
        </w:rPr>
      </w:pPr>
      <w:bookmarkStart w:id="159" w:name="_Toc13953"/>
      <w:bookmarkStart w:id="160" w:name="_Toc5345"/>
      <w:bookmarkStart w:id="161" w:name="_Toc70532434"/>
      <w:bookmarkStart w:id="162" w:name="_Toc41146201"/>
      <w:bookmarkStart w:id="163" w:name="_Toc31320"/>
      <w:r>
        <w:rPr>
          <w:rFonts w:hint="eastAsia" w:ascii="楷体_GB2312" w:hAnsi="楷体_GB2312" w:eastAsia="楷体_GB2312" w:cs="楷体_GB2312"/>
        </w:rPr>
        <w:t>7.8 科技保障</w:t>
      </w:r>
      <w:bookmarkEnd w:id="159"/>
      <w:bookmarkEnd w:id="160"/>
      <w:bookmarkEnd w:id="161"/>
      <w:bookmarkEnd w:id="162"/>
      <w:bookmarkEnd w:id="163"/>
    </w:p>
    <w:p>
      <w:pPr>
        <w:pStyle w:val="6"/>
        <w:rPr>
          <w:rFonts w:ascii="仿宋_GB2312"/>
        </w:rPr>
      </w:pPr>
      <w:r>
        <w:rPr>
          <w:rFonts w:hint="eastAsia" w:ascii="仿宋_GB2312"/>
        </w:rPr>
        <w:t>（</w:t>
      </w:r>
      <w:r>
        <w:rPr>
          <w:rFonts w:ascii="仿宋_GB2312"/>
        </w:rPr>
        <w:t>1</w:t>
      </w:r>
      <w:r>
        <w:rPr>
          <w:rFonts w:hint="eastAsia" w:ascii="仿宋_GB2312"/>
        </w:rPr>
        <w:t>）运用</w:t>
      </w:r>
      <w:r>
        <w:rPr>
          <w:rFonts w:hint="eastAsia" w:ascii="仿宋_GB2312" w:cs="仿宋_GB2312"/>
          <w:bCs w:val="0"/>
        </w:rPr>
        <w:t>大数据、人工智能、云计算、物联网、5G、多功能智能杆</w:t>
      </w:r>
      <w:r>
        <w:rPr>
          <w:rFonts w:hint="eastAsia" w:ascii="仿宋_GB2312"/>
        </w:rPr>
        <w:t>等新技术，建立健全灾害监测预警、分析评估和应急救助决策支持系统。</w:t>
      </w:r>
    </w:p>
    <w:p>
      <w:pPr>
        <w:pStyle w:val="6"/>
        <w:rPr>
          <w:rFonts w:ascii="仿宋_GB2312"/>
        </w:rPr>
      </w:pPr>
      <w:r>
        <w:rPr>
          <w:rFonts w:hint="eastAsia" w:ascii="仿宋_GB2312"/>
        </w:rPr>
        <w:t>（</w:t>
      </w:r>
      <w:r>
        <w:rPr>
          <w:rFonts w:ascii="仿宋_GB2312"/>
        </w:rPr>
        <w:t>2</w:t>
      </w:r>
      <w:r>
        <w:rPr>
          <w:rFonts w:hint="eastAsia" w:ascii="仿宋_GB2312"/>
        </w:rPr>
        <w:t>）组织应急管理、自然资源、生态环境、交通运输、</w:t>
      </w:r>
      <w:r>
        <w:rPr>
          <w:rFonts w:hint="eastAsia" w:ascii="仿宋_GB2312"/>
          <w:lang w:eastAsia="zh-CN"/>
        </w:rPr>
        <w:t>水务</w:t>
      </w:r>
      <w:r>
        <w:rPr>
          <w:rFonts w:hint="eastAsia" w:ascii="仿宋_GB2312"/>
        </w:rPr>
        <w:t>、农业、卫生健康、林业、地震、气象、海洋、测绘地信等领域专家及高等院校、科研院所等单位专家开展灾害风险调查，编制全市自然灾害风险区划图，制定相关技术和管理标准。</w:t>
      </w:r>
    </w:p>
    <w:p>
      <w:pPr>
        <w:pStyle w:val="6"/>
        <w:rPr>
          <w:rFonts w:cs="仿宋_GB2312"/>
        </w:rPr>
      </w:pPr>
      <w:r>
        <w:rPr>
          <w:rFonts w:hint="eastAsia" w:ascii="仿宋_GB2312"/>
        </w:rPr>
        <w:t>（</w:t>
      </w:r>
      <w:r>
        <w:rPr>
          <w:rFonts w:ascii="仿宋_GB2312"/>
        </w:rPr>
        <w:t>3</w:t>
      </w:r>
      <w:r>
        <w:rPr>
          <w:rFonts w:hint="eastAsia" w:ascii="仿宋_GB2312"/>
        </w:rPr>
        <w:t>）支持鼓励高等院校、科研院所、企事业单位和社会组织开展灾害相关领域的科学研究和技术开发，建立合作机制，鼓励减灾救灾救助政策理论研究。</w:t>
      </w:r>
    </w:p>
    <w:p>
      <w:pPr>
        <w:ind w:firstLine="640" w:firstLineChars="200"/>
        <w:outlineLvl w:val="1"/>
        <w:rPr>
          <w:rFonts w:ascii="楷体_GB2312" w:hAnsi="楷体_GB2312" w:eastAsia="楷体_GB2312" w:cs="楷体_GB2312"/>
        </w:rPr>
      </w:pPr>
      <w:bookmarkStart w:id="164" w:name="_Toc17065"/>
      <w:bookmarkStart w:id="165" w:name="_Toc41146203"/>
      <w:bookmarkStart w:id="166" w:name="_Toc12880"/>
      <w:bookmarkStart w:id="167" w:name="_Toc15403"/>
      <w:bookmarkStart w:id="168" w:name="_Toc70532435"/>
      <w:r>
        <w:rPr>
          <w:rFonts w:hint="eastAsia" w:ascii="楷体_GB2312" w:hAnsi="楷体_GB2312" w:eastAsia="楷体_GB2312" w:cs="楷体_GB2312"/>
        </w:rPr>
        <w:t>7.9 区域联动</w:t>
      </w:r>
      <w:bookmarkEnd w:id="164"/>
      <w:bookmarkEnd w:id="165"/>
      <w:bookmarkEnd w:id="166"/>
      <w:bookmarkEnd w:id="167"/>
      <w:bookmarkEnd w:id="168"/>
    </w:p>
    <w:p>
      <w:pPr>
        <w:pStyle w:val="6"/>
      </w:pPr>
      <w:r>
        <w:rPr>
          <w:rFonts w:hint="eastAsia"/>
        </w:rPr>
        <w:t>加强与毗邻市人民政府、香港特别行政区政府在防灾减灾救灾领域的交流合作，推动建立粤港澳大湾区自然灾害预警、应急救灾协调联动机制，深化信息共享和应急处置合作，提高区域应急管理协作能力。</w:t>
      </w:r>
    </w:p>
    <w:p>
      <w:pPr>
        <w:widowControl w:val="0"/>
        <w:ind w:firstLine="640" w:firstLineChars="200"/>
        <w:outlineLvl w:val="0"/>
        <w:rPr>
          <w:rFonts w:ascii="黑体" w:hAnsi="黑体" w:eastAsia="黑体" w:cs="黑体"/>
        </w:rPr>
      </w:pPr>
      <w:bookmarkStart w:id="169" w:name="_Toc20872"/>
      <w:bookmarkStart w:id="170" w:name="_Toc41146204"/>
      <w:bookmarkStart w:id="171" w:name="_Toc13032"/>
      <w:bookmarkStart w:id="172" w:name="_Toc28431"/>
      <w:bookmarkStart w:id="173" w:name="_Toc70532436"/>
      <w:r>
        <w:rPr>
          <w:rFonts w:hint="eastAsia" w:ascii="黑体" w:hAnsi="黑体" w:eastAsia="黑体" w:cs="黑体"/>
        </w:rPr>
        <w:t>8 监督管理</w:t>
      </w:r>
      <w:bookmarkEnd w:id="169"/>
      <w:bookmarkEnd w:id="170"/>
      <w:bookmarkEnd w:id="171"/>
      <w:bookmarkEnd w:id="172"/>
      <w:bookmarkEnd w:id="173"/>
    </w:p>
    <w:p>
      <w:pPr>
        <w:ind w:firstLine="640" w:firstLineChars="200"/>
        <w:outlineLvl w:val="1"/>
        <w:rPr>
          <w:rFonts w:ascii="楷体_GB2312" w:hAnsi="楷体_GB2312" w:eastAsia="楷体_GB2312" w:cs="楷体_GB2312"/>
        </w:rPr>
      </w:pPr>
      <w:bookmarkStart w:id="174" w:name="_Toc16661"/>
      <w:bookmarkStart w:id="175" w:name="_Toc41146205"/>
      <w:bookmarkStart w:id="176" w:name="_Toc8562"/>
      <w:bookmarkStart w:id="177" w:name="_Toc70532437"/>
      <w:bookmarkStart w:id="178" w:name="_Toc9534"/>
      <w:r>
        <w:rPr>
          <w:rFonts w:hint="eastAsia" w:ascii="楷体_GB2312" w:hAnsi="楷体_GB2312" w:eastAsia="楷体_GB2312" w:cs="楷体_GB2312"/>
        </w:rPr>
        <w:t>8.1 预案演练</w:t>
      </w:r>
      <w:bookmarkEnd w:id="174"/>
      <w:bookmarkEnd w:id="175"/>
      <w:bookmarkEnd w:id="176"/>
      <w:bookmarkEnd w:id="177"/>
      <w:bookmarkEnd w:id="178"/>
    </w:p>
    <w:p>
      <w:pPr>
        <w:pStyle w:val="6"/>
      </w:pPr>
      <w:r>
        <w:rPr>
          <w:rFonts w:hint="eastAsia"/>
        </w:rPr>
        <w:t>各区、各有关单位根据市、区两级应急演练计划，定期或不定期开展应急演练。可根据实际情况，结合深圳市各灾种专项应急预案一并开展本预案</w:t>
      </w:r>
      <w:r>
        <w:rPr>
          <w:rFonts w:hint="eastAsia" w:ascii="仿宋_GB2312" w:cs="仿宋_GB2312"/>
          <w:bCs w:val="0"/>
        </w:rPr>
        <w:t>演练</w:t>
      </w:r>
      <w:r>
        <w:rPr>
          <w:rFonts w:hint="eastAsia" w:ascii="仿宋_GB2312" w:cs="仿宋_GB2312"/>
        </w:rPr>
        <w:t>，通过演练进一步完善相关预案。演练重点检验内容包括组织指挥、隐患排查、监测预</w:t>
      </w:r>
      <w:r>
        <w:rPr>
          <w:rFonts w:hint="eastAsia" w:ascii="仿宋_GB2312" w:cs="仿宋_GB2312"/>
          <w:w w:val="96"/>
        </w:rPr>
        <w:t>警、灾情上报、人员疏散、转移安置、自救互救、</w:t>
      </w:r>
      <w:r>
        <w:rPr>
          <w:rFonts w:hint="eastAsia" w:ascii="仿宋_GB2312" w:cs="仿宋_GB2312"/>
          <w:bCs w:val="0"/>
        </w:rPr>
        <w:t>通讯保障、装备使用、</w:t>
      </w:r>
      <w:r>
        <w:rPr>
          <w:rFonts w:hint="eastAsia" w:ascii="仿宋_GB2312" w:cs="仿宋_GB2312"/>
          <w:w w:val="96"/>
        </w:rPr>
        <w:t>善后处理等。</w:t>
      </w:r>
    </w:p>
    <w:p>
      <w:pPr>
        <w:ind w:firstLine="640" w:firstLineChars="200"/>
        <w:outlineLvl w:val="1"/>
        <w:rPr>
          <w:rFonts w:ascii="楷体_GB2312" w:hAnsi="楷体_GB2312" w:eastAsia="楷体_GB2312" w:cs="楷体_GB2312"/>
        </w:rPr>
      </w:pPr>
      <w:bookmarkStart w:id="179" w:name="_Toc15203"/>
      <w:bookmarkStart w:id="180" w:name="_Toc4633"/>
      <w:bookmarkStart w:id="181" w:name="_Toc41146206"/>
      <w:bookmarkStart w:id="182" w:name="_Toc70532438"/>
      <w:bookmarkStart w:id="183" w:name="_Toc575"/>
      <w:r>
        <w:rPr>
          <w:rFonts w:hint="eastAsia" w:ascii="楷体_GB2312" w:hAnsi="楷体_GB2312" w:eastAsia="楷体_GB2312" w:cs="楷体_GB2312"/>
        </w:rPr>
        <w:t>8.2 宣教培训</w:t>
      </w:r>
      <w:bookmarkEnd w:id="179"/>
      <w:bookmarkEnd w:id="180"/>
      <w:bookmarkEnd w:id="181"/>
      <w:bookmarkEnd w:id="182"/>
      <w:bookmarkEnd w:id="183"/>
    </w:p>
    <w:p>
      <w:pPr>
        <w:pStyle w:val="6"/>
      </w:pPr>
      <w:r>
        <w:rPr>
          <w:rFonts w:hint="eastAsia"/>
        </w:rPr>
        <w:t>各区、各有关单位积极利用“全国防灾减灾日”“国际减灾日”等活动，</w:t>
      </w:r>
      <w:r>
        <w:rPr>
          <w:rFonts w:hint="eastAsia" w:ascii="仿宋_GB2312" w:cs="仿宋_GB2312"/>
          <w:bCs w:val="0"/>
        </w:rPr>
        <w:t>充分发挥广播、电视、手机、电子显示屏等载体作用，积极使用“学习强安”A</w:t>
      </w:r>
      <w:r>
        <w:rPr>
          <w:rFonts w:ascii="仿宋_GB2312" w:cs="仿宋_GB2312"/>
          <w:bCs w:val="0"/>
        </w:rPr>
        <w:t>PP</w:t>
      </w:r>
      <w:r>
        <w:rPr>
          <w:rFonts w:hint="eastAsia" w:ascii="仿宋_GB2312" w:cs="仿宋_GB2312"/>
          <w:bCs w:val="0"/>
        </w:rPr>
        <w:t>，</w:t>
      </w:r>
      <w:r>
        <w:rPr>
          <w:rFonts w:hint="eastAsia"/>
        </w:rPr>
        <w:t>广泛宣传相关法律法规、应急预案和公众避险、自救、互救知识技能，增强公众防灾减灾救灾意识。</w:t>
      </w:r>
      <w:r>
        <w:rPr>
          <w:rFonts w:hint="eastAsia" w:ascii="仿宋_GB2312" w:cs="仿宋_GB2312"/>
        </w:rPr>
        <w:t>利用现有宣传栏或新设立宣传栏，定期开展防灾减灾救灾宣传。</w:t>
      </w:r>
    </w:p>
    <w:p>
      <w:pPr>
        <w:pStyle w:val="6"/>
      </w:pPr>
      <w:r>
        <w:rPr>
          <w:rFonts w:hint="eastAsia"/>
        </w:rPr>
        <w:t>市减灾办会同有关单位加强</w:t>
      </w:r>
      <w:r>
        <w:rPr>
          <w:rFonts w:hint="eastAsia" w:ascii="仿宋_GB2312" w:hAnsi="仿宋"/>
        </w:rPr>
        <w:t>“科</w:t>
      </w:r>
      <w:r>
        <w:rPr>
          <w:rFonts w:hint="eastAsia" w:ascii="仿宋_GB2312" w:hAnsi="仿宋"/>
          <w:lang w:val="en-US" w:eastAsia="zh-CN"/>
        </w:rPr>
        <w:t>技</w:t>
      </w:r>
      <w:r>
        <w:rPr>
          <w:rFonts w:hint="eastAsia" w:ascii="仿宋_GB2312" w:hAnsi="仿宋"/>
        </w:rPr>
        <w:t>化、</w:t>
      </w:r>
      <w:r>
        <w:rPr>
          <w:rFonts w:hint="eastAsia" w:ascii="仿宋_GB2312" w:hAnsi="仿宋"/>
          <w:lang w:val="en-US" w:eastAsia="zh-CN"/>
        </w:rPr>
        <w:t>标准化、</w:t>
      </w:r>
      <w:r>
        <w:rPr>
          <w:rFonts w:hint="eastAsia" w:ascii="仿宋_GB2312" w:hAnsi="仿宋"/>
        </w:rPr>
        <w:t>精细化、智能化”的深圳综合减灾社区创建</w:t>
      </w:r>
      <w:r>
        <w:rPr>
          <w:rFonts w:hint="eastAsia"/>
        </w:rPr>
        <w:t>，积极推进灾害救助宣传进学校、进企业、进社区、进机关、进家庭。</w:t>
      </w:r>
    </w:p>
    <w:p>
      <w:pPr>
        <w:pStyle w:val="6"/>
      </w:pPr>
      <w:r>
        <w:rPr>
          <w:rFonts w:hint="eastAsia"/>
        </w:rPr>
        <w:t>各区政府组织开展领导干部、灾害管理人员和专业应急救援队伍、社会组织和志愿者的防灾减灾救灾培训。</w:t>
      </w:r>
    </w:p>
    <w:p>
      <w:pPr>
        <w:ind w:firstLine="640" w:firstLineChars="200"/>
        <w:outlineLvl w:val="1"/>
        <w:rPr>
          <w:rFonts w:ascii="楷体_GB2312" w:hAnsi="楷体_GB2312" w:eastAsia="楷体_GB2312" w:cs="楷体_GB2312"/>
        </w:rPr>
      </w:pPr>
      <w:bookmarkStart w:id="184" w:name="_Toc22856"/>
      <w:bookmarkStart w:id="185" w:name="_Toc11398"/>
      <w:bookmarkStart w:id="186" w:name="_Toc41146207"/>
      <w:bookmarkStart w:id="187" w:name="_Toc24385"/>
      <w:bookmarkStart w:id="188" w:name="_Toc70532439"/>
      <w:r>
        <w:rPr>
          <w:rFonts w:hint="eastAsia" w:ascii="楷体_GB2312" w:hAnsi="楷体_GB2312" w:eastAsia="楷体_GB2312" w:cs="楷体_GB2312"/>
        </w:rPr>
        <w:t>8.3 责任与奖惩</w:t>
      </w:r>
      <w:bookmarkEnd w:id="184"/>
      <w:bookmarkEnd w:id="185"/>
      <w:bookmarkEnd w:id="186"/>
      <w:bookmarkEnd w:id="187"/>
      <w:bookmarkEnd w:id="188"/>
    </w:p>
    <w:p>
      <w:pPr>
        <w:pStyle w:val="6"/>
      </w:pPr>
      <w:r>
        <w:rPr>
          <w:rFonts w:hint="eastAsia"/>
        </w:rPr>
        <w:t>按照国家、省有关规定，对在自然灾害救助工作中作出突出贡献的集体和个人给予表彰和奖励，对玩忽职守、失职、渎职的有关责任人，依据有关规定追究责任，构成犯罪的，依法追究刑事责任。</w:t>
      </w:r>
    </w:p>
    <w:p>
      <w:pPr>
        <w:widowControl w:val="0"/>
        <w:ind w:firstLine="640" w:firstLineChars="200"/>
        <w:outlineLvl w:val="0"/>
        <w:rPr>
          <w:rFonts w:ascii="黑体" w:hAnsi="黑体" w:eastAsia="黑体" w:cs="黑体"/>
        </w:rPr>
      </w:pPr>
      <w:bookmarkStart w:id="189" w:name="_Toc14032"/>
      <w:bookmarkStart w:id="190" w:name="_Toc4572"/>
      <w:bookmarkStart w:id="191" w:name="_Toc25120"/>
      <w:bookmarkStart w:id="192" w:name="_Toc70532440"/>
      <w:bookmarkStart w:id="193" w:name="_Toc41146208"/>
      <w:r>
        <w:rPr>
          <w:rFonts w:hint="eastAsia" w:ascii="黑体" w:hAnsi="黑体" w:eastAsia="黑体" w:cs="黑体"/>
        </w:rPr>
        <w:t>9 附则</w:t>
      </w:r>
      <w:bookmarkEnd w:id="189"/>
      <w:bookmarkEnd w:id="190"/>
      <w:bookmarkEnd w:id="191"/>
      <w:bookmarkEnd w:id="192"/>
      <w:bookmarkEnd w:id="193"/>
    </w:p>
    <w:p>
      <w:pPr>
        <w:pStyle w:val="6"/>
        <w:rPr>
          <w:rFonts w:ascii="仿宋_GB2312"/>
        </w:rPr>
      </w:pPr>
      <w:r>
        <w:rPr>
          <w:rFonts w:hint="eastAsia" w:ascii="仿宋_GB2312"/>
        </w:rPr>
        <w:t>（</w:t>
      </w:r>
      <w:r>
        <w:rPr>
          <w:rFonts w:ascii="仿宋_GB2312"/>
        </w:rPr>
        <w:t>1</w:t>
      </w:r>
      <w:r>
        <w:rPr>
          <w:rFonts w:hint="eastAsia" w:ascii="仿宋_GB2312"/>
        </w:rPr>
        <w:t>）本预案有关数量的表述中，“以下”不含本数。</w:t>
      </w:r>
    </w:p>
    <w:p>
      <w:pPr>
        <w:pStyle w:val="6"/>
        <w:rPr>
          <w:rFonts w:ascii="仿宋_GB2312"/>
        </w:rPr>
      </w:pPr>
      <w:r>
        <w:rPr>
          <w:rFonts w:hint="eastAsia" w:ascii="仿宋_GB2312"/>
        </w:rPr>
        <w:t>（</w:t>
      </w:r>
      <w:r>
        <w:rPr>
          <w:rFonts w:ascii="仿宋_GB2312"/>
        </w:rPr>
        <w:t>2</w:t>
      </w:r>
      <w:r>
        <w:rPr>
          <w:rFonts w:hint="eastAsia" w:ascii="仿宋_GB2312"/>
        </w:rPr>
        <w:t>）本预案中所称的自然灾害主要包括洪涝灾害，台风、暴雨、雷电、高温、大雾、灰霾、寒冷、大风、冰雹、干旱等气象灾害，地震灾害，山体崩塌、滑坡、泥石流等地质灾害，风暴潮、灾害性海浪等海洋灾害，森林火灾和重大生物灾害等。</w:t>
      </w:r>
    </w:p>
    <w:p>
      <w:pPr>
        <w:pStyle w:val="6"/>
        <w:rPr>
          <w:rFonts w:hint="eastAsia" w:ascii="仿宋_GB2312"/>
        </w:rPr>
      </w:pPr>
      <w:r>
        <w:rPr>
          <w:rFonts w:hint="eastAsia" w:ascii="仿宋_GB2312"/>
        </w:rPr>
        <w:t>（</w:t>
      </w:r>
      <w:r>
        <w:rPr>
          <w:rFonts w:ascii="仿宋_GB2312"/>
        </w:rPr>
        <w:t>3</w:t>
      </w:r>
      <w:r>
        <w:rPr>
          <w:rFonts w:hint="eastAsia" w:ascii="仿宋_GB2312"/>
        </w:rPr>
        <w:t>）本预案由市应急管理局修订，报</w:t>
      </w:r>
      <w:r>
        <w:rPr>
          <w:rFonts w:hint="eastAsia" w:ascii="仿宋_GB2312"/>
          <w:lang w:val="en-US" w:eastAsia="zh-CN"/>
        </w:rPr>
        <w:t>市应急委审批</w:t>
      </w:r>
      <w:r>
        <w:rPr>
          <w:rFonts w:hint="eastAsia" w:ascii="仿宋_GB2312"/>
        </w:rPr>
        <w:t>，</w:t>
      </w:r>
      <w:r>
        <w:rPr>
          <w:rFonts w:hint="eastAsia" w:ascii="仿宋_GB2312"/>
          <w:lang w:val="en-US" w:eastAsia="zh-CN"/>
        </w:rPr>
        <w:t>以市减灾委名义印发。</w:t>
      </w:r>
    </w:p>
    <w:p>
      <w:pPr>
        <w:pStyle w:val="6"/>
        <w:rPr>
          <w:rFonts w:ascii="仿宋_GB2312"/>
        </w:rPr>
      </w:pPr>
      <w:r>
        <w:rPr>
          <w:rFonts w:hint="eastAsia" w:ascii="仿宋_GB2312"/>
        </w:rPr>
        <w:t>（</w:t>
      </w:r>
      <w:r>
        <w:rPr>
          <w:rFonts w:ascii="仿宋_GB2312"/>
        </w:rPr>
        <w:t>4</w:t>
      </w:r>
      <w:r>
        <w:rPr>
          <w:rFonts w:hint="eastAsia" w:ascii="仿宋_GB2312"/>
        </w:rPr>
        <w:t>）本预案有关市减灾委成员单位任务分工，如因机构设置和分工调整，以市人民政府办公厅印发的最新通知为准。</w:t>
      </w:r>
    </w:p>
    <w:p>
      <w:pPr>
        <w:pStyle w:val="6"/>
        <w:rPr>
          <w:rFonts w:ascii="仿宋_GB2312"/>
        </w:rPr>
      </w:pPr>
      <w:r>
        <w:rPr>
          <w:rFonts w:hint="eastAsia" w:ascii="仿宋_GB2312"/>
        </w:rPr>
        <w:t>（</w:t>
      </w:r>
      <w:r>
        <w:rPr>
          <w:rFonts w:ascii="仿宋_GB2312"/>
        </w:rPr>
        <w:t>5</w:t>
      </w:r>
      <w:r>
        <w:rPr>
          <w:rFonts w:hint="eastAsia" w:ascii="仿宋_GB2312"/>
        </w:rPr>
        <w:t>）各区政府及其有关单位、基层单位和组织按照本预案的规定履行职责，并制定、完善相应的应急预案。有关部门和单位要制定落实本预案任务的工作手册、行动方案等，确保责任落实到位。</w:t>
      </w:r>
    </w:p>
    <w:p>
      <w:pPr>
        <w:pStyle w:val="6"/>
      </w:pPr>
      <w:r>
        <w:rPr>
          <w:rFonts w:hint="eastAsia" w:ascii="仿宋_GB2312"/>
        </w:rPr>
        <w:t>（</w:t>
      </w:r>
      <w:r>
        <w:rPr>
          <w:rFonts w:ascii="仿宋_GB2312"/>
        </w:rPr>
        <w:t>6</w:t>
      </w:r>
      <w:r>
        <w:rPr>
          <w:rFonts w:hint="eastAsia" w:ascii="仿宋_GB2312"/>
        </w:rPr>
        <w:t>）</w:t>
      </w:r>
      <w:r>
        <w:rPr>
          <w:rFonts w:hint="eastAsia" w:ascii="仿宋_GB2312"/>
          <w:lang w:val="en-US" w:eastAsia="zh-CN"/>
        </w:rPr>
        <w:t>预案</w:t>
      </w:r>
      <w:r>
        <w:rPr>
          <w:rFonts w:hint="eastAsia" w:ascii="仿宋_GB2312"/>
        </w:rPr>
        <w:t>由市应急管理局负责解释。本预案自公布之日起实施。</w:t>
      </w:r>
    </w:p>
    <w:p>
      <w:pPr>
        <w:widowControl w:val="0"/>
        <w:adjustRightInd w:val="0"/>
        <w:snapToGrid w:val="0"/>
        <w:spacing w:line="560" w:lineRule="exact"/>
        <w:ind w:firstLine="640"/>
      </w:pPr>
    </w:p>
    <w:p>
      <w:pPr>
        <w:pStyle w:val="2"/>
        <w:ind w:firstLine="640"/>
        <w:rPr>
          <w:lang w:val="en-US"/>
        </w:rPr>
      </w:pPr>
    </w:p>
    <w:p>
      <w:pPr>
        <w:adjustRightInd w:val="0"/>
        <w:snapToGrid w:val="0"/>
        <w:spacing w:line="560" w:lineRule="exact"/>
        <w:jc w:val="left"/>
        <w:sectPr>
          <w:headerReference r:id="rId7" w:type="default"/>
          <w:footerReference r:id="rId8" w:type="default"/>
          <w:pgSz w:w="11905" w:h="16838"/>
          <w:pgMar w:top="2098" w:right="1474" w:bottom="1985" w:left="1588" w:header="284" w:footer="1588" w:gutter="0"/>
          <w:cols w:space="720" w:num="1"/>
          <w:docGrid w:type="lines" w:linePitch="589" w:charSpace="-849"/>
        </w:sectPr>
      </w:pPr>
    </w:p>
    <w:p>
      <w:pPr>
        <w:widowControl w:val="0"/>
        <w:adjustRightInd w:val="0"/>
        <w:snapToGrid w:val="0"/>
        <w:spacing w:line="560" w:lineRule="exact"/>
        <w:outlineLvl w:val="0"/>
        <w:rPr>
          <w:rFonts w:ascii="黑体" w:hAnsi="黑体" w:eastAsia="黑体"/>
        </w:rPr>
      </w:pPr>
      <w:r>
        <w:rPr>
          <w:rFonts w:hint="eastAsia" w:ascii="黑体" w:hAnsi="黑体" w:eastAsia="黑体"/>
        </w:rPr>
        <w:t>附件</w:t>
      </w:r>
    </w:p>
    <w:p>
      <w:pPr>
        <w:adjustRightInd w:val="0"/>
        <w:snapToGrid w:val="0"/>
        <w:spacing w:line="560" w:lineRule="exact"/>
        <w:rPr>
          <w:rFonts w:ascii="黑体" w:hAnsi="黑体" w:eastAsia="黑体"/>
        </w:rPr>
      </w:pPr>
    </w:p>
    <w:p>
      <w:pPr>
        <w:adjustRightInd w:val="0"/>
        <w:snapToGrid w:val="0"/>
        <w:spacing w:line="560" w:lineRule="exact"/>
        <w:jc w:val="center"/>
        <w:outlineLvl w:val="0"/>
        <w:rPr>
          <w:rFonts w:ascii="方正小标宋简体" w:hAnsi="黑体" w:eastAsia="方正小标宋简体"/>
          <w:sz w:val="44"/>
          <w:szCs w:val="44"/>
        </w:rPr>
      </w:pPr>
      <w:bookmarkStart w:id="194" w:name="_Toc70532442"/>
      <w:bookmarkStart w:id="195" w:name="_Toc29604"/>
      <w:r>
        <w:rPr>
          <w:rFonts w:hint="eastAsia" w:ascii="方正小标宋简体" w:hAnsi="黑体" w:eastAsia="方正小标宋简体"/>
          <w:sz w:val="44"/>
          <w:szCs w:val="44"/>
        </w:rPr>
        <w:t>深圳市减灾委员会成员单位</w:t>
      </w:r>
      <w:bookmarkEnd w:id="194"/>
      <w:r>
        <w:rPr>
          <w:rFonts w:hint="eastAsia" w:ascii="方正小标宋简体" w:hAnsi="黑体" w:eastAsia="方正小标宋简体"/>
          <w:sz w:val="44"/>
          <w:szCs w:val="44"/>
        </w:rPr>
        <w:t>及其职责</w:t>
      </w:r>
      <w:bookmarkEnd w:id="195"/>
    </w:p>
    <w:p>
      <w:pPr>
        <w:pStyle w:val="2"/>
        <w:ind w:firstLine="640"/>
        <w:rPr>
          <w:lang w:val="en"/>
        </w:rPr>
      </w:pPr>
    </w:p>
    <w:p>
      <w:pPr>
        <w:spacing w:line="579" w:lineRule="exact"/>
        <w:ind w:firstLine="640" w:firstLineChars="200"/>
      </w:pPr>
      <w:r>
        <w:rPr>
          <w:rFonts w:hint="eastAsia"/>
        </w:rPr>
        <w:t>深圳市减灾委员会成员单位根据职责分工，各司其职，各负其责，密切协作。各成员单位主要职责：</w:t>
      </w:r>
    </w:p>
    <w:p>
      <w:pPr>
        <w:adjustRightInd w:val="0"/>
        <w:snapToGrid w:val="0"/>
        <w:spacing w:line="560" w:lineRule="exact"/>
        <w:ind w:firstLine="640"/>
        <w:rPr>
          <w:rFonts w:hint="eastAsia" w:ascii="仿宋_GB2312" w:hAnsi="仿宋_GB2312" w:cs="仿宋_GB2312"/>
        </w:rPr>
      </w:pPr>
      <w:r>
        <w:rPr>
          <w:rFonts w:hint="eastAsia" w:ascii="仿宋_GB2312" w:hAnsi="仿宋_GB2312" w:cs="仿宋_GB2312"/>
          <w:b/>
          <w:bCs/>
        </w:rPr>
        <w:t>市委宣传部</w:t>
      </w:r>
      <w:r>
        <w:rPr>
          <w:rFonts w:hint="eastAsia" w:ascii="仿宋_GB2312" w:hAnsi="仿宋_GB2312" w:cs="仿宋_GB2312"/>
        </w:rPr>
        <w:t>：负责协调、指导救灾工作新闻发布及宣传报道工作，及时正确引导社会舆论。</w:t>
      </w:r>
    </w:p>
    <w:p>
      <w:pPr>
        <w:pStyle w:val="2"/>
        <w:rPr>
          <w:rFonts w:hint="default" w:eastAsia="仿宋"/>
          <w:lang w:val="en-US" w:eastAsia="zh-CN"/>
        </w:rPr>
      </w:pPr>
      <w:r>
        <w:rPr>
          <w:rFonts w:hint="eastAsia" w:ascii="仿宋_GB2312" w:hAnsi="仿宋_GB2312" w:cs="仿宋_GB2312"/>
          <w:b/>
          <w:bCs/>
          <w:lang w:val="en-US" w:eastAsia="zh-CN"/>
        </w:rPr>
        <w:t>市委网信办：</w:t>
      </w:r>
      <w:r>
        <w:rPr>
          <w:rFonts w:hint="eastAsia" w:ascii="仿宋_GB2312" w:hAnsi="仿宋_GB2312" w:cs="仿宋_GB2312"/>
          <w:b w:val="0"/>
          <w:bCs w:val="0"/>
          <w:lang w:val="en-US" w:eastAsia="zh-CN"/>
        </w:rPr>
        <w:t>指导做好网络舆情服务保障工作，会同新闻办做好媒体沟通协调和辟谣工作</w:t>
      </w:r>
      <w:r>
        <w:rPr>
          <w:rFonts w:hint="eastAsia" w:ascii="仿宋_GB2312" w:hAnsi="仿宋_GB2312" w:cs="仿宋_GB2312"/>
          <w:lang w:val="en-US" w:eastAsia="zh-CN"/>
        </w:rPr>
        <w:t>。</w:t>
      </w:r>
    </w:p>
    <w:p>
      <w:pPr>
        <w:adjustRightInd w:val="0"/>
        <w:snapToGrid w:val="0"/>
        <w:spacing w:line="560" w:lineRule="exact"/>
        <w:ind w:firstLine="640"/>
        <w:rPr>
          <w:rFonts w:ascii="仿宋_GB2312" w:hAnsi="仿宋_GB2312" w:cs="仿宋_GB2312"/>
        </w:rPr>
      </w:pPr>
      <w:r>
        <w:rPr>
          <w:rFonts w:hint="eastAsia" w:ascii="仿宋_GB2312" w:hAnsi="仿宋_GB2312" w:cs="仿宋_GB2312"/>
          <w:b/>
          <w:bCs/>
        </w:rPr>
        <w:t>市发展改革委</w:t>
      </w:r>
      <w:r>
        <w:rPr>
          <w:rFonts w:hint="eastAsia" w:ascii="仿宋_GB2312" w:hAnsi="仿宋_GB2312" w:cs="仿宋_GB2312"/>
        </w:rPr>
        <w:t>：负责灾后恢复重建和综合防灾减灾能力相关政府投资项目的审批工作；组织协调救灾所需粮食供应；配合市应急管理局确定救灾物资年度购置计划，并根据市级救灾物资储备规划、品种目录和标准、年度购置计划，负责市级救灾物资的收储、轮换和日常管理，根据市应急管理局的动用指令按程序组织调出救灾物资；指导、协调、监督电力运营企业加强电力基础设施、电力调度系统建设，尽快恢复电网运行，及时修复损毁的电力设施，保障受灾地区应急装备的临时供电需求和电力供应，统计报告全市电力受灾情况。</w:t>
      </w:r>
    </w:p>
    <w:p>
      <w:pPr>
        <w:adjustRightInd w:val="0"/>
        <w:snapToGrid w:val="0"/>
        <w:spacing w:line="560" w:lineRule="exact"/>
        <w:ind w:firstLine="640"/>
        <w:rPr>
          <w:rFonts w:ascii="仿宋_GB2312" w:hAnsi="仿宋_GB2312" w:cs="仿宋_GB2312"/>
        </w:rPr>
      </w:pPr>
      <w:r>
        <w:rPr>
          <w:rFonts w:hint="eastAsia" w:ascii="仿宋_GB2312" w:hAnsi="仿宋_GB2312" w:cs="仿宋_GB2312"/>
          <w:b/>
          <w:bCs/>
        </w:rPr>
        <w:t>市教育局</w:t>
      </w:r>
      <w:r>
        <w:rPr>
          <w:rFonts w:hint="eastAsia" w:ascii="仿宋_GB2312" w:hAnsi="仿宋_GB2312" w:cs="仿宋_GB2312"/>
        </w:rPr>
        <w:t>：负责协调、指导受灾地区做好受灾学校（不含技校，下同）、托幼机构学生和教职员工紧急转移安置工作，灾后安全隐患排查治理及复学工作；组织落实直属学校应急避难场所建设和维护管理工作；统计报告全市教育系统受灾情况；协调有关单位共同做好灾后校舍恢复重建；组织、指导各区对师生教职员工进行防灾减灾知识的宣传、教育、演练工作。</w:t>
      </w:r>
    </w:p>
    <w:p>
      <w:pPr>
        <w:adjustRightInd w:val="0"/>
        <w:snapToGrid w:val="0"/>
        <w:spacing w:line="560" w:lineRule="exact"/>
        <w:ind w:firstLine="640"/>
        <w:rPr>
          <w:rFonts w:ascii="仿宋_GB2312" w:hAnsi="仿宋_GB2312" w:cs="仿宋_GB2312"/>
        </w:rPr>
      </w:pPr>
      <w:r>
        <w:rPr>
          <w:rFonts w:hint="eastAsia" w:ascii="仿宋_GB2312" w:hAnsi="仿宋_GB2312" w:cs="仿宋_GB2312"/>
          <w:b/>
          <w:bCs/>
        </w:rPr>
        <w:t>市科技创新委</w:t>
      </w:r>
      <w:r>
        <w:rPr>
          <w:rFonts w:hint="eastAsia" w:ascii="仿宋_GB2312" w:hAnsi="仿宋_GB2312" w:cs="仿宋_GB2312"/>
        </w:rPr>
        <w:t>：负责组织科研力量开展灾害预测预报和应急救援相关研究工作，安排防灾减灾和重大救灾科研项目，为受灾地区灾后恢复重建提供科技支撑。</w:t>
      </w:r>
    </w:p>
    <w:p>
      <w:pPr>
        <w:adjustRightInd w:val="0"/>
        <w:snapToGrid w:val="0"/>
        <w:spacing w:line="560" w:lineRule="exact"/>
        <w:ind w:firstLine="640"/>
        <w:rPr>
          <w:rFonts w:ascii="仿宋_GB2312" w:hAnsi="仿宋_GB2312" w:cs="仿宋_GB2312"/>
        </w:rPr>
      </w:pPr>
      <w:r>
        <w:rPr>
          <w:rFonts w:hint="eastAsia" w:ascii="仿宋_GB2312" w:hAnsi="仿宋_GB2312" w:cs="仿宋_GB2312"/>
          <w:b/>
          <w:bCs/>
        </w:rPr>
        <w:t>市工业和信息化局</w:t>
      </w:r>
      <w:r>
        <w:rPr>
          <w:rFonts w:hint="eastAsia" w:ascii="仿宋_GB2312" w:hAnsi="仿宋_GB2312" w:cs="仿宋_GB2312"/>
        </w:rPr>
        <w:t>：保障事故灾害无线电设备使用频率正常。会同通信管理部门建立有线与无线相结合、基础通信网络与机动通信系统相配套的应急通信保障系统，保证灾害救助全程通信畅通；统计报告全市工业受灾情况。</w:t>
      </w:r>
    </w:p>
    <w:p>
      <w:pPr>
        <w:adjustRightInd w:val="0"/>
        <w:snapToGrid w:val="0"/>
        <w:spacing w:line="560" w:lineRule="exact"/>
        <w:ind w:firstLine="640"/>
        <w:rPr>
          <w:rFonts w:ascii="仿宋_GB2312" w:hAnsi="仿宋_GB2312" w:cs="仿宋_GB2312"/>
        </w:rPr>
      </w:pPr>
      <w:r>
        <w:rPr>
          <w:rFonts w:hint="eastAsia" w:ascii="仿宋_GB2312" w:hAnsi="仿宋_GB2312" w:cs="仿宋_GB2312"/>
          <w:b/>
          <w:bCs/>
        </w:rPr>
        <w:t>市公安局</w:t>
      </w:r>
      <w:r>
        <w:rPr>
          <w:rFonts w:hint="eastAsia" w:ascii="仿宋_GB2312" w:hAnsi="仿宋_GB2312" w:cs="仿宋_GB2312"/>
        </w:rPr>
        <w:t>：负责受灾地区治安秩序维护，协助组织受灾地区群众紧急转移工作；按照应急响应等级，实施相应交通组织措施，做好交通疏导工作，确保道路交通安全畅通；积极配合做好救灾救援和应急救助工作；依法打击受灾地区盗抢现象，查处制造网络谣言等违规违法人员；组织、指导开展治安、交通等方面防灾减灾知识的宣传、教育、演练工作。</w:t>
      </w:r>
    </w:p>
    <w:p>
      <w:pPr>
        <w:adjustRightInd w:val="0"/>
        <w:snapToGrid w:val="0"/>
        <w:spacing w:line="560" w:lineRule="exact"/>
        <w:ind w:firstLine="640"/>
        <w:rPr>
          <w:rFonts w:ascii="仿宋_GB2312" w:hAnsi="仿宋_GB2312" w:cs="仿宋_GB2312"/>
        </w:rPr>
      </w:pPr>
      <w:r>
        <w:rPr>
          <w:rFonts w:hint="eastAsia" w:ascii="仿宋_GB2312" w:hAnsi="仿宋_GB2312" w:cs="仿宋_GB2312"/>
          <w:b/>
          <w:bCs/>
        </w:rPr>
        <w:t>市民政局</w:t>
      </w:r>
      <w:r>
        <w:rPr>
          <w:rFonts w:hint="eastAsia" w:ascii="仿宋_GB2312" w:hAnsi="仿宋_GB2312" w:cs="仿宋_GB2312"/>
        </w:rPr>
        <w:t>：协助市应急管理局，</w:t>
      </w:r>
      <w:r>
        <w:rPr>
          <w:rFonts w:hint="eastAsia"/>
        </w:rPr>
        <w:t>动员协调有关社会组织、志愿者等</w:t>
      </w:r>
      <w:r>
        <w:rPr>
          <w:rFonts w:hint="eastAsia" w:ascii="仿宋_GB2312" w:hAnsi="仿宋_GB2312" w:cs="仿宋_GB2312"/>
        </w:rPr>
        <w:t>社会力量参与抢险救灾、救灾捐赠等工作；督促指导各区将经应急救助和灾后救助后仍存在基本生活困难的群众，符合条件的及时纳入临时救助或最低生活保障范围；协助做好遇难人员遗体处置工作；组织落实市属福利设施应急避难场所管理工作。</w:t>
      </w:r>
    </w:p>
    <w:p>
      <w:pPr>
        <w:spacing w:line="240" w:lineRule="auto"/>
        <w:ind w:firstLine="642" w:firstLineChars="200"/>
        <w:jc w:val="left"/>
        <w:rPr>
          <w:rFonts w:ascii="仿宋_GB2312" w:hAnsi="仿宋_GB2312" w:cs="仿宋_GB2312"/>
        </w:rPr>
      </w:pPr>
      <w:r>
        <w:rPr>
          <w:rFonts w:hint="eastAsia" w:ascii="仿宋_GB2312" w:hAnsi="仿宋_GB2312" w:cs="仿宋_GB2312"/>
          <w:b/>
          <w:bCs/>
        </w:rPr>
        <w:t>市财政局</w:t>
      </w:r>
      <w:r>
        <w:rPr>
          <w:rFonts w:hint="eastAsia" w:ascii="仿宋_GB2312" w:hAnsi="仿宋_GB2312" w:cs="仿宋_GB2312"/>
        </w:rPr>
        <w:t>：</w:t>
      </w:r>
      <w:r>
        <w:rPr>
          <w:rFonts w:hint="eastAsia" w:ascii="仿宋_GB2312" w:hAnsi="宋体" w:cs="宋体"/>
          <w:color w:val="000000"/>
        </w:rPr>
        <w:t>按照事权和支出责任划分，合理安排减灾救灾预算；会同市应急管理局向省财政厅、省应急管理厅申请省级自然灾害生活补助资金或向财政部、应急管理部申请中央自然灾害生活补助资金；根据受灾地区申请和有关单位对灾情的核定情况，及时下达资金。</w:t>
      </w:r>
    </w:p>
    <w:p>
      <w:pPr>
        <w:adjustRightInd w:val="0"/>
        <w:snapToGrid w:val="0"/>
        <w:spacing w:line="560" w:lineRule="exact"/>
        <w:ind w:firstLine="642" w:firstLineChars="200"/>
        <w:rPr>
          <w:rFonts w:ascii="仿宋_GB2312" w:cs="Arial Unicode MS"/>
        </w:rPr>
      </w:pPr>
      <w:bookmarkStart w:id="196" w:name="OLE_LINK3"/>
      <w:r>
        <w:rPr>
          <w:rFonts w:hint="eastAsia" w:ascii="仿宋_GB2312" w:hAnsi="Arial Unicode MS" w:cs="Arial Unicode MS"/>
          <w:b/>
          <w:bCs/>
        </w:rPr>
        <w:t>市人力资源保障局：</w:t>
      </w:r>
      <w:bookmarkEnd w:id="196"/>
      <w:r>
        <w:rPr>
          <w:rFonts w:hint="eastAsia" w:ascii="仿宋_GB2312" w:cs="Arial Unicode MS"/>
        </w:rPr>
        <w:t>负责协调受灾地区做好受灾技校学生和教职员工紧急转移安置及灾后复学工作；督促技工学校做好应急避难场所管理工作；协助有关单位共同做好灾后校舍恢复重建；做好抢险救灾奖励优待等工作；指导各区对技校学生进行防灾减灾知识的宣传、教育、演练工作。</w:t>
      </w:r>
    </w:p>
    <w:p>
      <w:pPr>
        <w:adjustRightInd w:val="0"/>
        <w:snapToGrid w:val="0"/>
        <w:spacing w:line="560" w:lineRule="exact"/>
        <w:ind w:firstLine="640"/>
        <w:rPr>
          <w:rFonts w:ascii="仿宋_GB2312" w:hAnsi="仿宋_GB2312" w:cs="仿宋_GB2312"/>
        </w:rPr>
      </w:pPr>
      <w:r>
        <w:rPr>
          <w:rFonts w:hint="eastAsia" w:ascii="仿宋_GB2312" w:hAnsi="仿宋_GB2312" w:cs="仿宋_GB2312"/>
          <w:b/>
          <w:bCs/>
        </w:rPr>
        <w:t>市规划和自然资源局</w:t>
      </w:r>
      <w:r>
        <w:rPr>
          <w:rFonts w:hint="eastAsia" w:ascii="仿宋_GB2312" w:hAnsi="仿宋_GB2312" w:cs="仿宋_GB2312"/>
        </w:rPr>
        <w:t>：负责落实综合防灾减灾规划相关要求，组织编制市级地质灾害防治规划和防护标准并指导实施；组织指导协调和监督地质灾害调查评价及隐患的普查、详查、排查；指导开展群测群防、专业监测、预报预警，以及地质灾害工程治理等工作，开展地质灾害的灾情监测和空间分析，准备灾区地理信息数据，组织灾区现场影像获取等应急测绘，提供应急测绘保障服务，承担地质灾害应急救援的技术支撑工作；协助市发展改革委、受灾地区政府等制定灾后恢复重建规划、计划和实施方案并监督实施；组织开展风暴潮、灾害性海浪等海洋防灾减灾工作，指导和协助开展海洋捕捞渔船、渔港、沿海水域水产养殖设施及水产品抢险救灾工作，组织开展海洋防灾减灾知识宣传教育；组织编制森林火灾防治规划和防护标准并指导实施，指导开展防火巡护、火源管理、防火设施建设等工作，组织指导国有林场林区开展防火宣传教育、监测预警、督促检查等工作。</w:t>
      </w:r>
    </w:p>
    <w:p>
      <w:pPr>
        <w:adjustRightInd w:val="0"/>
        <w:snapToGrid w:val="0"/>
        <w:spacing w:line="560" w:lineRule="exact"/>
        <w:ind w:firstLine="640"/>
        <w:rPr>
          <w:rFonts w:ascii="仿宋_GB2312" w:hAnsi="仿宋_GB2312" w:cs="仿宋_GB2312"/>
        </w:rPr>
      </w:pPr>
      <w:r>
        <w:rPr>
          <w:rFonts w:hint="eastAsia" w:ascii="仿宋_GB2312" w:hAnsi="仿宋_GB2312" w:cs="仿宋_GB2312"/>
          <w:b/>
          <w:bCs/>
        </w:rPr>
        <w:t>市生态环境局</w:t>
      </w:r>
      <w:r>
        <w:rPr>
          <w:rFonts w:hint="eastAsia" w:ascii="仿宋_GB2312" w:hAnsi="仿宋_GB2312" w:cs="仿宋_GB2312"/>
        </w:rPr>
        <w:t>：负责组织拟订并监督实施灾害多发的重点区域和饮用水源地环境保护规划，会同市水务局拟订并组织实施灾害多发的重点流域的综合治理规划；牵头协调自然灾害引发的环境事件调查处理及重点区域、流域环境污染防治工作，开展受灾期间环境监测、发布相关环境信息；会同市水务局、市卫生健康委做好受灾地区饮用水源地环境监测监督，指导饮用水源地环境保护工作；指导开展环境保护、核与辐射安全知识宣传教育及演练。</w:t>
      </w:r>
    </w:p>
    <w:p>
      <w:pPr>
        <w:adjustRightInd w:val="0"/>
        <w:snapToGrid w:val="0"/>
        <w:spacing w:line="560" w:lineRule="exact"/>
        <w:ind w:firstLine="640"/>
        <w:rPr>
          <w:rFonts w:ascii="仿宋_GB2312" w:hAnsi="仿宋_GB2312" w:cs="仿宋_GB2312"/>
        </w:rPr>
      </w:pPr>
      <w:r>
        <w:rPr>
          <w:rFonts w:hint="eastAsia" w:ascii="仿宋_GB2312" w:hAnsi="仿宋_GB2312" w:cs="仿宋_GB2312"/>
          <w:b/>
          <w:bCs/>
        </w:rPr>
        <w:t>市住房建设局</w:t>
      </w:r>
      <w:r>
        <w:rPr>
          <w:rFonts w:hint="eastAsia" w:ascii="仿宋_GB2312" w:hAnsi="仿宋_GB2312" w:cs="仿宋_GB2312"/>
        </w:rPr>
        <w:t>：负责灾后工程建设管理；指导受灾地区开展因灾倒损房屋和</w:t>
      </w:r>
      <w:r>
        <w:rPr>
          <w:rFonts w:hint="eastAsia"/>
        </w:rPr>
        <w:t>管理职责范围内的</w:t>
      </w:r>
      <w:r>
        <w:rPr>
          <w:rFonts w:hint="eastAsia" w:ascii="仿宋_GB2312" w:hAnsi="仿宋_GB2312" w:cs="仿宋_GB2312"/>
        </w:rPr>
        <w:t>市政公用基础设施的结构安全鉴定，以及灾后恢复重建施工等管理工作；督促指导受灾建设项目施工企业做好灾后隐患排查和安全生产工作；组织指导城市燃气的抢险、抢修工作。</w:t>
      </w:r>
    </w:p>
    <w:p>
      <w:pPr>
        <w:adjustRightInd w:val="0"/>
        <w:snapToGrid w:val="0"/>
        <w:spacing w:line="560" w:lineRule="exact"/>
        <w:ind w:firstLine="640"/>
        <w:rPr>
          <w:rFonts w:ascii="仿宋_GB2312" w:hAnsi="仿宋_GB2312" w:cs="仿宋_GB2312"/>
        </w:rPr>
      </w:pPr>
      <w:r>
        <w:rPr>
          <w:rFonts w:hint="eastAsia" w:ascii="仿宋_GB2312" w:hAnsi="仿宋_GB2312" w:cs="仿宋_GB2312"/>
          <w:b/>
          <w:bCs/>
        </w:rPr>
        <w:t>市交通运输局</w:t>
      </w:r>
      <w:r>
        <w:rPr>
          <w:rFonts w:hint="eastAsia" w:ascii="仿宋_GB2312" w:hAnsi="仿宋_GB2312" w:cs="仿宋_GB2312"/>
        </w:rPr>
        <w:t>：负责组织、指导损毁道路交通设施抢修工作，优先抢通灾民疏散、救灾物资、救灾人员运输的通行线路，重点确保高速公路、国道和主要省道干线及灾区进出口的交通通畅及抢险救援队伍、装备、物资运送等；协调提供转移受灾人员所需的交通工具；及时统计报告全市交通设施因灾毁损情况；督促和协调有关交通运输企业，做好灾后隐患排查和安全生产工作；组织、协调全市交通设施灾后恢复重建工作。</w:t>
      </w:r>
    </w:p>
    <w:p>
      <w:pPr>
        <w:adjustRightInd w:val="0"/>
        <w:snapToGrid w:val="0"/>
        <w:spacing w:line="560" w:lineRule="exact"/>
        <w:ind w:firstLine="640"/>
        <w:rPr>
          <w:rFonts w:ascii="仿宋_GB2312" w:hAnsi="仿宋_GB2312" w:cs="仿宋_GB2312"/>
        </w:rPr>
      </w:pPr>
      <w:r>
        <w:rPr>
          <w:rFonts w:hint="eastAsia" w:ascii="仿宋_GB2312" w:hAnsi="仿宋_GB2312" w:cs="仿宋_GB2312"/>
          <w:b/>
          <w:bCs/>
        </w:rPr>
        <w:t>市水务局</w:t>
      </w:r>
      <w:r>
        <w:rPr>
          <w:rFonts w:hint="eastAsia" w:ascii="仿宋_GB2312" w:hAnsi="仿宋_GB2312" w:cs="仿宋_GB2312"/>
        </w:rPr>
        <w:t>：负责水文监测和预警预报，组织清疏河道，指导排水运管单位抽排积水；组织协调全市水利设施排险除险工作，按职责对河流、水库、泵站等工程设施实施防洪排涝和抗旱调度；承担防御洪水应急抢险的技术支撑工作；做好受灾地区生活、生产经营和生态环境用水的统筹和保障，组织指导水利工程设施和城市供水工程设施抢修工作；及时统计报告全市水利基础设施因灾毁损情况；积极争取水利部、省水利厅等部门支持，加大市级资金投入，做好防灾减灾水利基础设施恢复重建工作。</w:t>
      </w:r>
    </w:p>
    <w:p>
      <w:pPr>
        <w:adjustRightInd w:val="0"/>
        <w:snapToGrid w:val="0"/>
        <w:spacing w:line="560" w:lineRule="exact"/>
        <w:ind w:firstLine="640"/>
        <w:rPr>
          <w:rFonts w:ascii="仿宋_GB2312" w:hAnsi="仿宋_GB2312" w:cs="仿宋_GB2312"/>
        </w:rPr>
      </w:pPr>
      <w:r>
        <w:rPr>
          <w:rFonts w:hint="eastAsia" w:ascii="仿宋_GB2312" w:hAnsi="仿宋_GB2312" w:cs="仿宋_GB2312"/>
          <w:b/>
          <w:bCs/>
        </w:rPr>
        <w:t>市商务局</w:t>
      </w:r>
      <w:r>
        <w:rPr>
          <w:rFonts w:hint="eastAsia" w:ascii="仿宋_GB2312" w:hAnsi="仿宋_GB2312" w:cs="仿宋_GB2312"/>
        </w:rPr>
        <w:t>：组织协调重点连锁超市保障生活必需品市场供应稳定，协调成品油供应企业保障抢险救灾现场的成品油市场供应。</w:t>
      </w:r>
    </w:p>
    <w:p>
      <w:pPr>
        <w:adjustRightInd w:val="0"/>
        <w:snapToGrid w:val="0"/>
        <w:spacing w:line="560" w:lineRule="exact"/>
        <w:ind w:firstLine="640"/>
        <w:rPr>
          <w:rFonts w:ascii="仿宋_GB2312" w:hAnsi="仿宋_GB2312" w:cs="仿宋_GB2312"/>
        </w:rPr>
      </w:pPr>
      <w:r>
        <w:rPr>
          <w:rFonts w:hint="eastAsia" w:ascii="仿宋_GB2312" w:hAnsi="仿宋_GB2312" w:cs="仿宋_GB2312"/>
          <w:b/>
          <w:bCs/>
        </w:rPr>
        <w:t>市文化广电旅游体育局</w:t>
      </w:r>
      <w:r>
        <w:rPr>
          <w:rFonts w:hint="eastAsia" w:ascii="仿宋_GB2312" w:hAnsi="仿宋_GB2312" w:cs="仿宋_GB2312"/>
        </w:rPr>
        <w:t>：负责完善广播电视传输覆盖网络，按照国家标准建立应急广播体系；指导受灾地区广播、电视系统设施的应急抢修和恢复重建工作；协调广播电视机构做好救灾工作宣传报道；指导A级旅游景区、文体场馆、星级酒店及相关企业和单位做好游客的安全疏散工作；及时统计报告全市</w:t>
      </w:r>
      <w:r>
        <w:rPr>
          <w:rFonts w:ascii="仿宋_GB2312" w:hAnsi="仿宋_GB2312" w:cs="仿宋_GB2312"/>
        </w:rPr>
        <w:t>A级旅游景区、文体场馆、星级酒店及相关企业和单位受灾情况；指导文化和体育场所开放，协助安置受灾人员，组织落实有关应急避难场所管理工作。</w:t>
      </w:r>
    </w:p>
    <w:p>
      <w:pPr>
        <w:adjustRightInd w:val="0"/>
        <w:snapToGrid w:val="0"/>
        <w:spacing w:line="560" w:lineRule="exact"/>
        <w:ind w:firstLine="640"/>
        <w:rPr>
          <w:rFonts w:ascii="仿宋_GB2312" w:hAnsi="仿宋_GB2312" w:cs="仿宋_GB2312"/>
        </w:rPr>
      </w:pPr>
      <w:r>
        <w:rPr>
          <w:rFonts w:hint="eastAsia" w:ascii="仿宋_GB2312" w:hAnsi="仿宋_GB2312" w:cs="仿宋_GB2312"/>
          <w:b/>
          <w:bCs/>
        </w:rPr>
        <w:t>市卫生健康委</w:t>
      </w:r>
      <w:r>
        <w:rPr>
          <w:rFonts w:hint="eastAsia" w:ascii="仿宋_GB2312" w:hAnsi="仿宋_GB2312" w:cs="仿宋_GB2312"/>
        </w:rPr>
        <w:t>：负责合理调配医疗卫生资源，及时组织医疗卫生队伍赴受灾地区协助做好受灾地区医疗救治、疾病预防控制和心理援助等工作；加强受灾地区饮用水卫生监督工作；及时统计报告全市卫生健康领域受灾情况；负责卫生健康基础设施恢复重建工作；开展疾病预防控制和医疗急救知识宣传培训及演练。</w:t>
      </w:r>
    </w:p>
    <w:p>
      <w:pPr>
        <w:adjustRightInd w:val="0"/>
        <w:snapToGrid w:val="0"/>
        <w:spacing w:line="560" w:lineRule="exact"/>
        <w:ind w:firstLine="640"/>
        <w:rPr>
          <w:rFonts w:ascii="仿宋_GB2312" w:hAnsi="仿宋_GB2312" w:cs="仿宋_GB2312"/>
        </w:rPr>
      </w:pPr>
      <w:r>
        <w:rPr>
          <w:rFonts w:hint="eastAsia" w:ascii="仿宋_GB2312" w:hAnsi="仿宋_GB2312" w:cs="仿宋_GB2312"/>
          <w:b/>
          <w:bCs/>
        </w:rPr>
        <w:t>市应急管理局</w:t>
      </w:r>
      <w:r>
        <w:rPr>
          <w:rFonts w:hint="eastAsia" w:ascii="仿宋_GB2312" w:hAnsi="仿宋_GB2312" w:cs="仿宋_GB2312"/>
        </w:rPr>
        <w:t>：负责组织、协调救灾工作；开展灾情核查、损失评估工作；发布灾情信息和抢险救灾工作情况；必要时，会同市财政局向中央、省申请自然灾害生活补助资金、救灾物资；会同市发展改革委调拨救灾物资；会同有关部门转移安置受灾人员，开展受灾人员生活救助；组织、指导、协调全市应急避难场所管理工作；指导协调因灾倒损民房恢复重建工作；指导救灾捐赠；负责危险化学品安全监督管理，防范次生灾害；做好地震防灾减灾及灾害救助工作。</w:t>
      </w:r>
    </w:p>
    <w:p>
      <w:pPr>
        <w:pStyle w:val="30"/>
        <w:adjustRightInd w:val="0"/>
        <w:snapToGrid w:val="0"/>
        <w:spacing w:before="0" w:beforeAutospacing="0" w:after="0" w:afterAutospacing="0" w:line="560" w:lineRule="exact"/>
        <w:ind w:firstLine="642" w:firstLineChars="200"/>
        <w:rPr>
          <w:rFonts w:ascii="仿宋_GB2312" w:hAnsi="Times New Roman" w:eastAsia="仿宋_GB2312"/>
          <w:kern w:val="2"/>
          <w:sz w:val="32"/>
          <w:szCs w:val="32"/>
        </w:rPr>
      </w:pPr>
      <w:r>
        <w:rPr>
          <w:rFonts w:hint="eastAsia" w:ascii="仿宋_GB2312" w:hAnsi="Times New Roman" w:eastAsia="仿宋_GB2312"/>
          <w:b/>
          <w:kern w:val="2"/>
          <w:sz w:val="32"/>
          <w:szCs w:val="32"/>
        </w:rPr>
        <w:t>市市场监管局：</w:t>
      </w:r>
      <w:r>
        <w:rPr>
          <w:rFonts w:hint="eastAsia" w:ascii="仿宋_GB2312" w:hAnsi="Times New Roman" w:eastAsia="仿宋_GB2312"/>
          <w:kern w:val="2"/>
          <w:sz w:val="32"/>
          <w:szCs w:val="32"/>
        </w:rPr>
        <w:t>负责加强受灾地区市场监管，保障市场物资和农产品供应，依法查处价格违法行为；依法打击制售假冒伪劣救灾物资违法行为；负责受灾地区药品及相关产品的质量安全监管，确保受灾地区药品安全；负责重大动物疫情和农作物重大病虫害监测预警，指导受灾地区开展防控工作；指导开展种子、动物疫苗、消毒药品等物资储备和调拨，指导农业救灾和灾后复产；及时统计报告全市农业受损情况。</w:t>
      </w:r>
    </w:p>
    <w:p>
      <w:pPr>
        <w:pStyle w:val="30"/>
        <w:adjustRightInd w:val="0"/>
        <w:snapToGrid w:val="0"/>
        <w:spacing w:before="0" w:beforeAutospacing="0" w:after="0" w:afterAutospacing="0" w:line="560" w:lineRule="exact"/>
        <w:ind w:firstLine="642" w:firstLineChars="200"/>
        <w:rPr>
          <w:rFonts w:ascii="仿宋_GB2312" w:hAnsi="Times New Roman" w:eastAsia="仿宋_GB2312"/>
          <w:kern w:val="2"/>
          <w:sz w:val="32"/>
          <w:szCs w:val="32"/>
        </w:rPr>
      </w:pPr>
      <w:r>
        <w:rPr>
          <w:rFonts w:hint="eastAsia" w:ascii="仿宋_GB2312" w:hAnsi="Times New Roman" w:eastAsia="仿宋_GB2312"/>
          <w:b/>
          <w:bCs/>
          <w:kern w:val="2"/>
          <w:sz w:val="32"/>
          <w:szCs w:val="32"/>
        </w:rPr>
        <w:t>市乡村振兴和协作交流局</w:t>
      </w:r>
      <w:r>
        <w:rPr>
          <w:rFonts w:hint="eastAsia" w:ascii="仿宋_GB2312" w:hAnsi="Times New Roman" w:eastAsia="仿宋_GB2312"/>
          <w:kern w:val="2"/>
          <w:sz w:val="32"/>
          <w:szCs w:val="32"/>
        </w:rPr>
        <w:t>：协助开展深汕特别合作区乡村灾后救助及恢复重建工作，协助开展农村基础设施灾情统计及核灾定损工作，指导农户开展灾后救助工作。</w:t>
      </w:r>
    </w:p>
    <w:p>
      <w:pPr>
        <w:adjustRightInd w:val="0"/>
        <w:snapToGrid w:val="0"/>
        <w:spacing w:line="560" w:lineRule="exact"/>
        <w:ind w:firstLine="640"/>
        <w:rPr>
          <w:rFonts w:ascii="仿宋_GB2312" w:hAnsi="仿宋_GB2312" w:cs="仿宋_GB2312"/>
        </w:rPr>
      </w:pPr>
      <w:r>
        <w:rPr>
          <w:rFonts w:hint="eastAsia" w:ascii="仿宋_GB2312" w:hAnsi="仿宋_GB2312" w:cs="仿宋_GB2312"/>
          <w:b/>
          <w:bCs/>
        </w:rPr>
        <w:t>市统计局</w:t>
      </w:r>
      <w:r>
        <w:rPr>
          <w:rFonts w:hint="eastAsia" w:ascii="仿宋_GB2312" w:hAnsi="仿宋_GB2312" w:cs="仿宋_GB2312"/>
        </w:rPr>
        <w:t>：负责向有关单位开展灾情统计工作提供业务指导；协助有关单位按照应急管理部、国家统计局制订的《自然灾害情况统计调查制度》，做好灾情信息的收集、汇总、分析、整理、上报工作。</w:t>
      </w:r>
    </w:p>
    <w:p>
      <w:pPr>
        <w:adjustRightInd w:val="0"/>
        <w:snapToGrid w:val="0"/>
        <w:spacing w:line="560" w:lineRule="exact"/>
        <w:ind w:firstLine="640"/>
        <w:rPr>
          <w:rFonts w:ascii="仿宋_GB2312" w:hAnsi="仿宋_GB2312" w:cs="仿宋_GB2312"/>
          <w:b/>
          <w:bCs/>
        </w:rPr>
      </w:pPr>
      <w:r>
        <w:rPr>
          <w:rFonts w:hint="eastAsia" w:ascii="仿宋_GB2312" w:hAnsi="仿宋_GB2312" w:cs="仿宋_GB2312"/>
          <w:b/>
          <w:bCs/>
        </w:rPr>
        <w:t>国家金融监督管理总局深圳监管局：</w:t>
      </w:r>
      <w:r>
        <w:rPr>
          <w:rFonts w:hint="eastAsia" w:ascii="仿宋_GB2312" w:hAnsi="仿宋_GB2312" w:cs="仿宋_GB2312"/>
        </w:rPr>
        <w:t>负责加强保险行业监管，引导保险机构参与防灾减灾救灾工作。指导和监督受灾地区金融监管部门做好稳定受灾地金融秩序相关工作，指导协调保险机构及时开展受灾地区的保险理赔，支持灾后恢复重建。</w:t>
      </w:r>
    </w:p>
    <w:p>
      <w:pPr>
        <w:adjustRightInd w:val="0"/>
        <w:snapToGrid w:val="0"/>
        <w:spacing w:line="560" w:lineRule="exact"/>
        <w:ind w:firstLine="640"/>
        <w:rPr>
          <w:rFonts w:ascii="仿宋_GB2312" w:hAnsi="仿宋_GB2312" w:cs="仿宋_GB2312"/>
        </w:rPr>
      </w:pPr>
      <w:r>
        <w:rPr>
          <w:rFonts w:hint="eastAsia" w:ascii="仿宋_GB2312" w:hAnsi="仿宋_GB2312" w:cs="仿宋_GB2312"/>
          <w:b/>
          <w:bCs/>
        </w:rPr>
        <w:t>市地方金融监管局</w:t>
      </w:r>
      <w:r>
        <w:rPr>
          <w:rFonts w:hint="eastAsia" w:ascii="仿宋_GB2312" w:hAnsi="仿宋_GB2312" w:cs="仿宋_GB2312"/>
        </w:rPr>
        <w:t>：负责配合受灾行政区政府和国家金融监督管理总局深圳监管局做好稳定受灾地金融秩序相关工作，协调各金融机构做好灾后金融服务、灾后信贷支持和金融风险防范，全力助推灾后恢复重建。</w:t>
      </w:r>
    </w:p>
    <w:p>
      <w:pPr>
        <w:adjustRightInd w:val="0"/>
        <w:snapToGrid w:val="0"/>
        <w:spacing w:line="560" w:lineRule="exact"/>
        <w:ind w:firstLine="640"/>
        <w:rPr>
          <w:rFonts w:ascii="仿宋_GB2312" w:hAnsi="仿宋_GB2312" w:cs="仿宋_GB2312"/>
        </w:rPr>
      </w:pPr>
      <w:r>
        <w:rPr>
          <w:rFonts w:hint="eastAsia" w:ascii="仿宋_GB2312" w:hAnsi="仿宋_GB2312" w:cs="仿宋_GB2312"/>
          <w:b/>
          <w:bCs/>
        </w:rPr>
        <w:t>市城管和综合执法局</w:t>
      </w:r>
      <w:r>
        <w:rPr>
          <w:rFonts w:hint="eastAsia" w:ascii="仿宋_GB2312" w:hAnsi="仿宋_GB2312" w:cs="仿宋_GB2312"/>
        </w:rPr>
        <w:t>：负责组织落实市属公园和绿地应急避难场所管理工作；负责公园和绿地冲毁、流沙、滑坡、人行道树木断枝等险情的协调处理；督促有关管理单位加强户外广告设施、城市照明设施的检查和加固；做好灾后倒伏树木和生活垃圾清运、管理职责范围内的市政设施维护等市容市貌恢复工作。</w:t>
      </w:r>
    </w:p>
    <w:p>
      <w:pPr>
        <w:adjustRightInd w:val="0"/>
        <w:snapToGrid w:val="0"/>
        <w:spacing w:line="560" w:lineRule="exact"/>
        <w:ind w:firstLine="640"/>
        <w:rPr>
          <w:rFonts w:hint="eastAsia" w:ascii="仿宋_GB2312" w:hAnsi="仿宋_GB2312" w:cs="仿宋_GB2312"/>
        </w:rPr>
      </w:pPr>
      <w:r>
        <w:rPr>
          <w:rFonts w:hint="eastAsia" w:ascii="仿宋_GB2312" w:hAnsi="仿宋_GB2312" w:cs="仿宋_GB2312"/>
          <w:b/>
          <w:bCs/>
        </w:rPr>
        <w:t>市港澳办：</w:t>
      </w:r>
      <w:r>
        <w:rPr>
          <w:rFonts w:hint="eastAsia" w:ascii="仿宋_GB2312" w:hAnsi="仿宋_GB2312" w:cs="仿宋_GB2312"/>
        </w:rPr>
        <w:t>负责深港澳区域灾害救助协调联动及在深受灾港澳人员救助的协调联络工作；协助做好深港澳区域救灾物资捐赠款物的接收、管理和分配工作。</w:t>
      </w:r>
    </w:p>
    <w:p>
      <w:pPr>
        <w:adjustRightInd w:val="0"/>
        <w:snapToGrid w:val="0"/>
        <w:spacing w:line="560" w:lineRule="exact"/>
        <w:ind w:firstLine="640"/>
        <w:rPr>
          <w:rFonts w:ascii="仿宋_GB2312" w:hAnsi="仿宋_GB2312" w:cs="仿宋_GB2312"/>
        </w:rPr>
      </w:pPr>
      <w:r>
        <w:rPr>
          <w:rFonts w:hint="eastAsia" w:ascii="仿宋_GB2312" w:hAnsi="仿宋_GB2312" w:cs="仿宋_GB2312"/>
          <w:b/>
          <w:bCs/>
        </w:rPr>
        <w:t>市</w:t>
      </w:r>
      <w:r>
        <w:rPr>
          <w:rFonts w:hint="eastAsia" w:ascii="仿宋_GB2312" w:hAnsi="仿宋_GB2312" w:cs="仿宋_GB2312"/>
          <w:b/>
          <w:bCs/>
          <w:lang w:val="en-US" w:eastAsia="zh-CN"/>
        </w:rPr>
        <w:t>委</w:t>
      </w:r>
      <w:r>
        <w:rPr>
          <w:rFonts w:hint="eastAsia" w:ascii="仿宋_GB2312" w:hAnsi="仿宋_GB2312" w:cs="仿宋_GB2312"/>
          <w:b/>
          <w:bCs/>
        </w:rPr>
        <w:t>外办：</w:t>
      </w:r>
      <w:r>
        <w:rPr>
          <w:rFonts w:hint="eastAsia" w:ascii="仿宋_GB2312" w:hAnsi="仿宋_GB2312" w:cs="仿宋_GB2312"/>
        </w:rPr>
        <w:t>协调指导相关部门做好与驻华使馆及领事机构联系沟通通报等涉外工作，协助做好外国驻深媒体采访报道的管理与服务工作。</w:t>
      </w:r>
    </w:p>
    <w:p>
      <w:pPr>
        <w:adjustRightInd w:val="0"/>
        <w:snapToGrid w:val="0"/>
        <w:spacing w:line="560" w:lineRule="exact"/>
        <w:ind w:firstLine="640"/>
        <w:rPr>
          <w:rFonts w:ascii="仿宋_GB2312" w:hAnsi="仿宋_GB2312" w:cs="仿宋_GB2312"/>
        </w:rPr>
      </w:pPr>
      <w:r>
        <w:rPr>
          <w:rFonts w:hint="eastAsia" w:ascii="仿宋_GB2312" w:hAnsi="仿宋_GB2312" w:cs="仿宋_GB2312"/>
          <w:b/>
          <w:bCs/>
        </w:rPr>
        <w:t>市气象局</w:t>
      </w:r>
      <w:r>
        <w:rPr>
          <w:rFonts w:hint="eastAsia" w:ascii="仿宋_GB2312" w:hAnsi="仿宋_GB2312" w:cs="仿宋_GB2312"/>
        </w:rPr>
        <w:t>：负责发布灾害性天气预报、预警，为防灾抗灾救灾提供服务；开展气象灾害防灾减灾知识宣传和气象灾害情况调查评估工作。</w:t>
      </w:r>
    </w:p>
    <w:p>
      <w:pPr>
        <w:adjustRightInd w:val="0"/>
        <w:snapToGrid w:val="0"/>
        <w:spacing w:line="560" w:lineRule="exact"/>
        <w:ind w:firstLine="640"/>
        <w:rPr>
          <w:rFonts w:ascii="仿宋_GB2312" w:hAnsi="仿宋_GB2312" w:cs="仿宋_GB2312"/>
        </w:rPr>
      </w:pPr>
      <w:r>
        <w:rPr>
          <w:rFonts w:hint="eastAsia" w:ascii="仿宋_GB2312" w:hAnsi="仿宋_GB2312" w:cs="仿宋_GB2312"/>
          <w:b/>
          <w:bCs/>
        </w:rPr>
        <w:t>市通信管理局</w:t>
      </w:r>
      <w:r>
        <w:rPr>
          <w:rFonts w:hint="eastAsia" w:ascii="仿宋_GB2312" w:hAnsi="仿宋_GB2312" w:cs="仿宋_GB2312"/>
        </w:rPr>
        <w:t>：负责协调各基础电信运营企业配合有关单位及时、准确发送自然灾害预警预报信息；做好公用网络应急通信保障和受灾地区通信设施的抢修工作，保障灾害救灾现场等重要场所公用通信网络畅通；及时统计报告全市通信行业受损情况。</w:t>
      </w:r>
    </w:p>
    <w:p>
      <w:pPr>
        <w:adjustRightInd w:val="0"/>
        <w:snapToGrid w:val="0"/>
        <w:spacing w:line="560" w:lineRule="exact"/>
        <w:ind w:firstLine="640"/>
        <w:rPr>
          <w:rFonts w:ascii="仿宋_GB2312" w:hAnsi="仿宋_GB2312" w:cs="仿宋_GB2312"/>
        </w:rPr>
      </w:pPr>
      <w:r>
        <w:rPr>
          <w:rFonts w:hint="eastAsia" w:ascii="仿宋_GB2312" w:hAnsi="仿宋_GB2312" w:cs="仿宋_GB2312"/>
          <w:b/>
          <w:bCs/>
        </w:rPr>
        <w:t>团市委</w:t>
      </w:r>
      <w:r>
        <w:rPr>
          <w:rFonts w:hint="eastAsia" w:ascii="仿宋_GB2312" w:hAnsi="仿宋_GB2312" w:cs="仿宋_GB2312"/>
        </w:rPr>
        <w:t>：组织志愿者队伍参与救助应急救援、心理辅导等工作。</w:t>
      </w:r>
    </w:p>
    <w:p>
      <w:pPr>
        <w:adjustRightInd w:val="0"/>
        <w:snapToGrid w:val="0"/>
        <w:spacing w:line="560" w:lineRule="exact"/>
        <w:ind w:firstLine="640"/>
        <w:rPr>
          <w:rFonts w:ascii="仿宋_GB2312" w:hAnsi="仿宋_GB2312" w:cs="仿宋_GB2312"/>
        </w:rPr>
      </w:pPr>
      <w:r>
        <w:rPr>
          <w:rFonts w:hint="eastAsia" w:ascii="仿宋_GB2312" w:hAnsi="仿宋_GB2312" w:cs="仿宋_GB2312"/>
          <w:b/>
          <w:bCs/>
        </w:rPr>
        <w:t>市科协</w:t>
      </w:r>
      <w:r>
        <w:rPr>
          <w:rFonts w:hint="eastAsia" w:ascii="仿宋_GB2312" w:hAnsi="仿宋_GB2312" w:cs="仿宋_GB2312"/>
        </w:rPr>
        <w:t>：负责协调所属学会抗灾救灾科技服务活动；组织所属学会开展防灾减灾科普宣传。</w:t>
      </w:r>
    </w:p>
    <w:p>
      <w:pPr>
        <w:adjustRightInd w:val="0"/>
        <w:snapToGrid w:val="0"/>
        <w:spacing w:line="560" w:lineRule="exact"/>
        <w:ind w:firstLine="640"/>
        <w:rPr>
          <w:rFonts w:ascii="仿宋_GB2312" w:hAnsi="仿宋_GB2312" w:cs="仿宋_GB2312"/>
        </w:rPr>
      </w:pPr>
      <w:r>
        <w:rPr>
          <w:rFonts w:hint="eastAsia" w:ascii="仿宋_GB2312" w:hAnsi="仿宋_GB2312" w:cs="仿宋_GB2312"/>
          <w:b/>
          <w:bCs/>
        </w:rPr>
        <w:t>深圳警备区</w:t>
      </w:r>
      <w:r>
        <w:rPr>
          <w:rFonts w:hint="eastAsia" w:ascii="仿宋_GB2312" w:hAnsi="仿宋_GB2312" w:cs="仿宋_GB2312"/>
        </w:rPr>
        <w:t>：负责做好抢险救灾的相应准备，必要时组织协调驻深部队、武警部队和民兵预备役等单位参与抢险救灾，协助地方人民政府转移人员。</w:t>
      </w:r>
    </w:p>
    <w:p>
      <w:pPr>
        <w:pStyle w:val="2"/>
        <w:ind w:firstLine="643"/>
      </w:pPr>
      <w:r>
        <w:rPr>
          <w:rFonts w:hint="eastAsia" w:ascii="仿宋_GB2312" w:hAnsi="仿宋_GB2312" w:eastAsia="仿宋_GB2312" w:cs="仿宋_GB2312"/>
          <w:b/>
          <w:bCs/>
          <w:lang w:val="en-US" w:bidi="ar-SA"/>
        </w:rPr>
        <w:t>市消防救援支队：</w:t>
      </w:r>
      <w:r>
        <w:rPr>
          <w:rFonts w:hint="eastAsia" w:ascii="仿宋_GB2312" w:hAnsi="仿宋_GB2312" w:eastAsia="仿宋_GB2312" w:cs="仿宋_GB2312"/>
          <w:lang w:val="en-US" w:bidi="ar-SA"/>
        </w:rPr>
        <w:t>负责组织消防救援队伍参加救灾，协助受灾地区政府转移受灾群众。</w:t>
      </w:r>
    </w:p>
    <w:p>
      <w:pPr>
        <w:adjustRightInd w:val="0"/>
        <w:snapToGrid w:val="0"/>
        <w:spacing w:line="560" w:lineRule="exact"/>
        <w:ind w:firstLine="640"/>
        <w:rPr>
          <w:rFonts w:ascii="仿宋_GB2312" w:hAnsi="仿宋_GB2312" w:cs="仿宋_GB2312"/>
        </w:rPr>
      </w:pPr>
      <w:r>
        <w:rPr>
          <w:rFonts w:hint="eastAsia" w:ascii="仿宋_GB2312" w:hAnsi="仿宋_GB2312" w:cs="仿宋_GB2312"/>
          <w:b/>
          <w:bCs/>
        </w:rPr>
        <w:t>市红十字会</w:t>
      </w:r>
      <w:r>
        <w:rPr>
          <w:rFonts w:hint="eastAsia" w:ascii="仿宋_GB2312" w:hAnsi="仿宋_GB2312" w:cs="仿宋_GB2312"/>
        </w:rPr>
        <w:t>：负责组织志愿者和社会力量参与救灾救助（含受灾人员心理救援），依法开展救灾募捐和灾害救助活动；根据市政府统一部署，参与灾后重建工作；协助开展群众性防灾避灾、应急救护知识与技能普及宣传工作。</w:t>
      </w:r>
    </w:p>
    <w:p>
      <w:pPr>
        <w:adjustRightInd w:val="0"/>
        <w:snapToGrid w:val="0"/>
        <w:spacing w:line="560" w:lineRule="exact"/>
        <w:ind w:firstLine="642" w:firstLineChars="200"/>
        <w:rPr>
          <w:rFonts w:ascii="仿宋_GB2312" w:hAnsi="宋体"/>
        </w:rPr>
      </w:pPr>
      <w:r>
        <w:rPr>
          <w:rFonts w:hint="eastAsia" w:ascii="仿宋_GB2312" w:hAnsi="宋体"/>
          <w:b/>
          <w:bCs/>
        </w:rPr>
        <w:t>深圳供电局：</w:t>
      </w:r>
      <w:r>
        <w:rPr>
          <w:rFonts w:hint="eastAsia" w:ascii="仿宋_GB2312" w:hAnsi="仿宋_GB2312" w:cs="仿宋_GB2312"/>
        </w:rPr>
        <w:t>防范产权范围内电力系统受损，组织开展受损电力设备设施抢修；实施调管范围内供电调度，保障管辖范围内抢险救灾现场用电以及各级指挥机构用电，保障受灾地区电力供应。</w:t>
      </w:r>
    </w:p>
    <w:p>
      <w:pPr>
        <w:adjustRightInd w:val="0"/>
        <w:snapToGrid w:val="0"/>
        <w:spacing w:line="560" w:lineRule="exact"/>
        <w:ind w:firstLine="640"/>
        <w:rPr>
          <w:rFonts w:ascii="仿宋_GB2312" w:hAnsi="仿宋_GB2312" w:cs="仿宋_GB2312"/>
        </w:rPr>
      </w:pPr>
      <w:r>
        <w:rPr>
          <w:rFonts w:hint="eastAsia" w:ascii="仿宋_GB2312" w:hAnsi="仿宋_GB2312" w:cs="仿宋_GB2312"/>
          <w:b/>
          <w:bCs/>
        </w:rPr>
        <w:t>地铁集团</w:t>
      </w:r>
      <w:r>
        <w:rPr>
          <w:rFonts w:hint="eastAsia" w:ascii="仿宋_GB2312" w:hAnsi="仿宋_GB2312" w:cs="仿宋_GB2312"/>
        </w:rPr>
        <w:t>：负责组织开展场站和交通工具内的人员保护、疏散；及时统计报告所辖在建地铁工地、运营线路及上盖物业等的受灾情况。</w:t>
      </w:r>
    </w:p>
    <w:p>
      <w:pPr>
        <w:adjustRightInd w:val="0"/>
        <w:snapToGrid w:val="0"/>
        <w:spacing w:line="560" w:lineRule="exact"/>
        <w:ind w:firstLine="640"/>
        <w:rPr>
          <w:rFonts w:ascii="仿宋_GB2312" w:hAnsi="仿宋_GB2312" w:cs="仿宋_GB2312"/>
        </w:rPr>
      </w:pPr>
      <w:r>
        <w:rPr>
          <w:rFonts w:hint="eastAsia" w:ascii="仿宋_GB2312" w:hAnsi="仿宋_GB2312" w:cs="仿宋_GB2312"/>
          <w:b/>
          <w:bCs/>
        </w:rPr>
        <w:t>机场集团</w:t>
      </w:r>
      <w:r>
        <w:rPr>
          <w:rFonts w:hint="eastAsia" w:ascii="仿宋_GB2312" w:hAnsi="仿宋_GB2312" w:cs="仿宋_GB2312"/>
        </w:rPr>
        <w:t>：负责组织开展场站和交通工具内的人员保护、疏散；负责为抢险救灾提供必要的航空运输保障。</w:t>
      </w:r>
    </w:p>
    <w:p>
      <w:pPr>
        <w:adjustRightInd w:val="0"/>
        <w:snapToGrid w:val="0"/>
        <w:spacing w:line="560" w:lineRule="exact"/>
        <w:ind w:firstLine="640"/>
        <w:jc w:val="left"/>
      </w:pPr>
      <w:r>
        <w:rPr>
          <w:rFonts w:hint="eastAsia" w:ascii="仿宋_GB2312" w:hAnsi="仿宋_GB2312" w:cs="仿宋_GB2312"/>
          <w:b/>
          <w:bCs/>
        </w:rPr>
        <w:t>深圳报业集团、深圳广电集团</w:t>
      </w:r>
      <w:r>
        <w:rPr>
          <w:rFonts w:hint="eastAsia" w:ascii="仿宋_GB2312" w:hAnsi="仿宋_GB2312" w:cs="仿宋_GB2312"/>
        </w:rPr>
        <w:t>：负责及时、准确报道自然灾害救助</w:t>
      </w:r>
      <w:r>
        <w:rPr>
          <w:rFonts w:hint="eastAsia"/>
        </w:rPr>
        <w:t>工作状况；按照市级自然灾害救助分级响应要求播报预警信息，及时向公众播报灾情信息，做好宣传报道工作，正面引导舆论，弘扬社会正气。</w:t>
      </w:r>
    </w:p>
    <w:p/>
    <w:p>
      <w:pPr>
        <w:pStyle w:val="2"/>
        <w:ind w:firstLine="640"/>
        <w:rPr>
          <w:lang w:val="en-US"/>
        </w:rPr>
      </w:pPr>
    </w:p>
    <w:sectPr>
      <w:headerReference r:id="rId9" w:type="default"/>
      <w:footerReference r:id="rId10" w:type="default"/>
      <w:pgSz w:w="11905" w:h="16838"/>
      <w:pgMar w:top="2098" w:right="1474" w:bottom="1985" w:left="1588" w:header="284" w:footer="1588" w:gutter="0"/>
      <w:cols w:space="720" w:num="1"/>
      <w:docGrid w:type="lines" w:linePitch="58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8C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2" w:usb2="00000016" w:usb3="00000000" w:csb0="0004001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4988"/>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4988"/>
        <w:tab w:val="clear" w:pos="4153"/>
      </w:tabs>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sz w:val="22"/>
                              <w:szCs w:val="22"/>
                            </w:rPr>
                          </w:pPr>
                          <w:r>
                            <w:rPr>
                              <w:sz w:val="22"/>
                              <w:szCs w:val="22"/>
                            </w:rPr>
                            <w:t xml:space="preserve">—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6</w:t>
                          </w:r>
                          <w:r>
                            <w:rPr>
                              <w:sz w:val="22"/>
                              <w:szCs w:val="22"/>
                            </w:rPr>
                            <w:fldChar w:fldCharType="end"/>
                          </w:r>
                          <w:r>
                            <w:rPr>
                              <w:sz w:val="22"/>
                              <w:szCs w:val="22"/>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Bp+M3hYCAAAZBAAADgAAAAAAAAABACAAAAA1AQAAZHJzL2Uyb0RvYy54bWxQSwUGAAAAAAYA&#10;BgBZAQAAvQUAAAAA&#10;">
              <v:fill on="f" focussize="0,0"/>
              <v:stroke on="f" weight="0.5pt"/>
              <v:imagedata o:title=""/>
              <o:lock v:ext="edit" aspectratio="f"/>
              <v:textbox inset="0mm,0mm,0mm,0mm" style="mso-fit-shape-to-text:t;">
                <w:txbxContent>
                  <w:p>
                    <w:pPr>
                      <w:pStyle w:val="25"/>
                      <w:rPr>
                        <w:sz w:val="22"/>
                        <w:szCs w:val="22"/>
                      </w:rPr>
                    </w:pPr>
                    <w:r>
                      <w:rPr>
                        <w:sz w:val="22"/>
                        <w:szCs w:val="22"/>
                      </w:rPr>
                      <w:t xml:space="preserve">—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6</w:t>
                    </w:r>
                    <w:r>
                      <w:rPr>
                        <w:sz w:val="22"/>
                        <w:szCs w:val="22"/>
                      </w:rPr>
                      <w:fldChar w:fldCharType="end"/>
                    </w:r>
                    <w:r>
                      <w:rPr>
                        <w:sz w:val="22"/>
                        <w:szCs w:val="22"/>
                      </w:rPr>
                      <w:t xml:space="preserve"> —</w:t>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13</w:t>
                          </w:r>
                          <w:r>
                            <w:rPr>
                              <w:rFonts w:ascii="宋体" w:hAnsi="宋体" w:eastAsia="宋体" w:cs="宋体"/>
                              <w:sz w:val="28"/>
                              <w:szCs w:val="28"/>
                            </w:rPr>
                            <w:fldChar w:fldCharType="end"/>
                          </w:r>
                          <w:r>
                            <w:rPr>
                              <w:rFonts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13</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shape>
          </w:pict>
        </mc:Fallback>
      </mc:AlternateContent>
    </w:r>
  </w:p>
  <w:p>
    <w:pPr>
      <w:pStyle w:val="25"/>
      <w:spacing w:line="240" w:lineRule="auto"/>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45</w:t>
                          </w:r>
                          <w:r>
                            <w:rPr>
                              <w:rFonts w:ascii="宋体" w:hAnsi="宋体" w:eastAsia="宋体" w:cs="宋体"/>
                              <w:sz w:val="28"/>
                              <w:szCs w:val="28"/>
                            </w:rPr>
                            <w:fldChar w:fldCharType="end"/>
                          </w:r>
                          <w:r>
                            <w:rPr>
                              <w:rFonts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45</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shape>
          </w:pict>
        </mc:Fallback>
      </mc:AlternateContent>
    </w:r>
  </w:p>
  <w:p>
    <w:pPr>
      <w:pStyle w:val="25"/>
      <w:spacing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58"/>
  <w:drawingGridVerticalSpacing w:val="589"/>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3YmJjOWE5NjI5ZDE1OGY2M2ZiYzg2NDRjYTJjNGIifQ=="/>
    <w:docVar w:name="KGWebUrl" w:val="http://csfile.szoa.sz.gov.cn//file/download?md5Path=b1e6a86e3fa6b08d5e288ea823fac41a@245368&amp;webOffice=1&amp;identityId=3F7BD8E091ED4B15BE71CFD0DFCB9138&amp;token=aa0251583484431aa8ccc0685f0b9e05&amp;identityId=3F7BD8E091ED4B15BE71CFD0DFCB9138&amp;wjbh=B202119534&amp;hddyid=LCA010001_HD_01&amp;fileSrcName=2021_11_26_11_19_56_1F46D03AB357AECFF21D24829380E8A6.docx"/>
  </w:docVars>
  <w:rsids>
    <w:rsidRoot w:val="00F50432"/>
    <w:rsid w:val="000023E5"/>
    <w:rsid w:val="00002AC0"/>
    <w:rsid w:val="00003C9C"/>
    <w:rsid w:val="00004B92"/>
    <w:rsid w:val="000057CD"/>
    <w:rsid w:val="000065A7"/>
    <w:rsid w:val="00007D6C"/>
    <w:rsid w:val="00007E86"/>
    <w:rsid w:val="000124F9"/>
    <w:rsid w:val="00012B9C"/>
    <w:rsid w:val="00012DEC"/>
    <w:rsid w:val="00013ADE"/>
    <w:rsid w:val="00013E4A"/>
    <w:rsid w:val="0001486C"/>
    <w:rsid w:val="00015C6E"/>
    <w:rsid w:val="00015FBE"/>
    <w:rsid w:val="000217A6"/>
    <w:rsid w:val="00022DE6"/>
    <w:rsid w:val="00022F2C"/>
    <w:rsid w:val="000252EB"/>
    <w:rsid w:val="00030377"/>
    <w:rsid w:val="0003174B"/>
    <w:rsid w:val="000354C7"/>
    <w:rsid w:val="00040B0B"/>
    <w:rsid w:val="00042048"/>
    <w:rsid w:val="000448BF"/>
    <w:rsid w:val="000459E6"/>
    <w:rsid w:val="000560C4"/>
    <w:rsid w:val="00056E6B"/>
    <w:rsid w:val="00060BDC"/>
    <w:rsid w:val="00061E77"/>
    <w:rsid w:val="0006224A"/>
    <w:rsid w:val="00063BCE"/>
    <w:rsid w:val="0006409D"/>
    <w:rsid w:val="00064FD5"/>
    <w:rsid w:val="000674F8"/>
    <w:rsid w:val="000703F9"/>
    <w:rsid w:val="000717CB"/>
    <w:rsid w:val="00071E02"/>
    <w:rsid w:val="00072439"/>
    <w:rsid w:val="00074783"/>
    <w:rsid w:val="00075AAD"/>
    <w:rsid w:val="000767EC"/>
    <w:rsid w:val="00077AB7"/>
    <w:rsid w:val="000854EF"/>
    <w:rsid w:val="00085F0D"/>
    <w:rsid w:val="00090FC2"/>
    <w:rsid w:val="000910BB"/>
    <w:rsid w:val="00091607"/>
    <w:rsid w:val="00091FE3"/>
    <w:rsid w:val="00092228"/>
    <w:rsid w:val="00095271"/>
    <w:rsid w:val="000A06B9"/>
    <w:rsid w:val="000A1F5C"/>
    <w:rsid w:val="000A229C"/>
    <w:rsid w:val="000A26F8"/>
    <w:rsid w:val="000A475A"/>
    <w:rsid w:val="000A5AB5"/>
    <w:rsid w:val="000A6440"/>
    <w:rsid w:val="000A650B"/>
    <w:rsid w:val="000B10C2"/>
    <w:rsid w:val="000B2F41"/>
    <w:rsid w:val="000B5B9D"/>
    <w:rsid w:val="000B619F"/>
    <w:rsid w:val="000B6E7C"/>
    <w:rsid w:val="000B78CF"/>
    <w:rsid w:val="000B7941"/>
    <w:rsid w:val="000C0FD0"/>
    <w:rsid w:val="000C1417"/>
    <w:rsid w:val="000C47C6"/>
    <w:rsid w:val="000C4AB1"/>
    <w:rsid w:val="000C647A"/>
    <w:rsid w:val="000D360B"/>
    <w:rsid w:val="000D45B7"/>
    <w:rsid w:val="000E0520"/>
    <w:rsid w:val="000E11AA"/>
    <w:rsid w:val="000E1EC0"/>
    <w:rsid w:val="000E211A"/>
    <w:rsid w:val="000E33B1"/>
    <w:rsid w:val="000E42CF"/>
    <w:rsid w:val="000E5129"/>
    <w:rsid w:val="000F29D9"/>
    <w:rsid w:val="000F576F"/>
    <w:rsid w:val="000F64F9"/>
    <w:rsid w:val="000F6620"/>
    <w:rsid w:val="000F6898"/>
    <w:rsid w:val="000F6D98"/>
    <w:rsid w:val="00100B45"/>
    <w:rsid w:val="00101BBF"/>
    <w:rsid w:val="00103FE0"/>
    <w:rsid w:val="00106D26"/>
    <w:rsid w:val="00107D40"/>
    <w:rsid w:val="001116E7"/>
    <w:rsid w:val="00111F1D"/>
    <w:rsid w:val="00114EB6"/>
    <w:rsid w:val="001154A1"/>
    <w:rsid w:val="00116B52"/>
    <w:rsid w:val="00120967"/>
    <w:rsid w:val="00121993"/>
    <w:rsid w:val="00122084"/>
    <w:rsid w:val="00122763"/>
    <w:rsid w:val="001245B5"/>
    <w:rsid w:val="001325BB"/>
    <w:rsid w:val="00133D30"/>
    <w:rsid w:val="00134427"/>
    <w:rsid w:val="0013476C"/>
    <w:rsid w:val="00135474"/>
    <w:rsid w:val="00135750"/>
    <w:rsid w:val="00135ADB"/>
    <w:rsid w:val="00141681"/>
    <w:rsid w:val="0014221F"/>
    <w:rsid w:val="00143377"/>
    <w:rsid w:val="001444F7"/>
    <w:rsid w:val="0014639B"/>
    <w:rsid w:val="00146F41"/>
    <w:rsid w:val="001512A8"/>
    <w:rsid w:val="001514F5"/>
    <w:rsid w:val="00151909"/>
    <w:rsid w:val="001521F9"/>
    <w:rsid w:val="001529F4"/>
    <w:rsid w:val="00153289"/>
    <w:rsid w:val="00156582"/>
    <w:rsid w:val="00157576"/>
    <w:rsid w:val="001603DC"/>
    <w:rsid w:val="00160DC4"/>
    <w:rsid w:val="00163C6A"/>
    <w:rsid w:val="00165607"/>
    <w:rsid w:val="0017074C"/>
    <w:rsid w:val="001707A4"/>
    <w:rsid w:val="001708C9"/>
    <w:rsid w:val="00170AFA"/>
    <w:rsid w:val="00173D95"/>
    <w:rsid w:val="00177B37"/>
    <w:rsid w:val="0018021C"/>
    <w:rsid w:val="0018075D"/>
    <w:rsid w:val="00180C56"/>
    <w:rsid w:val="00182481"/>
    <w:rsid w:val="001872B0"/>
    <w:rsid w:val="00191FF0"/>
    <w:rsid w:val="00195655"/>
    <w:rsid w:val="001A0B72"/>
    <w:rsid w:val="001A1DA5"/>
    <w:rsid w:val="001A2063"/>
    <w:rsid w:val="001A2740"/>
    <w:rsid w:val="001A4961"/>
    <w:rsid w:val="001A49AC"/>
    <w:rsid w:val="001A4C9C"/>
    <w:rsid w:val="001A5FD8"/>
    <w:rsid w:val="001A70E7"/>
    <w:rsid w:val="001B09D6"/>
    <w:rsid w:val="001B56DE"/>
    <w:rsid w:val="001B69AE"/>
    <w:rsid w:val="001C2413"/>
    <w:rsid w:val="001C2E9F"/>
    <w:rsid w:val="001C4B28"/>
    <w:rsid w:val="001C73F4"/>
    <w:rsid w:val="001D4488"/>
    <w:rsid w:val="001D44C8"/>
    <w:rsid w:val="001D57FE"/>
    <w:rsid w:val="001D726C"/>
    <w:rsid w:val="001E314B"/>
    <w:rsid w:val="001E415C"/>
    <w:rsid w:val="001E4BAF"/>
    <w:rsid w:val="001E4DF3"/>
    <w:rsid w:val="001E6DC9"/>
    <w:rsid w:val="001E6E0C"/>
    <w:rsid w:val="001E73FF"/>
    <w:rsid w:val="001E7F0B"/>
    <w:rsid w:val="001F1596"/>
    <w:rsid w:val="001F3E6D"/>
    <w:rsid w:val="001F4A7A"/>
    <w:rsid w:val="001F6559"/>
    <w:rsid w:val="00200151"/>
    <w:rsid w:val="00200349"/>
    <w:rsid w:val="0020046B"/>
    <w:rsid w:val="00200C2C"/>
    <w:rsid w:val="00202F9C"/>
    <w:rsid w:val="002049E3"/>
    <w:rsid w:val="00205257"/>
    <w:rsid w:val="00205EBF"/>
    <w:rsid w:val="00206112"/>
    <w:rsid w:val="00206481"/>
    <w:rsid w:val="00206616"/>
    <w:rsid w:val="0020799A"/>
    <w:rsid w:val="0021152D"/>
    <w:rsid w:val="002123C9"/>
    <w:rsid w:val="0021318E"/>
    <w:rsid w:val="00214800"/>
    <w:rsid w:val="002160D5"/>
    <w:rsid w:val="002176D1"/>
    <w:rsid w:val="002228C9"/>
    <w:rsid w:val="00222978"/>
    <w:rsid w:val="0022770F"/>
    <w:rsid w:val="002365B1"/>
    <w:rsid w:val="002375BF"/>
    <w:rsid w:val="002378F3"/>
    <w:rsid w:val="00240008"/>
    <w:rsid w:val="00240051"/>
    <w:rsid w:val="00240120"/>
    <w:rsid w:val="00240401"/>
    <w:rsid w:val="00240EB7"/>
    <w:rsid w:val="002436F8"/>
    <w:rsid w:val="00244063"/>
    <w:rsid w:val="002445B6"/>
    <w:rsid w:val="00252F62"/>
    <w:rsid w:val="00252F6B"/>
    <w:rsid w:val="002559D2"/>
    <w:rsid w:val="002563B6"/>
    <w:rsid w:val="00266B64"/>
    <w:rsid w:val="00266D93"/>
    <w:rsid w:val="00266E3E"/>
    <w:rsid w:val="00267220"/>
    <w:rsid w:val="00267575"/>
    <w:rsid w:val="0027029C"/>
    <w:rsid w:val="0027116E"/>
    <w:rsid w:val="00272776"/>
    <w:rsid w:val="002730BA"/>
    <w:rsid w:val="0027392A"/>
    <w:rsid w:val="00274FBC"/>
    <w:rsid w:val="00275F67"/>
    <w:rsid w:val="00277892"/>
    <w:rsid w:val="00282CA5"/>
    <w:rsid w:val="0028324B"/>
    <w:rsid w:val="00285E84"/>
    <w:rsid w:val="00290287"/>
    <w:rsid w:val="0029175B"/>
    <w:rsid w:val="00294B77"/>
    <w:rsid w:val="002951B1"/>
    <w:rsid w:val="00295BE4"/>
    <w:rsid w:val="00296C7E"/>
    <w:rsid w:val="002A198D"/>
    <w:rsid w:val="002A2149"/>
    <w:rsid w:val="002A589F"/>
    <w:rsid w:val="002A59C9"/>
    <w:rsid w:val="002A63AE"/>
    <w:rsid w:val="002A7A6E"/>
    <w:rsid w:val="002B4A43"/>
    <w:rsid w:val="002B52EE"/>
    <w:rsid w:val="002B60C7"/>
    <w:rsid w:val="002C157F"/>
    <w:rsid w:val="002C1E8F"/>
    <w:rsid w:val="002C3B8E"/>
    <w:rsid w:val="002C4255"/>
    <w:rsid w:val="002C45AE"/>
    <w:rsid w:val="002C5F32"/>
    <w:rsid w:val="002C6A73"/>
    <w:rsid w:val="002C6F7D"/>
    <w:rsid w:val="002C7929"/>
    <w:rsid w:val="002C7A11"/>
    <w:rsid w:val="002D1AC8"/>
    <w:rsid w:val="002D3D82"/>
    <w:rsid w:val="002D3E65"/>
    <w:rsid w:val="002D438E"/>
    <w:rsid w:val="002D5A10"/>
    <w:rsid w:val="002D6509"/>
    <w:rsid w:val="002D72C1"/>
    <w:rsid w:val="002F0AB9"/>
    <w:rsid w:val="002F7BC4"/>
    <w:rsid w:val="002F7EAC"/>
    <w:rsid w:val="003028F3"/>
    <w:rsid w:val="0030298C"/>
    <w:rsid w:val="003049DF"/>
    <w:rsid w:val="00304DEF"/>
    <w:rsid w:val="0031022C"/>
    <w:rsid w:val="00311280"/>
    <w:rsid w:val="003145EF"/>
    <w:rsid w:val="0031515B"/>
    <w:rsid w:val="00315F6F"/>
    <w:rsid w:val="00316A27"/>
    <w:rsid w:val="00321F95"/>
    <w:rsid w:val="00322564"/>
    <w:rsid w:val="00323452"/>
    <w:rsid w:val="00323943"/>
    <w:rsid w:val="00324A4B"/>
    <w:rsid w:val="00324D25"/>
    <w:rsid w:val="00330553"/>
    <w:rsid w:val="00330D01"/>
    <w:rsid w:val="00332475"/>
    <w:rsid w:val="00334E81"/>
    <w:rsid w:val="00336B7E"/>
    <w:rsid w:val="0033798A"/>
    <w:rsid w:val="0034083F"/>
    <w:rsid w:val="003430AF"/>
    <w:rsid w:val="0034574E"/>
    <w:rsid w:val="003474D5"/>
    <w:rsid w:val="00352251"/>
    <w:rsid w:val="00352EB3"/>
    <w:rsid w:val="0035441F"/>
    <w:rsid w:val="00354AE2"/>
    <w:rsid w:val="00356813"/>
    <w:rsid w:val="00363AF7"/>
    <w:rsid w:val="003679DF"/>
    <w:rsid w:val="00370128"/>
    <w:rsid w:val="00370DA1"/>
    <w:rsid w:val="003722DF"/>
    <w:rsid w:val="00372799"/>
    <w:rsid w:val="00373F46"/>
    <w:rsid w:val="00374C02"/>
    <w:rsid w:val="003776F8"/>
    <w:rsid w:val="0037773D"/>
    <w:rsid w:val="00377D9F"/>
    <w:rsid w:val="003810CA"/>
    <w:rsid w:val="00383B0D"/>
    <w:rsid w:val="00383DCA"/>
    <w:rsid w:val="00385808"/>
    <w:rsid w:val="00390B92"/>
    <w:rsid w:val="00390CC9"/>
    <w:rsid w:val="00390E02"/>
    <w:rsid w:val="00390F51"/>
    <w:rsid w:val="003920E8"/>
    <w:rsid w:val="003949AF"/>
    <w:rsid w:val="003A23EC"/>
    <w:rsid w:val="003A5B83"/>
    <w:rsid w:val="003A5E73"/>
    <w:rsid w:val="003A6D0C"/>
    <w:rsid w:val="003B0FD3"/>
    <w:rsid w:val="003B1614"/>
    <w:rsid w:val="003B4725"/>
    <w:rsid w:val="003B4F94"/>
    <w:rsid w:val="003B64FE"/>
    <w:rsid w:val="003B6DB5"/>
    <w:rsid w:val="003B7544"/>
    <w:rsid w:val="003B75E8"/>
    <w:rsid w:val="003C10B0"/>
    <w:rsid w:val="003C1C7C"/>
    <w:rsid w:val="003C1D41"/>
    <w:rsid w:val="003C2652"/>
    <w:rsid w:val="003C30B0"/>
    <w:rsid w:val="003D5C8E"/>
    <w:rsid w:val="003D6D1B"/>
    <w:rsid w:val="003E1759"/>
    <w:rsid w:val="003E1836"/>
    <w:rsid w:val="003E3540"/>
    <w:rsid w:val="003E4C9F"/>
    <w:rsid w:val="003E5BDB"/>
    <w:rsid w:val="003E74AC"/>
    <w:rsid w:val="003F014F"/>
    <w:rsid w:val="003F1BB4"/>
    <w:rsid w:val="003F4E84"/>
    <w:rsid w:val="003F5B3F"/>
    <w:rsid w:val="003F6151"/>
    <w:rsid w:val="003F6B0D"/>
    <w:rsid w:val="003F7CCE"/>
    <w:rsid w:val="003F7E38"/>
    <w:rsid w:val="003F7EA8"/>
    <w:rsid w:val="00400737"/>
    <w:rsid w:val="00400A7C"/>
    <w:rsid w:val="00400DD5"/>
    <w:rsid w:val="0040367E"/>
    <w:rsid w:val="00403A37"/>
    <w:rsid w:val="0040589D"/>
    <w:rsid w:val="00406491"/>
    <w:rsid w:val="00414081"/>
    <w:rsid w:val="00414828"/>
    <w:rsid w:val="004249E5"/>
    <w:rsid w:val="0042509A"/>
    <w:rsid w:val="00425507"/>
    <w:rsid w:val="00425D2C"/>
    <w:rsid w:val="004270D3"/>
    <w:rsid w:val="00430CD7"/>
    <w:rsid w:val="00435299"/>
    <w:rsid w:val="0043601D"/>
    <w:rsid w:val="0044157E"/>
    <w:rsid w:val="0044262E"/>
    <w:rsid w:val="0044375E"/>
    <w:rsid w:val="0045003C"/>
    <w:rsid w:val="00452B98"/>
    <w:rsid w:val="004533E7"/>
    <w:rsid w:val="00453EC2"/>
    <w:rsid w:val="00455D5C"/>
    <w:rsid w:val="0045620D"/>
    <w:rsid w:val="00457EA6"/>
    <w:rsid w:val="00461B37"/>
    <w:rsid w:val="004621A5"/>
    <w:rsid w:val="00470CBE"/>
    <w:rsid w:val="00470FA0"/>
    <w:rsid w:val="00471896"/>
    <w:rsid w:val="00471F83"/>
    <w:rsid w:val="004728B8"/>
    <w:rsid w:val="0047502D"/>
    <w:rsid w:val="00475A3D"/>
    <w:rsid w:val="00480825"/>
    <w:rsid w:val="00481921"/>
    <w:rsid w:val="0048241E"/>
    <w:rsid w:val="00483E25"/>
    <w:rsid w:val="00486B5D"/>
    <w:rsid w:val="00486BB8"/>
    <w:rsid w:val="0049031B"/>
    <w:rsid w:val="00490994"/>
    <w:rsid w:val="00491061"/>
    <w:rsid w:val="004928AC"/>
    <w:rsid w:val="00494866"/>
    <w:rsid w:val="00494C0C"/>
    <w:rsid w:val="004A03E7"/>
    <w:rsid w:val="004A0C8E"/>
    <w:rsid w:val="004A4F1A"/>
    <w:rsid w:val="004A577B"/>
    <w:rsid w:val="004A5C59"/>
    <w:rsid w:val="004A6DB2"/>
    <w:rsid w:val="004A7372"/>
    <w:rsid w:val="004B127C"/>
    <w:rsid w:val="004B1E11"/>
    <w:rsid w:val="004B1E8C"/>
    <w:rsid w:val="004B26D4"/>
    <w:rsid w:val="004B4F2D"/>
    <w:rsid w:val="004C03F1"/>
    <w:rsid w:val="004C1EE9"/>
    <w:rsid w:val="004C3DFD"/>
    <w:rsid w:val="004C6C49"/>
    <w:rsid w:val="004C7E7E"/>
    <w:rsid w:val="004D0CA5"/>
    <w:rsid w:val="004D1974"/>
    <w:rsid w:val="004D1A1A"/>
    <w:rsid w:val="004D658B"/>
    <w:rsid w:val="004D68B1"/>
    <w:rsid w:val="004E0F47"/>
    <w:rsid w:val="004E1BE2"/>
    <w:rsid w:val="004E39DF"/>
    <w:rsid w:val="004E4D31"/>
    <w:rsid w:val="004E5587"/>
    <w:rsid w:val="004E77F7"/>
    <w:rsid w:val="004F1683"/>
    <w:rsid w:val="004F2482"/>
    <w:rsid w:val="004F3564"/>
    <w:rsid w:val="004F3E58"/>
    <w:rsid w:val="004F47D0"/>
    <w:rsid w:val="00501D2E"/>
    <w:rsid w:val="00504177"/>
    <w:rsid w:val="005044E4"/>
    <w:rsid w:val="00506204"/>
    <w:rsid w:val="00506C70"/>
    <w:rsid w:val="0051077D"/>
    <w:rsid w:val="00511BDA"/>
    <w:rsid w:val="00512939"/>
    <w:rsid w:val="005143F1"/>
    <w:rsid w:val="00514FBC"/>
    <w:rsid w:val="00524C52"/>
    <w:rsid w:val="00525290"/>
    <w:rsid w:val="00525AAE"/>
    <w:rsid w:val="0052690C"/>
    <w:rsid w:val="0053169A"/>
    <w:rsid w:val="005325BC"/>
    <w:rsid w:val="005325D1"/>
    <w:rsid w:val="00533E46"/>
    <w:rsid w:val="005340B5"/>
    <w:rsid w:val="00535059"/>
    <w:rsid w:val="005365D6"/>
    <w:rsid w:val="0053723A"/>
    <w:rsid w:val="0054152E"/>
    <w:rsid w:val="00543121"/>
    <w:rsid w:val="005433F5"/>
    <w:rsid w:val="005558B3"/>
    <w:rsid w:val="00555979"/>
    <w:rsid w:val="005603B9"/>
    <w:rsid w:val="005604E2"/>
    <w:rsid w:val="00562939"/>
    <w:rsid w:val="00563B69"/>
    <w:rsid w:val="00564C02"/>
    <w:rsid w:val="00571F10"/>
    <w:rsid w:val="00573524"/>
    <w:rsid w:val="0057442E"/>
    <w:rsid w:val="00574FA4"/>
    <w:rsid w:val="005752F9"/>
    <w:rsid w:val="00577173"/>
    <w:rsid w:val="00577A18"/>
    <w:rsid w:val="0058016B"/>
    <w:rsid w:val="00580EDC"/>
    <w:rsid w:val="005826C0"/>
    <w:rsid w:val="005829AC"/>
    <w:rsid w:val="00582A79"/>
    <w:rsid w:val="00584160"/>
    <w:rsid w:val="00584B27"/>
    <w:rsid w:val="005856F0"/>
    <w:rsid w:val="005858BD"/>
    <w:rsid w:val="005A1AF5"/>
    <w:rsid w:val="005A2B09"/>
    <w:rsid w:val="005A50D8"/>
    <w:rsid w:val="005A6DCB"/>
    <w:rsid w:val="005B003C"/>
    <w:rsid w:val="005B262E"/>
    <w:rsid w:val="005B3956"/>
    <w:rsid w:val="005B7728"/>
    <w:rsid w:val="005C1B91"/>
    <w:rsid w:val="005C4EB1"/>
    <w:rsid w:val="005C504B"/>
    <w:rsid w:val="005C7170"/>
    <w:rsid w:val="005C7980"/>
    <w:rsid w:val="005D0060"/>
    <w:rsid w:val="005D03F2"/>
    <w:rsid w:val="005D0E1F"/>
    <w:rsid w:val="005D14D0"/>
    <w:rsid w:val="005D7D62"/>
    <w:rsid w:val="005E1CA7"/>
    <w:rsid w:val="005E2164"/>
    <w:rsid w:val="005E407F"/>
    <w:rsid w:val="005E4A96"/>
    <w:rsid w:val="005E5CD1"/>
    <w:rsid w:val="005F6343"/>
    <w:rsid w:val="006007F5"/>
    <w:rsid w:val="00603A2A"/>
    <w:rsid w:val="00604758"/>
    <w:rsid w:val="0060479D"/>
    <w:rsid w:val="00604DD6"/>
    <w:rsid w:val="00612C35"/>
    <w:rsid w:val="00614497"/>
    <w:rsid w:val="006178B2"/>
    <w:rsid w:val="00620C97"/>
    <w:rsid w:val="00625EE9"/>
    <w:rsid w:val="0062681F"/>
    <w:rsid w:val="00631662"/>
    <w:rsid w:val="00634786"/>
    <w:rsid w:val="0063553E"/>
    <w:rsid w:val="00637988"/>
    <w:rsid w:val="0063799C"/>
    <w:rsid w:val="00640014"/>
    <w:rsid w:val="006421E2"/>
    <w:rsid w:val="0064305B"/>
    <w:rsid w:val="00643DCF"/>
    <w:rsid w:val="00645AD9"/>
    <w:rsid w:val="00653F5D"/>
    <w:rsid w:val="0065437C"/>
    <w:rsid w:val="006578E5"/>
    <w:rsid w:val="00660130"/>
    <w:rsid w:val="00662C8D"/>
    <w:rsid w:val="00663337"/>
    <w:rsid w:val="0066422E"/>
    <w:rsid w:val="00664C7E"/>
    <w:rsid w:val="0066646D"/>
    <w:rsid w:val="00667827"/>
    <w:rsid w:val="006701D1"/>
    <w:rsid w:val="00672CCC"/>
    <w:rsid w:val="006739B4"/>
    <w:rsid w:val="00674074"/>
    <w:rsid w:val="00675DA3"/>
    <w:rsid w:val="00675DB9"/>
    <w:rsid w:val="0068274E"/>
    <w:rsid w:val="00682CEC"/>
    <w:rsid w:val="006831BA"/>
    <w:rsid w:val="00687B13"/>
    <w:rsid w:val="00690F72"/>
    <w:rsid w:val="006919AC"/>
    <w:rsid w:val="00696F3D"/>
    <w:rsid w:val="006976EE"/>
    <w:rsid w:val="006A00E6"/>
    <w:rsid w:val="006A0849"/>
    <w:rsid w:val="006A1014"/>
    <w:rsid w:val="006A4A59"/>
    <w:rsid w:val="006A4A70"/>
    <w:rsid w:val="006B3933"/>
    <w:rsid w:val="006B52A7"/>
    <w:rsid w:val="006B6132"/>
    <w:rsid w:val="006C1FE5"/>
    <w:rsid w:val="006C2B85"/>
    <w:rsid w:val="006C31B1"/>
    <w:rsid w:val="006C3CD1"/>
    <w:rsid w:val="006C4373"/>
    <w:rsid w:val="006C605E"/>
    <w:rsid w:val="006C6EE4"/>
    <w:rsid w:val="006D03E8"/>
    <w:rsid w:val="006D0461"/>
    <w:rsid w:val="006D13B1"/>
    <w:rsid w:val="006D16E2"/>
    <w:rsid w:val="006D1C86"/>
    <w:rsid w:val="006D2045"/>
    <w:rsid w:val="006D290F"/>
    <w:rsid w:val="006D41E5"/>
    <w:rsid w:val="006D4D7B"/>
    <w:rsid w:val="006D70CB"/>
    <w:rsid w:val="006E07DF"/>
    <w:rsid w:val="006E4398"/>
    <w:rsid w:val="006E46DA"/>
    <w:rsid w:val="006E5A55"/>
    <w:rsid w:val="006E72DD"/>
    <w:rsid w:val="006F1D97"/>
    <w:rsid w:val="006F6789"/>
    <w:rsid w:val="006F6C37"/>
    <w:rsid w:val="006F6DEA"/>
    <w:rsid w:val="006F7627"/>
    <w:rsid w:val="00700965"/>
    <w:rsid w:val="00702D3A"/>
    <w:rsid w:val="007034D1"/>
    <w:rsid w:val="00706265"/>
    <w:rsid w:val="00710D11"/>
    <w:rsid w:val="00711891"/>
    <w:rsid w:val="0071582B"/>
    <w:rsid w:val="00716164"/>
    <w:rsid w:val="00716634"/>
    <w:rsid w:val="00716D1F"/>
    <w:rsid w:val="00717023"/>
    <w:rsid w:val="007174EB"/>
    <w:rsid w:val="0071766A"/>
    <w:rsid w:val="00720E44"/>
    <w:rsid w:val="007219E7"/>
    <w:rsid w:val="00722937"/>
    <w:rsid w:val="00722BF1"/>
    <w:rsid w:val="00724D97"/>
    <w:rsid w:val="00731B78"/>
    <w:rsid w:val="00732F87"/>
    <w:rsid w:val="0073405E"/>
    <w:rsid w:val="007355DC"/>
    <w:rsid w:val="00736455"/>
    <w:rsid w:val="0073697B"/>
    <w:rsid w:val="007407F9"/>
    <w:rsid w:val="00741C36"/>
    <w:rsid w:val="007430F6"/>
    <w:rsid w:val="00743E74"/>
    <w:rsid w:val="007449D2"/>
    <w:rsid w:val="00746BEE"/>
    <w:rsid w:val="007503C8"/>
    <w:rsid w:val="00751DC8"/>
    <w:rsid w:val="00752CE0"/>
    <w:rsid w:val="0075310F"/>
    <w:rsid w:val="00761CE8"/>
    <w:rsid w:val="0076208B"/>
    <w:rsid w:val="00762A64"/>
    <w:rsid w:val="00763384"/>
    <w:rsid w:val="007648FF"/>
    <w:rsid w:val="007666C5"/>
    <w:rsid w:val="007668B3"/>
    <w:rsid w:val="00767D72"/>
    <w:rsid w:val="00771F1B"/>
    <w:rsid w:val="0078505A"/>
    <w:rsid w:val="00790105"/>
    <w:rsid w:val="0079147F"/>
    <w:rsid w:val="00792B8E"/>
    <w:rsid w:val="007932C7"/>
    <w:rsid w:val="007943B5"/>
    <w:rsid w:val="00794BB2"/>
    <w:rsid w:val="00795BA4"/>
    <w:rsid w:val="00797C7E"/>
    <w:rsid w:val="00797CEA"/>
    <w:rsid w:val="007A0987"/>
    <w:rsid w:val="007A2AE0"/>
    <w:rsid w:val="007A60D7"/>
    <w:rsid w:val="007A77C0"/>
    <w:rsid w:val="007B03FD"/>
    <w:rsid w:val="007B1C77"/>
    <w:rsid w:val="007B1EB8"/>
    <w:rsid w:val="007B2E25"/>
    <w:rsid w:val="007B69C3"/>
    <w:rsid w:val="007B7975"/>
    <w:rsid w:val="007B7A68"/>
    <w:rsid w:val="007C0177"/>
    <w:rsid w:val="007C0B0B"/>
    <w:rsid w:val="007C1161"/>
    <w:rsid w:val="007C278C"/>
    <w:rsid w:val="007C2D82"/>
    <w:rsid w:val="007C342F"/>
    <w:rsid w:val="007C3BF5"/>
    <w:rsid w:val="007C466C"/>
    <w:rsid w:val="007C46BD"/>
    <w:rsid w:val="007C5B65"/>
    <w:rsid w:val="007C5D86"/>
    <w:rsid w:val="007D15D0"/>
    <w:rsid w:val="007D25DF"/>
    <w:rsid w:val="007D355E"/>
    <w:rsid w:val="007D3BED"/>
    <w:rsid w:val="007D40B9"/>
    <w:rsid w:val="007D5404"/>
    <w:rsid w:val="007D6B4D"/>
    <w:rsid w:val="007E3365"/>
    <w:rsid w:val="007E6A9D"/>
    <w:rsid w:val="007E728B"/>
    <w:rsid w:val="007E7E93"/>
    <w:rsid w:val="007F7949"/>
    <w:rsid w:val="0080073E"/>
    <w:rsid w:val="00802404"/>
    <w:rsid w:val="00802CEC"/>
    <w:rsid w:val="00803D02"/>
    <w:rsid w:val="00804B55"/>
    <w:rsid w:val="008063D9"/>
    <w:rsid w:val="008070D9"/>
    <w:rsid w:val="00807573"/>
    <w:rsid w:val="00810572"/>
    <w:rsid w:val="00813AF9"/>
    <w:rsid w:val="00814EB8"/>
    <w:rsid w:val="00814F1D"/>
    <w:rsid w:val="00816AA3"/>
    <w:rsid w:val="008212F9"/>
    <w:rsid w:val="008214E9"/>
    <w:rsid w:val="00826823"/>
    <w:rsid w:val="00827280"/>
    <w:rsid w:val="00827DEE"/>
    <w:rsid w:val="008307CC"/>
    <w:rsid w:val="00831572"/>
    <w:rsid w:val="00836B26"/>
    <w:rsid w:val="00845B22"/>
    <w:rsid w:val="00846B57"/>
    <w:rsid w:val="0084709A"/>
    <w:rsid w:val="0085155E"/>
    <w:rsid w:val="008516DD"/>
    <w:rsid w:val="00852724"/>
    <w:rsid w:val="00852A87"/>
    <w:rsid w:val="0085362C"/>
    <w:rsid w:val="008559B8"/>
    <w:rsid w:val="00856A20"/>
    <w:rsid w:val="008612AA"/>
    <w:rsid w:val="00861972"/>
    <w:rsid w:val="00861F2B"/>
    <w:rsid w:val="00862C53"/>
    <w:rsid w:val="008651BA"/>
    <w:rsid w:val="00866BBA"/>
    <w:rsid w:val="008674F2"/>
    <w:rsid w:val="0087151C"/>
    <w:rsid w:val="00873799"/>
    <w:rsid w:val="00874BF5"/>
    <w:rsid w:val="00882437"/>
    <w:rsid w:val="008840C5"/>
    <w:rsid w:val="00884B19"/>
    <w:rsid w:val="00885175"/>
    <w:rsid w:val="008866C6"/>
    <w:rsid w:val="00887753"/>
    <w:rsid w:val="008919DF"/>
    <w:rsid w:val="0089400D"/>
    <w:rsid w:val="008941B7"/>
    <w:rsid w:val="008949F6"/>
    <w:rsid w:val="00895A92"/>
    <w:rsid w:val="00895FE2"/>
    <w:rsid w:val="0089791E"/>
    <w:rsid w:val="008A1E31"/>
    <w:rsid w:val="008A3A64"/>
    <w:rsid w:val="008A6D99"/>
    <w:rsid w:val="008B0F7D"/>
    <w:rsid w:val="008B0FAC"/>
    <w:rsid w:val="008B1B4A"/>
    <w:rsid w:val="008B416F"/>
    <w:rsid w:val="008B6F50"/>
    <w:rsid w:val="008B7916"/>
    <w:rsid w:val="008C0655"/>
    <w:rsid w:val="008C0FFE"/>
    <w:rsid w:val="008C4AC5"/>
    <w:rsid w:val="008C4EF9"/>
    <w:rsid w:val="008D0D71"/>
    <w:rsid w:val="008D0D9B"/>
    <w:rsid w:val="008D1753"/>
    <w:rsid w:val="008D47A8"/>
    <w:rsid w:val="008E12DC"/>
    <w:rsid w:val="008E1FE0"/>
    <w:rsid w:val="008E3C7D"/>
    <w:rsid w:val="008E419C"/>
    <w:rsid w:val="008E4D8F"/>
    <w:rsid w:val="008F3944"/>
    <w:rsid w:val="008F731F"/>
    <w:rsid w:val="009000E9"/>
    <w:rsid w:val="00901032"/>
    <w:rsid w:val="0090126C"/>
    <w:rsid w:val="009039C7"/>
    <w:rsid w:val="0090472A"/>
    <w:rsid w:val="00904C48"/>
    <w:rsid w:val="0090567A"/>
    <w:rsid w:val="00907BC9"/>
    <w:rsid w:val="009106C8"/>
    <w:rsid w:val="00910862"/>
    <w:rsid w:val="00910C75"/>
    <w:rsid w:val="00912577"/>
    <w:rsid w:val="00916CF5"/>
    <w:rsid w:val="009179C5"/>
    <w:rsid w:val="00920EC4"/>
    <w:rsid w:val="00921BBA"/>
    <w:rsid w:val="00923E52"/>
    <w:rsid w:val="00924121"/>
    <w:rsid w:val="0092657F"/>
    <w:rsid w:val="00926B81"/>
    <w:rsid w:val="00931312"/>
    <w:rsid w:val="00936538"/>
    <w:rsid w:val="0093732C"/>
    <w:rsid w:val="0093785A"/>
    <w:rsid w:val="00943794"/>
    <w:rsid w:val="00943F20"/>
    <w:rsid w:val="009459EA"/>
    <w:rsid w:val="00946013"/>
    <w:rsid w:val="009478A7"/>
    <w:rsid w:val="00951F3B"/>
    <w:rsid w:val="009538AF"/>
    <w:rsid w:val="00954CF6"/>
    <w:rsid w:val="009566E2"/>
    <w:rsid w:val="00957066"/>
    <w:rsid w:val="0095786D"/>
    <w:rsid w:val="00960AE3"/>
    <w:rsid w:val="00961CB0"/>
    <w:rsid w:val="00967236"/>
    <w:rsid w:val="00970D9A"/>
    <w:rsid w:val="00971A2C"/>
    <w:rsid w:val="00974336"/>
    <w:rsid w:val="0098044D"/>
    <w:rsid w:val="00981403"/>
    <w:rsid w:val="009828E6"/>
    <w:rsid w:val="0098647C"/>
    <w:rsid w:val="00987461"/>
    <w:rsid w:val="00991939"/>
    <w:rsid w:val="009923EB"/>
    <w:rsid w:val="00995E14"/>
    <w:rsid w:val="00995FA1"/>
    <w:rsid w:val="00997F26"/>
    <w:rsid w:val="009A17B2"/>
    <w:rsid w:val="009A5691"/>
    <w:rsid w:val="009A61DE"/>
    <w:rsid w:val="009A7190"/>
    <w:rsid w:val="009A7A94"/>
    <w:rsid w:val="009B1B00"/>
    <w:rsid w:val="009B47F7"/>
    <w:rsid w:val="009B79E8"/>
    <w:rsid w:val="009C0389"/>
    <w:rsid w:val="009C29E8"/>
    <w:rsid w:val="009C2E1F"/>
    <w:rsid w:val="009C448F"/>
    <w:rsid w:val="009C4B97"/>
    <w:rsid w:val="009C5632"/>
    <w:rsid w:val="009C68E8"/>
    <w:rsid w:val="009C6CB0"/>
    <w:rsid w:val="009D2631"/>
    <w:rsid w:val="009D366E"/>
    <w:rsid w:val="009D3A48"/>
    <w:rsid w:val="009D6CC8"/>
    <w:rsid w:val="009E087D"/>
    <w:rsid w:val="009E0FDA"/>
    <w:rsid w:val="009E123B"/>
    <w:rsid w:val="009E2125"/>
    <w:rsid w:val="009E34A5"/>
    <w:rsid w:val="009E3577"/>
    <w:rsid w:val="009E4212"/>
    <w:rsid w:val="009E4FAF"/>
    <w:rsid w:val="009E6D95"/>
    <w:rsid w:val="009F0809"/>
    <w:rsid w:val="009F3BD5"/>
    <w:rsid w:val="009F512A"/>
    <w:rsid w:val="009F560B"/>
    <w:rsid w:val="00A0493C"/>
    <w:rsid w:val="00A05154"/>
    <w:rsid w:val="00A068EB"/>
    <w:rsid w:val="00A06EF9"/>
    <w:rsid w:val="00A104DB"/>
    <w:rsid w:val="00A11251"/>
    <w:rsid w:val="00A11AE9"/>
    <w:rsid w:val="00A1240D"/>
    <w:rsid w:val="00A12731"/>
    <w:rsid w:val="00A13F31"/>
    <w:rsid w:val="00A14585"/>
    <w:rsid w:val="00A15E41"/>
    <w:rsid w:val="00A16874"/>
    <w:rsid w:val="00A20BA0"/>
    <w:rsid w:val="00A20E41"/>
    <w:rsid w:val="00A22506"/>
    <w:rsid w:val="00A22BC4"/>
    <w:rsid w:val="00A23431"/>
    <w:rsid w:val="00A25107"/>
    <w:rsid w:val="00A253D2"/>
    <w:rsid w:val="00A25636"/>
    <w:rsid w:val="00A270C8"/>
    <w:rsid w:val="00A319F2"/>
    <w:rsid w:val="00A31C79"/>
    <w:rsid w:val="00A33E79"/>
    <w:rsid w:val="00A35902"/>
    <w:rsid w:val="00A37841"/>
    <w:rsid w:val="00A37DB7"/>
    <w:rsid w:val="00A40A19"/>
    <w:rsid w:val="00A42B9C"/>
    <w:rsid w:val="00A42DD7"/>
    <w:rsid w:val="00A430BD"/>
    <w:rsid w:val="00A45607"/>
    <w:rsid w:val="00A47E17"/>
    <w:rsid w:val="00A51030"/>
    <w:rsid w:val="00A528F0"/>
    <w:rsid w:val="00A60918"/>
    <w:rsid w:val="00A60A25"/>
    <w:rsid w:val="00A61016"/>
    <w:rsid w:val="00A63153"/>
    <w:rsid w:val="00A635D3"/>
    <w:rsid w:val="00A6401A"/>
    <w:rsid w:val="00A645E2"/>
    <w:rsid w:val="00A65300"/>
    <w:rsid w:val="00A65388"/>
    <w:rsid w:val="00A66AEE"/>
    <w:rsid w:val="00A70BC9"/>
    <w:rsid w:val="00A71141"/>
    <w:rsid w:val="00A71A0B"/>
    <w:rsid w:val="00A71FC8"/>
    <w:rsid w:val="00A76472"/>
    <w:rsid w:val="00A776B6"/>
    <w:rsid w:val="00A77787"/>
    <w:rsid w:val="00A77F30"/>
    <w:rsid w:val="00A81362"/>
    <w:rsid w:val="00A82A51"/>
    <w:rsid w:val="00A8392C"/>
    <w:rsid w:val="00A8428F"/>
    <w:rsid w:val="00A87A35"/>
    <w:rsid w:val="00A903F2"/>
    <w:rsid w:val="00A93661"/>
    <w:rsid w:val="00A96331"/>
    <w:rsid w:val="00A963CE"/>
    <w:rsid w:val="00A96F7B"/>
    <w:rsid w:val="00AA0F4C"/>
    <w:rsid w:val="00AA0F97"/>
    <w:rsid w:val="00AA28EC"/>
    <w:rsid w:val="00AA3D8F"/>
    <w:rsid w:val="00AA7EE9"/>
    <w:rsid w:val="00AB0872"/>
    <w:rsid w:val="00AB2112"/>
    <w:rsid w:val="00AB267C"/>
    <w:rsid w:val="00AB2B16"/>
    <w:rsid w:val="00AB3909"/>
    <w:rsid w:val="00AB3A2F"/>
    <w:rsid w:val="00AC4374"/>
    <w:rsid w:val="00AC7744"/>
    <w:rsid w:val="00AC7F25"/>
    <w:rsid w:val="00AD112C"/>
    <w:rsid w:val="00AD31E9"/>
    <w:rsid w:val="00AD4048"/>
    <w:rsid w:val="00AD5700"/>
    <w:rsid w:val="00AE0CAC"/>
    <w:rsid w:val="00AE13C4"/>
    <w:rsid w:val="00AE29A7"/>
    <w:rsid w:val="00AE3AC1"/>
    <w:rsid w:val="00AE4412"/>
    <w:rsid w:val="00AE51C1"/>
    <w:rsid w:val="00AE599A"/>
    <w:rsid w:val="00AE67B9"/>
    <w:rsid w:val="00AE6C54"/>
    <w:rsid w:val="00AE6F03"/>
    <w:rsid w:val="00AE7CA1"/>
    <w:rsid w:val="00AF1BFE"/>
    <w:rsid w:val="00AF225F"/>
    <w:rsid w:val="00AF38AB"/>
    <w:rsid w:val="00AF69A1"/>
    <w:rsid w:val="00AF6D6E"/>
    <w:rsid w:val="00AF776B"/>
    <w:rsid w:val="00B003A6"/>
    <w:rsid w:val="00B0088C"/>
    <w:rsid w:val="00B058EC"/>
    <w:rsid w:val="00B05DC5"/>
    <w:rsid w:val="00B100A3"/>
    <w:rsid w:val="00B10CBF"/>
    <w:rsid w:val="00B113BF"/>
    <w:rsid w:val="00B12DDF"/>
    <w:rsid w:val="00B148CF"/>
    <w:rsid w:val="00B15C86"/>
    <w:rsid w:val="00B166A1"/>
    <w:rsid w:val="00B17437"/>
    <w:rsid w:val="00B260A0"/>
    <w:rsid w:val="00B267A7"/>
    <w:rsid w:val="00B26C0C"/>
    <w:rsid w:val="00B2703A"/>
    <w:rsid w:val="00B278E7"/>
    <w:rsid w:val="00B307D4"/>
    <w:rsid w:val="00B31B89"/>
    <w:rsid w:val="00B31FA4"/>
    <w:rsid w:val="00B32F26"/>
    <w:rsid w:val="00B334A4"/>
    <w:rsid w:val="00B3391D"/>
    <w:rsid w:val="00B34D72"/>
    <w:rsid w:val="00B34EF3"/>
    <w:rsid w:val="00B3545F"/>
    <w:rsid w:val="00B35DB1"/>
    <w:rsid w:val="00B365A5"/>
    <w:rsid w:val="00B446FE"/>
    <w:rsid w:val="00B4740A"/>
    <w:rsid w:val="00B51224"/>
    <w:rsid w:val="00B51D01"/>
    <w:rsid w:val="00B521DD"/>
    <w:rsid w:val="00B54490"/>
    <w:rsid w:val="00B547C9"/>
    <w:rsid w:val="00B54EA8"/>
    <w:rsid w:val="00B555C9"/>
    <w:rsid w:val="00B5695D"/>
    <w:rsid w:val="00B574BE"/>
    <w:rsid w:val="00B57B1F"/>
    <w:rsid w:val="00B57C4D"/>
    <w:rsid w:val="00B605E1"/>
    <w:rsid w:val="00B62C91"/>
    <w:rsid w:val="00B63CF7"/>
    <w:rsid w:val="00B653AC"/>
    <w:rsid w:val="00B65537"/>
    <w:rsid w:val="00B70B3F"/>
    <w:rsid w:val="00B70EB2"/>
    <w:rsid w:val="00B73E57"/>
    <w:rsid w:val="00B75459"/>
    <w:rsid w:val="00B81FBF"/>
    <w:rsid w:val="00B8435E"/>
    <w:rsid w:val="00B9006C"/>
    <w:rsid w:val="00B94BEF"/>
    <w:rsid w:val="00B962ED"/>
    <w:rsid w:val="00B97FC2"/>
    <w:rsid w:val="00BA01E8"/>
    <w:rsid w:val="00BA07E1"/>
    <w:rsid w:val="00BA0CDC"/>
    <w:rsid w:val="00BA1A91"/>
    <w:rsid w:val="00BA2007"/>
    <w:rsid w:val="00BA74E7"/>
    <w:rsid w:val="00BA7AAF"/>
    <w:rsid w:val="00BB02A4"/>
    <w:rsid w:val="00BB14BC"/>
    <w:rsid w:val="00BB2F1B"/>
    <w:rsid w:val="00BB37EB"/>
    <w:rsid w:val="00BB3D8C"/>
    <w:rsid w:val="00BB5107"/>
    <w:rsid w:val="00BB5E37"/>
    <w:rsid w:val="00BB6026"/>
    <w:rsid w:val="00BB7F31"/>
    <w:rsid w:val="00BC0267"/>
    <w:rsid w:val="00BC03A5"/>
    <w:rsid w:val="00BC08EF"/>
    <w:rsid w:val="00BC1C23"/>
    <w:rsid w:val="00BC29CE"/>
    <w:rsid w:val="00BC2F2D"/>
    <w:rsid w:val="00BC49BB"/>
    <w:rsid w:val="00BC7004"/>
    <w:rsid w:val="00BD1DB7"/>
    <w:rsid w:val="00BD3BDD"/>
    <w:rsid w:val="00BD5792"/>
    <w:rsid w:val="00BD7A00"/>
    <w:rsid w:val="00BE0E57"/>
    <w:rsid w:val="00BE13DC"/>
    <w:rsid w:val="00BE1CC3"/>
    <w:rsid w:val="00BE5244"/>
    <w:rsid w:val="00BE5886"/>
    <w:rsid w:val="00BE6142"/>
    <w:rsid w:val="00BF125B"/>
    <w:rsid w:val="00BF1DFD"/>
    <w:rsid w:val="00BF1E4B"/>
    <w:rsid w:val="00BF5E45"/>
    <w:rsid w:val="00BF7355"/>
    <w:rsid w:val="00C00EF7"/>
    <w:rsid w:val="00C010C1"/>
    <w:rsid w:val="00C02CC7"/>
    <w:rsid w:val="00C05399"/>
    <w:rsid w:val="00C1213E"/>
    <w:rsid w:val="00C13F25"/>
    <w:rsid w:val="00C15DCF"/>
    <w:rsid w:val="00C17CBC"/>
    <w:rsid w:val="00C20B90"/>
    <w:rsid w:val="00C22893"/>
    <w:rsid w:val="00C233E4"/>
    <w:rsid w:val="00C2612C"/>
    <w:rsid w:val="00C26815"/>
    <w:rsid w:val="00C26919"/>
    <w:rsid w:val="00C27A79"/>
    <w:rsid w:val="00C27ADC"/>
    <w:rsid w:val="00C317DF"/>
    <w:rsid w:val="00C31A34"/>
    <w:rsid w:val="00C32129"/>
    <w:rsid w:val="00C34DAD"/>
    <w:rsid w:val="00C379CF"/>
    <w:rsid w:val="00C37AAC"/>
    <w:rsid w:val="00C4064D"/>
    <w:rsid w:val="00C40A31"/>
    <w:rsid w:val="00C41AD4"/>
    <w:rsid w:val="00C4234C"/>
    <w:rsid w:val="00C429D9"/>
    <w:rsid w:val="00C439F9"/>
    <w:rsid w:val="00C46763"/>
    <w:rsid w:val="00C47091"/>
    <w:rsid w:val="00C50860"/>
    <w:rsid w:val="00C5126B"/>
    <w:rsid w:val="00C5186E"/>
    <w:rsid w:val="00C51AB6"/>
    <w:rsid w:val="00C51E2E"/>
    <w:rsid w:val="00C535D2"/>
    <w:rsid w:val="00C5499D"/>
    <w:rsid w:val="00C549E1"/>
    <w:rsid w:val="00C56DD6"/>
    <w:rsid w:val="00C63C35"/>
    <w:rsid w:val="00C63F89"/>
    <w:rsid w:val="00C6420E"/>
    <w:rsid w:val="00C64C93"/>
    <w:rsid w:val="00C706D9"/>
    <w:rsid w:val="00C70FB6"/>
    <w:rsid w:val="00C719C0"/>
    <w:rsid w:val="00C71C29"/>
    <w:rsid w:val="00C72549"/>
    <w:rsid w:val="00C72C74"/>
    <w:rsid w:val="00C7492F"/>
    <w:rsid w:val="00C76BD3"/>
    <w:rsid w:val="00C77AD9"/>
    <w:rsid w:val="00C82B97"/>
    <w:rsid w:val="00C8619E"/>
    <w:rsid w:val="00C862E4"/>
    <w:rsid w:val="00C869FF"/>
    <w:rsid w:val="00C9076F"/>
    <w:rsid w:val="00C95101"/>
    <w:rsid w:val="00C95A48"/>
    <w:rsid w:val="00C970C2"/>
    <w:rsid w:val="00CA132F"/>
    <w:rsid w:val="00CA243D"/>
    <w:rsid w:val="00CA3588"/>
    <w:rsid w:val="00CA5381"/>
    <w:rsid w:val="00CA62AC"/>
    <w:rsid w:val="00CA7000"/>
    <w:rsid w:val="00CA7381"/>
    <w:rsid w:val="00CB1357"/>
    <w:rsid w:val="00CB6908"/>
    <w:rsid w:val="00CB7EC1"/>
    <w:rsid w:val="00CC229D"/>
    <w:rsid w:val="00CC2C04"/>
    <w:rsid w:val="00CC3078"/>
    <w:rsid w:val="00CC3516"/>
    <w:rsid w:val="00CC3CC0"/>
    <w:rsid w:val="00CC4020"/>
    <w:rsid w:val="00CC6296"/>
    <w:rsid w:val="00CD0A3F"/>
    <w:rsid w:val="00CD231D"/>
    <w:rsid w:val="00CD4333"/>
    <w:rsid w:val="00CD4515"/>
    <w:rsid w:val="00CD5C39"/>
    <w:rsid w:val="00CD7FD7"/>
    <w:rsid w:val="00CE0A97"/>
    <w:rsid w:val="00CE1620"/>
    <w:rsid w:val="00CE2C2F"/>
    <w:rsid w:val="00CE7EA5"/>
    <w:rsid w:val="00CF1C7B"/>
    <w:rsid w:val="00CF389D"/>
    <w:rsid w:val="00CF3A8B"/>
    <w:rsid w:val="00CF496C"/>
    <w:rsid w:val="00D00C1F"/>
    <w:rsid w:val="00D015B5"/>
    <w:rsid w:val="00D0193D"/>
    <w:rsid w:val="00D02A18"/>
    <w:rsid w:val="00D03339"/>
    <w:rsid w:val="00D04061"/>
    <w:rsid w:val="00D06288"/>
    <w:rsid w:val="00D06637"/>
    <w:rsid w:val="00D0701D"/>
    <w:rsid w:val="00D14A48"/>
    <w:rsid w:val="00D15172"/>
    <w:rsid w:val="00D17820"/>
    <w:rsid w:val="00D17FC6"/>
    <w:rsid w:val="00D21934"/>
    <w:rsid w:val="00D23ABE"/>
    <w:rsid w:val="00D25F4A"/>
    <w:rsid w:val="00D30786"/>
    <w:rsid w:val="00D32096"/>
    <w:rsid w:val="00D33D47"/>
    <w:rsid w:val="00D37961"/>
    <w:rsid w:val="00D425DC"/>
    <w:rsid w:val="00D43C31"/>
    <w:rsid w:val="00D45FCD"/>
    <w:rsid w:val="00D462DF"/>
    <w:rsid w:val="00D519D5"/>
    <w:rsid w:val="00D5359A"/>
    <w:rsid w:val="00D56B93"/>
    <w:rsid w:val="00D574B8"/>
    <w:rsid w:val="00D6012F"/>
    <w:rsid w:val="00D60AF6"/>
    <w:rsid w:val="00D62800"/>
    <w:rsid w:val="00D63E65"/>
    <w:rsid w:val="00D66774"/>
    <w:rsid w:val="00D71911"/>
    <w:rsid w:val="00D72C76"/>
    <w:rsid w:val="00D73514"/>
    <w:rsid w:val="00D75103"/>
    <w:rsid w:val="00D760C6"/>
    <w:rsid w:val="00D76B53"/>
    <w:rsid w:val="00D770E2"/>
    <w:rsid w:val="00D801F4"/>
    <w:rsid w:val="00D8109F"/>
    <w:rsid w:val="00D818B9"/>
    <w:rsid w:val="00D83ECF"/>
    <w:rsid w:val="00D8442D"/>
    <w:rsid w:val="00D8462F"/>
    <w:rsid w:val="00D90E60"/>
    <w:rsid w:val="00D91D63"/>
    <w:rsid w:val="00D92392"/>
    <w:rsid w:val="00D92B40"/>
    <w:rsid w:val="00D931DC"/>
    <w:rsid w:val="00D93A06"/>
    <w:rsid w:val="00D94C2A"/>
    <w:rsid w:val="00D95D2F"/>
    <w:rsid w:val="00D95F47"/>
    <w:rsid w:val="00D96644"/>
    <w:rsid w:val="00D96B09"/>
    <w:rsid w:val="00D976CC"/>
    <w:rsid w:val="00D97918"/>
    <w:rsid w:val="00DA02B1"/>
    <w:rsid w:val="00DA4117"/>
    <w:rsid w:val="00DA71BE"/>
    <w:rsid w:val="00DB0031"/>
    <w:rsid w:val="00DB1046"/>
    <w:rsid w:val="00DB36E6"/>
    <w:rsid w:val="00DB6664"/>
    <w:rsid w:val="00DC10FA"/>
    <w:rsid w:val="00DC13DF"/>
    <w:rsid w:val="00DC25D2"/>
    <w:rsid w:val="00DC437E"/>
    <w:rsid w:val="00DC44F9"/>
    <w:rsid w:val="00DC5F63"/>
    <w:rsid w:val="00DC6A82"/>
    <w:rsid w:val="00DC6C8A"/>
    <w:rsid w:val="00DD0762"/>
    <w:rsid w:val="00DD0AEE"/>
    <w:rsid w:val="00DD14F7"/>
    <w:rsid w:val="00DD305F"/>
    <w:rsid w:val="00DD5AAE"/>
    <w:rsid w:val="00DD6162"/>
    <w:rsid w:val="00DD6B38"/>
    <w:rsid w:val="00DE1D74"/>
    <w:rsid w:val="00DE2444"/>
    <w:rsid w:val="00DE38A7"/>
    <w:rsid w:val="00DE3D57"/>
    <w:rsid w:val="00DE4152"/>
    <w:rsid w:val="00DE4C71"/>
    <w:rsid w:val="00DE511F"/>
    <w:rsid w:val="00DF0A47"/>
    <w:rsid w:val="00DF1909"/>
    <w:rsid w:val="00DF52A3"/>
    <w:rsid w:val="00DF6227"/>
    <w:rsid w:val="00E03797"/>
    <w:rsid w:val="00E100EE"/>
    <w:rsid w:val="00E1059C"/>
    <w:rsid w:val="00E12491"/>
    <w:rsid w:val="00E13817"/>
    <w:rsid w:val="00E21665"/>
    <w:rsid w:val="00E21E57"/>
    <w:rsid w:val="00E23007"/>
    <w:rsid w:val="00E231E2"/>
    <w:rsid w:val="00E24D10"/>
    <w:rsid w:val="00E26FB2"/>
    <w:rsid w:val="00E273A6"/>
    <w:rsid w:val="00E2778D"/>
    <w:rsid w:val="00E302AD"/>
    <w:rsid w:val="00E31EBF"/>
    <w:rsid w:val="00E33D44"/>
    <w:rsid w:val="00E34DE6"/>
    <w:rsid w:val="00E3618E"/>
    <w:rsid w:val="00E36AF7"/>
    <w:rsid w:val="00E4068E"/>
    <w:rsid w:val="00E43C71"/>
    <w:rsid w:val="00E44635"/>
    <w:rsid w:val="00E45571"/>
    <w:rsid w:val="00E47C9F"/>
    <w:rsid w:val="00E50E38"/>
    <w:rsid w:val="00E5256A"/>
    <w:rsid w:val="00E52656"/>
    <w:rsid w:val="00E539AC"/>
    <w:rsid w:val="00E53DBD"/>
    <w:rsid w:val="00E5539E"/>
    <w:rsid w:val="00E57A2A"/>
    <w:rsid w:val="00E6149B"/>
    <w:rsid w:val="00E62004"/>
    <w:rsid w:val="00E624EC"/>
    <w:rsid w:val="00E637BD"/>
    <w:rsid w:val="00E64A37"/>
    <w:rsid w:val="00E65C68"/>
    <w:rsid w:val="00E66E6C"/>
    <w:rsid w:val="00E71314"/>
    <w:rsid w:val="00E731A0"/>
    <w:rsid w:val="00E759C4"/>
    <w:rsid w:val="00E76138"/>
    <w:rsid w:val="00E80397"/>
    <w:rsid w:val="00E832F2"/>
    <w:rsid w:val="00E84555"/>
    <w:rsid w:val="00E84BDF"/>
    <w:rsid w:val="00E85690"/>
    <w:rsid w:val="00E90275"/>
    <w:rsid w:val="00E90A42"/>
    <w:rsid w:val="00E91EF7"/>
    <w:rsid w:val="00E92D34"/>
    <w:rsid w:val="00E94761"/>
    <w:rsid w:val="00E9582D"/>
    <w:rsid w:val="00E96C27"/>
    <w:rsid w:val="00E97BC9"/>
    <w:rsid w:val="00EA2784"/>
    <w:rsid w:val="00EA3906"/>
    <w:rsid w:val="00EA48C1"/>
    <w:rsid w:val="00EA5FCF"/>
    <w:rsid w:val="00EA6947"/>
    <w:rsid w:val="00EB392C"/>
    <w:rsid w:val="00EC03DF"/>
    <w:rsid w:val="00EC3DBB"/>
    <w:rsid w:val="00EC7274"/>
    <w:rsid w:val="00EC7B17"/>
    <w:rsid w:val="00ED440F"/>
    <w:rsid w:val="00ED4B37"/>
    <w:rsid w:val="00ED5C4D"/>
    <w:rsid w:val="00EE011A"/>
    <w:rsid w:val="00EE13A7"/>
    <w:rsid w:val="00EE3BD2"/>
    <w:rsid w:val="00EE53B2"/>
    <w:rsid w:val="00EE56DA"/>
    <w:rsid w:val="00EF1F63"/>
    <w:rsid w:val="00EF4FAA"/>
    <w:rsid w:val="00EF5836"/>
    <w:rsid w:val="00EF7653"/>
    <w:rsid w:val="00F02B92"/>
    <w:rsid w:val="00F03BB6"/>
    <w:rsid w:val="00F03D35"/>
    <w:rsid w:val="00F05066"/>
    <w:rsid w:val="00F06D61"/>
    <w:rsid w:val="00F10FBE"/>
    <w:rsid w:val="00F11079"/>
    <w:rsid w:val="00F13EBD"/>
    <w:rsid w:val="00F1457F"/>
    <w:rsid w:val="00F14BA5"/>
    <w:rsid w:val="00F1556C"/>
    <w:rsid w:val="00F1595E"/>
    <w:rsid w:val="00F21C40"/>
    <w:rsid w:val="00F23EFE"/>
    <w:rsid w:val="00F24D5B"/>
    <w:rsid w:val="00F25B54"/>
    <w:rsid w:val="00F264D5"/>
    <w:rsid w:val="00F27929"/>
    <w:rsid w:val="00F301D4"/>
    <w:rsid w:val="00F324D2"/>
    <w:rsid w:val="00F354AB"/>
    <w:rsid w:val="00F360E1"/>
    <w:rsid w:val="00F36A99"/>
    <w:rsid w:val="00F37189"/>
    <w:rsid w:val="00F3785D"/>
    <w:rsid w:val="00F37E7F"/>
    <w:rsid w:val="00F41199"/>
    <w:rsid w:val="00F421A1"/>
    <w:rsid w:val="00F4499C"/>
    <w:rsid w:val="00F50432"/>
    <w:rsid w:val="00F5290A"/>
    <w:rsid w:val="00F533E7"/>
    <w:rsid w:val="00F53B70"/>
    <w:rsid w:val="00F55E39"/>
    <w:rsid w:val="00F56B66"/>
    <w:rsid w:val="00F57894"/>
    <w:rsid w:val="00F60490"/>
    <w:rsid w:val="00F63AE7"/>
    <w:rsid w:val="00F64025"/>
    <w:rsid w:val="00F64A6C"/>
    <w:rsid w:val="00F672C9"/>
    <w:rsid w:val="00F674F4"/>
    <w:rsid w:val="00F67621"/>
    <w:rsid w:val="00F7067D"/>
    <w:rsid w:val="00F71F42"/>
    <w:rsid w:val="00F72A4C"/>
    <w:rsid w:val="00F73C7D"/>
    <w:rsid w:val="00F7614A"/>
    <w:rsid w:val="00F7636C"/>
    <w:rsid w:val="00F81A99"/>
    <w:rsid w:val="00F81DC0"/>
    <w:rsid w:val="00F82DF6"/>
    <w:rsid w:val="00F90BB0"/>
    <w:rsid w:val="00F919A5"/>
    <w:rsid w:val="00F9668B"/>
    <w:rsid w:val="00F96C4C"/>
    <w:rsid w:val="00F96D9F"/>
    <w:rsid w:val="00FA107B"/>
    <w:rsid w:val="00FA7681"/>
    <w:rsid w:val="00FB11E5"/>
    <w:rsid w:val="00FB17E3"/>
    <w:rsid w:val="00FB2003"/>
    <w:rsid w:val="00FB60BE"/>
    <w:rsid w:val="00FC0AE8"/>
    <w:rsid w:val="00FC11EA"/>
    <w:rsid w:val="00FC1707"/>
    <w:rsid w:val="00FC279C"/>
    <w:rsid w:val="00FC5354"/>
    <w:rsid w:val="00FC7B11"/>
    <w:rsid w:val="00FD3BEA"/>
    <w:rsid w:val="00FD475D"/>
    <w:rsid w:val="00FE1A93"/>
    <w:rsid w:val="00FE1E3A"/>
    <w:rsid w:val="00FE4154"/>
    <w:rsid w:val="00FE46B3"/>
    <w:rsid w:val="00FE4C7C"/>
    <w:rsid w:val="00FE4F58"/>
    <w:rsid w:val="00FE66EA"/>
    <w:rsid w:val="00FE6DB9"/>
    <w:rsid w:val="00FE6E44"/>
    <w:rsid w:val="00FF01D7"/>
    <w:rsid w:val="00FF1B42"/>
    <w:rsid w:val="00FF2AF4"/>
    <w:rsid w:val="00FF2D83"/>
    <w:rsid w:val="00FF4B25"/>
    <w:rsid w:val="011936CA"/>
    <w:rsid w:val="012C3D93"/>
    <w:rsid w:val="016754AF"/>
    <w:rsid w:val="01B8590F"/>
    <w:rsid w:val="01F943A5"/>
    <w:rsid w:val="022C592B"/>
    <w:rsid w:val="027A3F15"/>
    <w:rsid w:val="02B75AC9"/>
    <w:rsid w:val="02C62B57"/>
    <w:rsid w:val="02F05438"/>
    <w:rsid w:val="02F25D7A"/>
    <w:rsid w:val="030F5F7F"/>
    <w:rsid w:val="0339040A"/>
    <w:rsid w:val="03732C1C"/>
    <w:rsid w:val="03910B37"/>
    <w:rsid w:val="03B84A7E"/>
    <w:rsid w:val="03DA1C89"/>
    <w:rsid w:val="04042E0A"/>
    <w:rsid w:val="04485493"/>
    <w:rsid w:val="04967559"/>
    <w:rsid w:val="04A25A7E"/>
    <w:rsid w:val="04A36003"/>
    <w:rsid w:val="04AE29B2"/>
    <w:rsid w:val="04F928E0"/>
    <w:rsid w:val="058122D6"/>
    <w:rsid w:val="058A5814"/>
    <w:rsid w:val="05A42DB9"/>
    <w:rsid w:val="05A61843"/>
    <w:rsid w:val="05B36923"/>
    <w:rsid w:val="05E07F7C"/>
    <w:rsid w:val="06101C06"/>
    <w:rsid w:val="06257CF8"/>
    <w:rsid w:val="063250DE"/>
    <w:rsid w:val="064B4204"/>
    <w:rsid w:val="06761C85"/>
    <w:rsid w:val="067A60D6"/>
    <w:rsid w:val="0692153D"/>
    <w:rsid w:val="06FF3492"/>
    <w:rsid w:val="073E0755"/>
    <w:rsid w:val="076C49A4"/>
    <w:rsid w:val="077E1C80"/>
    <w:rsid w:val="07D53B7D"/>
    <w:rsid w:val="07DE0BFC"/>
    <w:rsid w:val="07EE77B2"/>
    <w:rsid w:val="081259FF"/>
    <w:rsid w:val="0824491B"/>
    <w:rsid w:val="08354A83"/>
    <w:rsid w:val="083C3150"/>
    <w:rsid w:val="084A4F87"/>
    <w:rsid w:val="0879297A"/>
    <w:rsid w:val="089E6732"/>
    <w:rsid w:val="08B75AEA"/>
    <w:rsid w:val="091E0E3D"/>
    <w:rsid w:val="093D7903"/>
    <w:rsid w:val="09413EE5"/>
    <w:rsid w:val="094415BA"/>
    <w:rsid w:val="0949736D"/>
    <w:rsid w:val="09797BA8"/>
    <w:rsid w:val="09830237"/>
    <w:rsid w:val="09A24431"/>
    <w:rsid w:val="09EA0566"/>
    <w:rsid w:val="0A2C0E11"/>
    <w:rsid w:val="0A6C313A"/>
    <w:rsid w:val="0A9257D8"/>
    <w:rsid w:val="0AB04084"/>
    <w:rsid w:val="0B747489"/>
    <w:rsid w:val="0BBD0C0D"/>
    <w:rsid w:val="0BCB61A9"/>
    <w:rsid w:val="0BEB5FB8"/>
    <w:rsid w:val="0BEC6E1F"/>
    <w:rsid w:val="0C4729B0"/>
    <w:rsid w:val="0C611AB0"/>
    <w:rsid w:val="0C782546"/>
    <w:rsid w:val="0C7834BE"/>
    <w:rsid w:val="0CA62C91"/>
    <w:rsid w:val="0CB03E82"/>
    <w:rsid w:val="0CB34FA1"/>
    <w:rsid w:val="0CC54DCB"/>
    <w:rsid w:val="0CE64F4C"/>
    <w:rsid w:val="0CEC6761"/>
    <w:rsid w:val="0D0B72D4"/>
    <w:rsid w:val="0D19503B"/>
    <w:rsid w:val="0D2A1945"/>
    <w:rsid w:val="0D450664"/>
    <w:rsid w:val="0D456907"/>
    <w:rsid w:val="0D511470"/>
    <w:rsid w:val="0D5F3BCE"/>
    <w:rsid w:val="0D6830AF"/>
    <w:rsid w:val="0D7B3040"/>
    <w:rsid w:val="0D9E2287"/>
    <w:rsid w:val="0DB05EDD"/>
    <w:rsid w:val="0DB90F92"/>
    <w:rsid w:val="0DB97FBA"/>
    <w:rsid w:val="0DBF6790"/>
    <w:rsid w:val="0E186598"/>
    <w:rsid w:val="0E6739E2"/>
    <w:rsid w:val="0E9D5C8C"/>
    <w:rsid w:val="0EA468F3"/>
    <w:rsid w:val="0EC11500"/>
    <w:rsid w:val="0ED77584"/>
    <w:rsid w:val="0F27683E"/>
    <w:rsid w:val="0F35059F"/>
    <w:rsid w:val="0F4B4CD7"/>
    <w:rsid w:val="0F8D38AB"/>
    <w:rsid w:val="0F92083F"/>
    <w:rsid w:val="0FCC5A50"/>
    <w:rsid w:val="0FEE2558"/>
    <w:rsid w:val="0FFC1D75"/>
    <w:rsid w:val="0FFE4E76"/>
    <w:rsid w:val="1037082A"/>
    <w:rsid w:val="103A7B40"/>
    <w:rsid w:val="10443202"/>
    <w:rsid w:val="104E01A5"/>
    <w:rsid w:val="10B33874"/>
    <w:rsid w:val="10E906D7"/>
    <w:rsid w:val="11130025"/>
    <w:rsid w:val="11133C7C"/>
    <w:rsid w:val="113A7578"/>
    <w:rsid w:val="11A628B9"/>
    <w:rsid w:val="11D55353"/>
    <w:rsid w:val="11EE715B"/>
    <w:rsid w:val="11F06E93"/>
    <w:rsid w:val="120C47C2"/>
    <w:rsid w:val="12374CBC"/>
    <w:rsid w:val="126A51D6"/>
    <w:rsid w:val="126D390F"/>
    <w:rsid w:val="12E0204C"/>
    <w:rsid w:val="12EB0932"/>
    <w:rsid w:val="12F362CB"/>
    <w:rsid w:val="130C4B26"/>
    <w:rsid w:val="13220214"/>
    <w:rsid w:val="13241681"/>
    <w:rsid w:val="13721141"/>
    <w:rsid w:val="13754DA5"/>
    <w:rsid w:val="1379143D"/>
    <w:rsid w:val="13D12F32"/>
    <w:rsid w:val="13D62B57"/>
    <w:rsid w:val="13FD6000"/>
    <w:rsid w:val="140266A4"/>
    <w:rsid w:val="142D6FE3"/>
    <w:rsid w:val="14563A02"/>
    <w:rsid w:val="14645ABE"/>
    <w:rsid w:val="14831F71"/>
    <w:rsid w:val="14926E9A"/>
    <w:rsid w:val="14A95E31"/>
    <w:rsid w:val="14B318F5"/>
    <w:rsid w:val="14E42233"/>
    <w:rsid w:val="14EF4891"/>
    <w:rsid w:val="14FF20ED"/>
    <w:rsid w:val="153429AB"/>
    <w:rsid w:val="15912225"/>
    <w:rsid w:val="15C35364"/>
    <w:rsid w:val="15FF0BBC"/>
    <w:rsid w:val="162C521F"/>
    <w:rsid w:val="168D0147"/>
    <w:rsid w:val="16965DE6"/>
    <w:rsid w:val="16B4231D"/>
    <w:rsid w:val="16D51025"/>
    <w:rsid w:val="170427DA"/>
    <w:rsid w:val="172A1678"/>
    <w:rsid w:val="172F0C41"/>
    <w:rsid w:val="17304525"/>
    <w:rsid w:val="17473613"/>
    <w:rsid w:val="18047846"/>
    <w:rsid w:val="18116283"/>
    <w:rsid w:val="18200FD8"/>
    <w:rsid w:val="18702A7E"/>
    <w:rsid w:val="187D343B"/>
    <w:rsid w:val="18816DEB"/>
    <w:rsid w:val="19722293"/>
    <w:rsid w:val="197312F7"/>
    <w:rsid w:val="197D38CC"/>
    <w:rsid w:val="19AA4B44"/>
    <w:rsid w:val="19BF0721"/>
    <w:rsid w:val="19DD798F"/>
    <w:rsid w:val="1A24110D"/>
    <w:rsid w:val="1A3513BE"/>
    <w:rsid w:val="1ACB4B52"/>
    <w:rsid w:val="1ACD104C"/>
    <w:rsid w:val="1B085EDB"/>
    <w:rsid w:val="1B326834"/>
    <w:rsid w:val="1B904E21"/>
    <w:rsid w:val="1B9E0B27"/>
    <w:rsid w:val="1BAC0B88"/>
    <w:rsid w:val="1BDB0CE6"/>
    <w:rsid w:val="1C332B88"/>
    <w:rsid w:val="1C3C3CC4"/>
    <w:rsid w:val="1CE77830"/>
    <w:rsid w:val="1D1E7F8B"/>
    <w:rsid w:val="1D2C0A58"/>
    <w:rsid w:val="1D40056C"/>
    <w:rsid w:val="1D436937"/>
    <w:rsid w:val="1D6342E8"/>
    <w:rsid w:val="1D684516"/>
    <w:rsid w:val="1D6D150E"/>
    <w:rsid w:val="1DDB38DE"/>
    <w:rsid w:val="1E091F44"/>
    <w:rsid w:val="1E1F75BE"/>
    <w:rsid w:val="1E392021"/>
    <w:rsid w:val="1E3D5EE8"/>
    <w:rsid w:val="1E4D0E98"/>
    <w:rsid w:val="1E6C05C3"/>
    <w:rsid w:val="1E6F2B68"/>
    <w:rsid w:val="1E70316B"/>
    <w:rsid w:val="1E7F10CA"/>
    <w:rsid w:val="1EBF7308"/>
    <w:rsid w:val="1F0135CA"/>
    <w:rsid w:val="1F4E3C1A"/>
    <w:rsid w:val="1F525F15"/>
    <w:rsid w:val="1F6C111A"/>
    <w:rsid w:val="1FB97B1D"/>
    <w:rsid w:val="1FD16B2E"/>
    <w:rsid w:val="1FEB3D8D"/>
    <w:rsid w:val="20841F8E"/>
    <w:rsid w:val="20C9506B"/>
    <w:rsid w:val="210F3D49"/>
    <w:rsid w:val="21653637"/>
    <w:rsid w:val="2229007D"/>
    <w:rsid w:val="229349A2"/>
    <w:rsid w:val="229B543A"/>
    <w:rsid w:val="229C1A70"/>
    <w:rsid w:val="229F2BE8"/>
    <w:rsid w:val="22AD2AFB"/>
    <w:rsid w:val="22C9585B"/>
    <w:rsid w:val="22EE712B"/>
    <w:rsid w:val="2313428B"/>
    <w:rsid w:val="2322370A"/>
    <w:rsid w:val="239A029C"/>
    <w:rsid w:val="23AA2A04"/>
    <w:rsid w:val="23B57E71"/>
    <w:rsid w:val="23C0180C"/>
    <w:rsid w:val="23C54778"/>
    <w:rsid w:val="23E938B1"/>
    <w:rsid w:val="23EE2EB4"/>
    <w:rsid w:val="24023C12"/>
    <w:rsid w:val="24292C19"/>
    <w:rsid w:val="243B7FD1"/>
    <w:rsid w:val="244D42E2"/>
    <w:rsid w:val="246F17C8"/>
    <w:rsid w:val="247275BD"/>
    <w:rsid w:val="24A13B05"/>
    <w:rsid w:val="24A86C71"/>
    <w:rsid w:val="24AE5B35"/>
    <w:rsid w:val="24DA7B9E"/>
    <w:rsid w:val="24DB6045"/>
    <w:rsid w:val="251B6E60"/>
    <w:rsid w:val="253367B6"/>
    <w:rsid w:val="255E14B5"/>
    <w:rsid w:val="25DA0558"/>
    <w:rsid w:val="26021720"/>
    <w:rsid w:val="261D21EF"/>
    <w:rsid w:val="26437B7C"/>
    <w:rsid w:val="26923406"/>
    <w:rsid w:val="26B839D4"/>
    <w:rsid w:val="26BD79DA"/>
    <w:rsid w:val="273A751F"/>
    <w:rsid w:val="27570260"/>
    <w:rsid w:val="276F43CE"/>
    <w:rsid w:val="27704605"/>
    <w:rsid w:val="277C42AF"/>
    <w:rsid w:val="27865A3D"/>
    <w:rsid w:val="27EC1D74"/>
    <w:rsid w:val="28366EAE"/>
    <w:rsid w:val="28380957"/>
    <w:rsid w:val="28853E8B"/>
    <w:rsid w:val="289D7B65"/>
    <w:rsid w:val="289F69CB"/>
    <w:rsid w:val="28A60345"/>
    <w:rsid w:val="28CD737E"/>
    <w:rsid w:val="28EC4818"/>
    <w:rsid w:val="28FE20E9"/>
    <w:rsid w:val="294E6232"/>
    <w:rsid w:val="29A11391"/>
    <w:rsid w:val="29A62616"/>
    <w:rsid w:val="29AD4FF2"/>
    <w:rsid w:val="29BE2F56"/>
    <w:rsid w:val="29FC09E6"/>
    <w:rsid w:val="2A191616"/>
    <w:rsid w:val="2A2E3894"/>
    <w:rsid w:val="2A412C00"/>
    <w:rsid w:val="2A680910"/>
    <w:rsid w:val="2A915F85"/>
    <w:rsid w:val="2A9C0EB8"/>
    <w:rsid w:val="2AD1784F"/>
    <w:rsid w:val="2AE54A0B"/>
    <w:rsid w:val="2AFC3718"/>
    <w:rsid w:val="2B1024F4"/>
    <w:rsid w:val="2B1F0229"/>
    <w:rsid w:val="2B325A1D"/>
    <w:rsid w:val="2B3714A9"/>
    <w:rsid w:val="2B7E203A"/>
    <w:rsid w:val="2B8022D1"/>
    <w:rsid w:val="2BEB314B"/>
    <w:rsid w:val="2BF700D6"/>
    <w:rsid w:val="2C5532A3"/>
    <w:rsid w:val="2C721368"/>
    <w:rsid w:val="2CAD4F96"/>
    <w:rsid w:val="2D3D6037"/>
    <w:rsid w:val="2D6D7CCB"/>
    <w:rsid w:val="2D9B7D6E"/>
    <w:rsid w:val="2DA739DB"/>
    <w:rsid w:val="2DBB0278"/>
    <w:rsid w:val="2DBC7422"/>
    <w:rsid w:val="2DC822B1"/>
    <w:rsid w:val="2DE40756"/>
    <w:rsid w:val="2DE54CDC"/>
    <w:rsid w:val="2E4F04E8"/>
    <w:rsid w:val="2E5A3DAC"/>
    <w:rsid w:val="2E7D4F8D"/>
    <w:rsid w:val="2ED541FD"/>
    <w:rsid w:val="2EE27AAF"/>
    <w:rsid w:val="2EF55227"/>
    <w:rsid w:val="2F131BCB"/>
    <w:rsid w:val="2F137270"/>
    <w:rsid w:val="2F1A29EE"/>
    <w:rsid w:val="2F617555"/>
    <w:rsid w:val="2F91056C"/>
    <w:rsid w:val="2FF56759"/>
    <w:rsid w:val="302B7070"/>
    <w:rsid w:val="303E11C3"/>
    <w:rsid w:val="30510D90"/>
    <w:rsid w:val="314975E9"/>
    <w:rsid w:val="31E229AD"/>
    <w:rsid w:val="31F32E23"/>
    <w:rsid w:val="320C1016"/>
    <w:rsid w:val="3226036A"/>
    <w:rsid w:val="32336A14"/>
    <w:rsid w:val="326D324C"/>
    <w:rsid w:val="327761D7"/>
    <w:rsid w:val="327F610F"/>
    <w:rsid w:val="32C22EB4"/>
    <w:rsid w:val="32EC1C18"/>
    <w:rsid w:val="33273FFA"/>
    <w:rsid w:val="33463A59"/>
    <w:rsid w:val="336D38F4"/>
    <w:rsid w:val="33B342E5"/>
    <w:rsid w:val="33EF2366"/>
    <w:rsid w:val="33FA14EA"/>
    <w:rsid w:val="341C6C5E"/>
    <w:rsid w:val="3435640E"/>
    <w:rsid w:val="349A2AD5"/>
    <w:rsid w:val="34A04FCA"/>
    <w:rsid w:val="34F76DFB"/>
    <w:rsid w:val="3500267F"/>
    <w:rsid w:val="353A6610"/>
    <w:rsid w:val="357613F8"/>
    <w:rsid w:val="35DC5CC1"/>
    <w:rsid w:val="35E41194"/>
    <w:rsid w:val="362557E7"/>
    <w:rsid w:val="365D64F3"/>
    <w:rsid w:val="366102E0"/>
    <w:rsid w:val="36B84C08"/>
    <w:rsid w:val="36C54DD2"/>
    <w:rsid w:val="36C74ADF"/>
    <w:rsid w:val="36DE40B7"/>
    <w:rsid w:val="372928E9"/>
    <w:rsid w:val="373136A4"/>
    <w:rsid w:val="373D57FD"/>
    <w:rsid w:val="37A4218F"/>
    <w:rsid w:val="37B1426B"/>
    <w:rsid w:val="37B1494C"/>
    <w:rsid w:val="37FC6813"/>
    <w:rsid w:val="38063F97"/>
    <w:rsid w:val="38076C53"/>
    <w:rsid w:val="38176CC6"/>
    <w:rsid w:val="387A2EC9"/>
    <w:rsid w:val="38AB3D92"/>
    <w:rsid w:val="38B01AB3"/>
    <w:rsid w:val="38DB62EF"/>
    <w:rsid w:val="39092204"/>
    <w:rsid w:val="39342B77"/>
    <w:rsid w:val="3958211B"/>
    <w:rsid w:val="396154C2"/>
    <w:rsid w:val="398D3E0E"/>
    <w:rsid w:val="39990F32"/>
    <w:rsid w:val="39DA7023"/>
    <w:rsid w:val="39EE7089"/>
    <w:rsid w:val="39FD1517"/>
    <w:rsid w:val="3A090D83"/>
    <w:rsid w:val="3A2F329B"/>
    <w:rsid w:val="3A320AD0"/>
    <w:rsid w:val="3A3A537E"/>
    <w:rsid w:val="3AB670D7"/>
    <w:rsid w:val="3AC12936"/>
    <w:rsid w:val="3AC77C5F"/>
    <w:rsid w:val="3AEE46E7"/>
    <w:rsid w:val="3B0D7A4F"/>
    <w:rsid w:val="3B113AE7"/>
    <w:rsid w:val="3B35338F"/>
    <w:rsid w:val="3B9A6844"/>
    <w:rsid w:val="3C544E7B"/>
    <w:rsid w:val="3C5C7810"/>
    <w:rsid w:val="3CA26239"/>
    <w:rsid w:val="3CE12BD2"/>
    <w:rsid w:val="3D032A71"/>
    <w:rsid w:val="3D0D6DBA"/>
    <w:rsid w:val="3D27125A"/>
    <w:rsid w:val="3D322302"/>
    <w:rsid w:val="3D703FFB"/>
    <w:rsid w:val="3D85395F"/>
    <w:rsid w:val="3DA45423"/>
    <w:rsid w:val="3DD229E1"/>
    <w:rsid w:val="3E75519F"/>
    <w:rsid w:val="3E7B63C3"/>
    <w:rsid w:val="3E95212B"/>
    <w:rsid w:val="3E983AFD"/>
    <w:rsid w:val="3EBF56FC"/>
    <w:rsid w:val="3EC7363A"/>
    <w:rsid w:val="3ED01D12"/>
    <w:rsid w:val="3F44773D"/>
    <w:rsid w:val="3F5967BA"/>
    <w:rsid w:val="3F5C38C7"/>
    <w:rsid w:val="3F676329"/>
    <w:rsid w:val="3F6E1098"/>
    <w:rsid w:val="3F701D41"/>
    <w:rsid w:val="3F7133B2"/>
    <w:rsid w:val="3FA4132B"/>
    <w:rsid w:val="3FCF6391"/>
    <w:rsid w:val="3FE27824"/>
    <w:rsid w:val="3FE27F81"/>
    <w:rsid w:val="3FEE4363"/>
    <w:rsid w:val="3FF41D32"/>
    <w:rsid w:val="40092E6C"/>
    <w:rsid w:val="401B0EEE"/>
    <w:rsid w:val="4055743D"/>
    <w:rsid w:val="407927D4"/>
    <w:rsid w:val="40EC57C8"/>
    <w:rsid w:val="40FF2536"/>
    <w:rsid w:val="41236B85"/>
    <w:rsid w:val="41393F70"/>
    <w:rsid w:val="4154740A"/>
    <w:rsid w:val="415E3899"/>
    <w:rsid w:val="417D3407"/>
    <w:rsid w:val="41824C01"/>
    <w:rsid w:val="41C37C1E"/>
    <w:rsid w:val="420739C2"/>
    <w:rsid w:val="4211138F"/>
    <w:rsid w:val="42304D28"/>
    <w:rsid w:val="428933A3"/>
    <w:rsid w:val="42B2022D"/>
    <w:rsid w:val="42B93E96"/>
    <w:rsid w:val="42D64462"/>
    <w:rsid w:val="42DA6EE5"/>
    <w:rsid w:val="42FD3FD9"/>
    <w:rsid w:val="4331551B"/>
    <w:rsid w:val="434355D0"/>
    <w:rsid w:val="438716CE"/>
    <w:rsid w:val="43B1797A"/>
    <w:rsid w:val="43C66601"/>
    <w:rsid w:val="44081BDD"/>
    <w:rsid w:val="442E0FCD"/>
    <w:rsid w:val="447C1AE8"/>
    <w:rsid w:val="44857EAE"/>
    <w:rsid w:val="44924FB0"/>
    <w:rsid w:val="4499567F"/>
    <w:rsid w:val="44AB6C5E"/>
    <w:rsid w:val="44B0106A"/>
    <w:rsid w:val="450050DA"/>
    <w:rsid w:val="45571B82"/>
    <w:rsid w:val="459F69CE"/>
    <w:rsid w:val="45B808B9"/>
    <w:rsid w:val="45B92E33"/>
    <w:rsid w:val="45CC1E92"/>
    <w:rsid w:val="461F4E61"/>
    <w:rsid w:val="46434C26"/>
    <w:rsid w:val="46593C02"/>
    <w:rsid w:val="46842E8B"/>
    <w:rsid w:val="46AC3EB8"/>
    <w:rsid w:val="475825A4"/>
    <w:rsid w:val="47714ADA"/>
    <w:rsid w:val="478E4DC5"/>
    <w:rsid w:val="47B303EA"/>
    <w:rsid w:val="47B64514"/>
    <w:rsid w:val="47C544D5"/>
    <w:rsid w:val="48C14F4E"/>
    <w:rsid w:val="48D0462F"/>
    <w:rsid w:val="48DA6C8D"/>
    <w:rsid w:val="48DB482B"/>
    <w:rsid w:val="490135F0"/>
    <w:rsid w:val="490C1D52"/>
    <w:rsid w:val="49374F5B"/>
    <w:rsid w:val="49530F93"/>
    <w:rsid w:val="495A6163"/>
    <w:rsid w:val="497467AB"/>
    <w:rsid w:val="49A46D26"/>
    <w:rsid w:val="49B329BB"/>
    <w:rsid w:val="49C13CEE"/>
    <w:rsid w:val="49CF5D80"/>
    <w:rsid w:val="49DF0B77"/>
    <w:rsid w:val="4A6D44BD"/>
    <w:rsid w:val="4ACD717D"/>
    <w:rsid w:val="4AD70029"/>
    <w:rsid w:val="4AD71DF3"/>
    <w:rsid w:val="4B0C1758"/>
    <w:rsid w:val="4B5F1804"/>
    <w:rsid w:val="4B613D4F"/>
    <w:rsid w:val="4B8E1EF5"/>
    <w:rsid w:val="4B914ADD"/>
    <w:rsid w:val="4B980469"/>
    <w:rsid w:val="4BC40D3D"/>
    <w:rsid w:val="4BCB153A"/>
    <w:rsid w:val="4C3F3A18"/>
    <w:rsid w:val="4C78151B"/>
    <w:rsid w:val="4C923DC6"/>
    <w:rsid w:val="4CA93725"/>
    <w:rsid w:val="4CD852CD"/>
    <w:rsid w:val="4D0D64F6"/>
    <w:rsid w:val="4D2B1A9C"/>
    <w:rsid w:val="4D447B7F"/>
    <w:rsid w:val="4D6406F6"/>
    <w:rsid w:val="4D7F213D"/>
    <w:rsid w:val="4DB66D67"/>
    <w:rsid w:val="4DE23E72"/>
    <w:rsid w:val="4DF300D0"/>
    <w:rsid w:val="4E212428"/>
    <w:rsid w:val="4E2823B3"/>
    <w:rsid w:val="4E2B11B8"/>
    <w:rsid w:val="4E445088"/>
    <w:rsid w:val="4E4D3AB8"/>
    <w:rsid w:val="4E762582"/>
    <w:rsid w:val="4E7E0EA5"/>
    <w:rsid w:val="4E9E1056"/>
    <w:rsid w:val="4EC153EC"/>
    <w:rsid w:val="4EDD26E9"/>
    <w:rsid w:val="4EFC15C0"/>
    <w:rsid w:val="4F1651C6"/>
    <w:rsid w:val="4F1A1077"/>
    <w:rsid w:val="4F3F20DD"/>
    <w:rsid w:val="4F871A9A"/>
    <w:rsid w:val="4FA95656"/>
    <w:rsid w:val="50140A3A"/>
    <w:rsid w:val="501B1C2B"/>
    <w:rsid w:val="50210B95"/>
    <w:rsid w:val="503C5C12"/>
    <w:rsid w:val="5071777D"/>
    <w:rsid w:val="50CC0AB6"/>
    <w:rsid w:val="511C687C"/>
    <w:rsid w:val="512E696B"/>
    <w:rsid w:val="51422294"/>
    <w:rsid w:val="515327D0"/>
    <w:rsid w:val="51532B1D"/>
    <w:rsid w:val="51703191"/>
    <w:rsid w:val="518F550E"/>
    <w:rsid w:val="51992E03"/>
    <w:rsid w:val="519F2CBD"/>
    <w:rsid w:val="51B71A48"/>
    <w:rsid w:val="51BB1B03"/>
    <w:rsid w:val="51C01D56"/>
    <w:rsid w:val="522C3B15"/>
    <w:rsid w:val="52555C36"/>
    <w:rsid w:val="52735567"/>
    <w:rsid w:val="528A2482"/>
    <w:rsid w:val="52941F24"/>
    <w:rsid w:val="52D25CDA"/>
    <w:rsid w:val="52F26893"/>
    <w:rsid w:val="52F46924"/>
    <w:rsid w:val="53452C39"/>
    <w:rsid w:val="534E3610"/>
    <w:rsid w:val="53533945"/>
    <w:rsid w:val="53723ED9"/>
    <w:rsid w:val="53B32C64"/>
    <w:rsid w:val="543457B5"/>
    <w:rsid w:val="545327D8"/>
    <w:rsid w:val="54B5062E"/>
    <w:rsid w:val="55263F89"/>
    <w:rsid w:val="552E14EB"/>
    <w:rsid w:val="55310CED"/>
    <w:rsid w:val="554563CE"/>
    <w:rsid w:val="55826059"/>
    <w:rsid w:val="55835D25"/>
    <w:rsid w:val="55E2035B"/>
    <w:rsid w:val="56276C55"/>
    <w:rsid w:val="562F5EEF"/>
    <w:rsid w:val="565331A4"/>
    <w:rsid w:val="566F4A28"/>
    <w:rsid w:val="567931D2"/>
    <w:rsid w:val="56E42969"/>
    <w:rsid w:val="570B7C4B"/>
    <w:rsid w:val="571140A7"/>
    <w:rsid w:val="57324A4D"/>
    <w:rsid w:val="57353FC3"/>
    <w:rsid w:val="574E576B"/>
    <w:rsid w:val="5757768D"/>
    <w:rsid w:val="57590157"/>
    <w:rsid w:val="57706900"/>
    <w:rsid w:val="5773279A"/>
    <w:rsid w:val="57870DD6"/>
    <w:rsid w:val="578A14AE"/>
    <w:rsid w:val="57B33098"/>
    <w:rsid w:val="58262409"/>
    <w:rsid w:val="58AC72A3"/>
    <w:rsid w:val="58CA7AC0"/>
    <w:rsid w:val="59440EE3"/>
    <w:rsid w:val="596E4751"/>
    <w:rsid w:val="59736939"/>
    <w:rsid w:val="597402BF"/>
    <w:rsid w:val="59880C17"/>
    <w:rsid w:val="59C36DD2"/>
    <w:rsid w:val="59DD4EE8"/>
    <w:rsid w:val="59E65C25"/>
    <w:rsid w:val="5A0629F8"/>
    <w:rsid w:val="5A0C7580"/>
    <w:rsid w:val="5A4A5D3A"/>
    <w:rsid w:val="5A4F6396"/>
    <w:rsid w:val="5A5907CA"/>
    <w:rsid w:val="5A914F30"/>
    <w:rsid w:val="5A915D68"/>
    <w:rsid w:val="5A9546DD"/>
    <w:rsid w:val="5AB9642B"/>
    <w:rsid w:val="5B3C0F46"/>
    <w:rsid w:val="5B425B72"/>
    <w:rsid w:val="5B4361C9"/>
    <w:rsid w:val="5B700D9C"/>
    <w:rsid w:val="5B975AFA"/>
    <w:rsid w:val="5BB626BA"/>
    <w:rsid w:val="5BBE40F1"/>
    <w:rsid w:val="5BC975CA"/>
    <w:rsid w:val="5BE6285E"/>
    <w:rsid w:val="5BEF44EA"/>
    <w:rsid w:val="5C057CE8"/>
    <w:rsid w:val="5C67241E"/>
    <w:rsid w:val="5C865F96"/>
    <w:rsid w:val="5C925945"/>
    <w:rsid w:val="5CF464CA"/>
    <w:rsid w:val="5D2871F5"/>
    <w:rsid w:val="5D35540D"/>
    <w:rsid w:val="5D5A57D0"/>
    <w:rsid w:val="5D803461"/>
    <w:rsid w:val="5DA97AF6"/>
    <w:rsid w:val="5DB30653"/>
    <w:rsid w:val="5DB37185"/>
    <w:rsid w:val="5DBC0E73"/>
    <w:rsid w:val="5E030659"/>
    <w:rsid w:val="5E0F5F2E"/>
    <w:rsid w:val="5E3944AB"/>
    <w:rsid w:val="5E5917B3"/>
    <w:rsid w:val="5E6C07B4"/>
    <w:rsid w:val="5E9303CC"/>
    <w:rsid w:val="5E9E72B0"/>
    <w:rsid w:val="5EB9648C"/>
    <w:rsid w:val="5EF447AC"/>
    <w:rsid w:val="5F130DA9"/>
    <w:rsid w:val="5F30638A"/>
    <w:rsid w:val="5F4E4B6E"/>
    <w:rsid w:val="5F701788"/>
    <w:rsid w:val="5FA63FC1"/>
    <w:rsid w:val="6033527B"/>
    <w:rsid w:val="60417289"/>
    <w:rsid w:val="606B5563"/>
    <w:rsid w:val="60B81D96"/>
    <w:rsid w:val="60BD57A2"/>
    <w:rsid w:val="60E2707F"/>
    <w:rsid w:val="60F46013"/>
    <w:rsid w:val="61051431"/>
    <w:rsid w:val="61144D41"/>
    <w:rsid w:val="611A6615"/>
    <w:rsid w:val="613B4F45"/>
    <w:rsid w:val="61DE5C55"/>
    <w:rsid w:val="61E075E9"/>
    <w:rsid w:val="61E12073"/>
    <w:rsid w:val="61FA7119"/>
    <w:rsid w:val="6263418F"/>
    <w:rsid w:val="62B3224E"/>
    <w:rsid w:val="62F62757"/>
    <w:rsid w:val="6306024A"/>
    <w:rsid w:val="63102D9E"/>
    <w:rsid w:val="63F51FA3"/>
    <w:rsid w:val="64064221"/>
    <w:rsid w:val="641A257D"/>
    <w:rsid w:val="6443441B"/>
    <w:rsid w:val="6445537A"/>
    <w:rsid w:val="64967D96"/>
    <w:rsid w:val="64995056"/>
    <w:rsid w:val="64A9568D"/>
    <w:rsid w:val="64C16067"/>
    <w:rsid w:val="64CE45D3"/>
    <w:rsid w:val="64FA535B"/>
    <w:rsid w:val="65A12FA7"/>
    <w:rsid w:val="65EB4955"/>
    <w:rsid w:val="66477C9E"/>
    <w:rsid w:val="6648579A"/>
    <w:rsid w:val="66504404"/>
    <w:rsid w:val="66701391"/>
    <w:rsid w:val="667356C7"/>
    <w:rsid w:val="667724EC"/>
    <w:rsid w:val="669B1019"/>
    <w:rsid w:val="66DA5EBD"/>
    <w:rsid w:val="670E58D5"/>
    <w:rsid w:val="67261B1C"/>
    <w:rsid w:val="67375FB4"/>
    <w:rsid w:val="674902FF"/>
    <w:rsid w:val="677E7699"/>
    <w:rsid w:val="67B82329"/>
    <w:rsid w:val="67BF7D90"/>
    <w:rsid w:val="67C50C44"/>
    <w:rsid w:val="67C817B5"/>
    <w:rsid w:val="67E3597E"/>
    <w:rsid w:val="67E819C6"/>
    <w:rsid w:val="6833136E"/>
    <w:rsid w:val="686072D0"/>
    <w:rsid w:val="686F67B9"/>
    <w:rsid w:val="68B04BEF"/>
    <w:rsid w:val="68BC7843"/>
    <w:rsid w:val="68C818AA"/>
    <w:rsid w:val="68D26B71"/>
    <w:rsid w:val="69080D14"/>
    <w:rsid w:val="694E26D6"/>
    <w:rsid w:val="69786878"/>
    <w:rsid w:val="699B078F"/>
    <w:rsid w:val="6A6E2AA9"/>
    <w:rsid w:val="6A8871F4"/>
    <w:rsid w:val="6A9A00A8"/>
    <w:rsid w:val="6AA37CDB"/>
    <w:rsid w:val="6ABE48D1"/>
    <w:rsid w:val="6B3D6D32"/>
    <w:rsid w:val="6B6A45EE"/>
    <w:rsid w:val="6B6E1CFC"/>
    <w:rsid w:val="6B8A5AC3"/>
    <w:rsid w:val="6BD23407"/>
    <w:rsid w:val="6C0C3FA2"/>
    <w:rsid w:val="6C405065"/>
    <w:rsid w:val="6C484803"/>
    <w:rsid w:val="6C617E75"/>
    <w:rsid w:val="6C703741"/>
    <w:rsid w:val="6CEE073D"/>
    <w:rsid w:val="6D044E86"/>
    <w:rsid w:val="6D130371"/>
    <w:rsid w:val="6D5939FA"/>
    <w:rsid w:val="6D7D3246"/>
    <w:rsid w:val="6D9B1C10"/>
    <w:rsid w:val="6DBA08CF"/>
    <w:rsid w:val="6DE255FB"/>
    <w:rsid w:val="6DE529E1"/>
    <w:rsid w:val="6DFE528C"/>
    <w:rsid w:val="6E317C4A"/>
    <w:rsid w:val="6E462D68"/>
    <w:rsid w:val="6E5E5BD1"/>
    <w:rsid w:val="6E6C6727"/>
    <w:rsid w:val="6E7E0E86"/>
    <w:rsid w:val="6EB56BB5"/>
    <w:rsid w:val="6EFB12F4"/>
    <w:rsid w:val="6F0566CB"/>
    <w:rsid w:val="6F1F1F32"/>
    <w:rsid w:val="6F445FB7"/>
    <w:rsid w:val="6F474BC1"/>
    <w:rsid w:val="6FB340E0"/>
    <w:rsid w:val="70513D42"/>
    <w:rsid w:val="70754F23"/>
    <w:rsid w:val="70900C75"/>
    <w:rsid w:val="70B17A39"/>
    <w:rsid w:val="70C549D5"/>
    <w:rsid w:val="70F95792"/>
    <w:rsid w:val="70FA0C73"/>
    <w:rsid w:val="71296C93"/>
    <w:rsid w:val="713548B3"/>
    <w:rsid w:val="714810D5"/>
    <w:rsid w:val="716A35CD"/>
    <w:rsid w:val="716D7A72"/>
    <w:rsid w:val="716E66FC"/>
    <w:rsid w:val="719810FC"/>
    <w:rsid w:val="720533B9"/>
    <w:rsid w:val="72115C21"/>
    <w:rsid w:val="72427550"/>
    <w:rsid w:val="728A32EB"/>
    <w:rsid w:val="73000F18"/>
    <w:rsid w:val="7303554A"/>
    <w:rsid w:val="7317703A"/>
    <w:rsid w:val="73A861DF"/>
    <w:rsid w:val="73BB1BE0"/>
    <w:rsid w:val="73CD59EE"/>
    <w:rsid w:val="73DB2D62"/>
    <w:rsid w:val="73EA2042"/>
    <w:rsid w:val="741D6E13"/>
    <w:rsid w:val="742A1775"/>
    <w:rsid w:val="7447614D"/>
    <w:rsid w:val="74683CBF"/>
    <w:rsid w:val="74731105"/>
    <w:rsid w:val="747752F6"/>
    <w:rsid w:val="74B46F86"/>
    <w:rsid w:val="74DA158C"/>
    <w:rsid w:val="75137460"/>
    <w:rsid w:val="754A7A25"/>
    <w:rsid w:val="755139C7"/>
    <w:rsid w:val="756C0D69"/>
    <w:rsid w:val="757A40AD"/>
    <w:rsid w:val="757F06BD"/>
    <w:rsid w:val="7602381B"/>
    <w:rsid w:val="762E45D7"/>
    <w:rsid w:val="763311F4"/>
    <w:rsid w:val="76690A10"/>
    <w:rsid w:val="76851CF8"/>
    <w:rsid w:val="7696296B"/>
    <w:rsid w:val="76B13E20"/>
    <w:rsid w:val="76CE6920"/>
    <w:rsid w:val="76F63B0A"/>
    <w:rsid w:val="76F9193F"/>
    <w:rsid w:val="77172CF5"/>
    <w:rsid w:val="77623533"/>
    <w:rsid w:val="777C1524"/>
    <w:rsid w:val="77970A89"/>
    <w:rsid w:val="77A46078"/>
    <w:rsid w:val="77A551AC"/>
    <w:rsid w:val="77C15388"/>
    <w:rsid w:val="77CA7DD4"/>
    <w:rsid w:val="77F1317D"/>
    <w:rsid w:val="77F70936"/>
    <w:rsid w:val="77F78EE2"/>
    <w:rsid w:val="783F31A3"/>
    <w:rsid w:val="785262A4"/>
    <w:rsid w:val="7873211B"/>
    <w:rsid w:val="78AC5956"/>
    <w:rsid w:val="78C773CE"/>
    <w:rsid w:val="78D86EEF"/>
    <w:rsid w:val="79150A32"/>
    <w:rsid w:val="792B5B61"/>
    <w:rsid w:val="792E3CC1"/>
    <w:rsid w:val="795819FA"/>
    <w:rsid w:val="79764FD6"/>
    <w:rsid w:val="799016F0"/>
    <w:rsid w:val="79A06F75"/>
    <w:rsid w:val="7A351C11"/>
    <w:rsid w:val="7A5272C3"/>
    <w:rsid w:val="7AB20B7A"/>
    <w:rsid w:val="7AB36595"/>
    <w:rsid w:val="7AC61FF4"/>
    <w:rsid w:val="7AEB5AA4"/>
    <w:rsid w:val="7B0214D0"/>
    <w:rsid w:val="7B24479B"/>
    <w:rsid w:val="7B3A3BF5"/>
    <w:rsid w:val="7B8C7C09"/>
    <w:rsid w:val="7BA014E4"/>
    <w:rsid w:val="7BCC7CB0"/>
    <w:rsid w:val="7BD552F8"/>
    <w:rsid w:val="7C07714D"/>
    <w:rsid w:val="7C2B7FE0"/>
    <w:rsid w:val="7C6E187B"/>
    <w:rsid w:val="7C806B23"/>
    <w:rsid w:val="7CCA3720"/>
    <w:rsid w:val="7CD64E71"/>
    <w:rsid w:val="7D17547E"/>
    <w:rsid w:val="7D374278"/>
    <w:rsid w:val="7D445047"/>
    <w:rsid w:val="7D4B2480"/>
    <w:rsid w:val="7DBC0E97"/>
    <w:rsid w:val="7DE0602C"/>
    <w:rsid w:val="7DEA2CE7"/>
    <w:rsid w:val="7DF97E5F"/>
    <w:rsid w:val="7E0153FD"/>
    <w:rsid w:val="7EC17A01"/>
    <w:rsid w:val="7EE17CCC"/>
    <w:rsid w:val="7EE33ECA"/>
    <w:rsid w:val="7EEF3206"/>
    <w:rsid w:val="7F1E0E8F"/>
    <w:rsid w:val="7F3818C3"/>
    <w:rsid w:val="7F437D35"/>
    <w:rsid w:val="7F4D147A"/>
    <w:rsid w:val="7F681331"/>
    <w:rsid w:val="7F9A7B0C"/>
    <w:rsid w:val="7FB02BB3"/>
    <w:rsid w:val="7FC2585F"/>
    <w:rsid w:val="7FD7209A"/>
    <w:rsid w:val="8F2E6312"/>
    <w:rsid w:val="EAF32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unhideWhenUsed="0" w:uiPriority="0" w:semiHidden="0" w:name="Emphasis"/>
    <w:lsdException w:qFormat="1" w:uiPriority="99"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79" w:lineRule="atLeast"/>
      <w:jc w:val="both"/>
    </w:pPr>
    <w:rPr>
      <w:rFonts w:ascii="Times New Roman" w:hAnsi="Times New Roman" w:eastAsia="仿宋_GB2312" w:cs="Times New Roman"/>
      <w:sz w:val="32"/>
      <w:szCs w:val="32"/>
      <w:lang w:val="en-US" w:eastAsia="zh-CN" w:bidi="ar-SA"/>
    </w:rPr>
  </w:style>
  <w:style w:type="paragraph" w:styleId="3">
    <w:name w:val="heading 1"/>
    <w:basedOn w:val="4"/>
    <w:next w:val="1"/>
    <w:link w:val="41"/>
    <w:qFormat/>
    <w:uiPriority w:val="0"/>
    <w:pPr>
      <w:jc w:val="left"/>
      <w:outlineLvl w:val="0"/>
    </w:pPr>
    <w:rPr>
      <w:rFonts w:ascii="黑体" w:hAnsi="黑体" w:eastAsia="黑体" w:cstheme="majorBidi"/>
      <w:bCs/>
      <w:kern w:val="32"/>
    </w:rPr>
  </w:style>
  <w:style w:type="paragraph" w:styleId="5">
    <w:name w:val="heading 2"/>
    <w:basedOn w:val="1"/>
    <w:next w:val="6"/>
    <w:link w:val="79"/>
    <w:unhideWhenUsed/>
    <w:qFormat/>
    <w:uiPriority w:val="0"/>
    <w:pPr>
      <w:keepNext/>
      <w:keepLines/>
      <w:widowControl w:val="0"/>
      <w:adjustRightInd w:val="0"/>
      <w:snapToGrid w:val="0"/>
      <w:spacing w:line="560" w:lineRule="exact"/>
      <w:ind w:firstLine="640" w:firstLineChars="200"/>
      <w:outlineLvl w:val="1"/>
    </w:pPr>
    <w:rPr>
      <w:rFonts w:ascii="楷体_GB2312" w:eastAsia="楷体_GB2312" w:cstheme="majorBidi"/>
      <w:bCs/>
      <w:kern w:val="32"/>
      <w:szCs w:val="30"/>
    </w:rPr>
  </w:style>
  <w:style w:type="paragraph" w:styleId="7">
    <w:name w:val="heading 3"/>
    <w:basedOn w:val="1"/>
    <w:next w:val="6"/>
    <w:link w:val="91"/>
    <w:unhideWhenUsed/>
    <w:qFormat/>
    <w:uiPriority w:val="0"/>
    <w:pPr>
      <w:keepNext/>
      <w:keepLines/>
      <w:widowControl w:val="0"/>
      <w:ind w:firstLine="200" w:firstLineChars="200"/>
      <w:outlineLvl w:val="2"/>
    </w:pPr>
    <w:rPr>
      <w:rFonts w:ascii="仿宋_GB2312" w:cstheme="majorBidi"/>
      <w:b/>
      <w:bCs/>
      <w:kern w:val="32"/>
      <w:szCs w:val="28"/>
    </w:rPr>
  </w:style>
  <w:style w:type="paragraph" w:styleId="8">
    <w:name w:val="heading 4"/>
    <w:basedOn w:val="1"/>
    <w:next w:val="6"/>
    <w:link w:val="92"/>
    <w:semiHidden/>
    <w:unhideWhenUsed/>
    <w:qFormat/>
    <w:uiPriority w:val="0"/>
    <w:pPr>
      <w:keepNext/>
      <w:keepLines/>
      <w:ind w:firstLine="200" w:firstLineChars="200"/>
      <w:outlineLvl w:val="3"/>
    </w:pPr>
    <w:rPr>
      <w:rFonts w:ascii="仿宋_GB2312" w:hAnsiTheme="majorHAnsi" w:cstheme="majorBidi"/>
      <w:bCs/>
      <w:kern w:val="32"/>
      <w:szCs w:val="28"/>
    </w:rPr>
  </w:style>
  <w:style w:type="paragraph" w:styleId="9">
    <w:name w:val="heading 5"/>
    <w:basedOn w:val="1"/>
    <w:next w:val="1"/>
    <w:qFormat/>
    <w:uiPriority w:val="9"/>
    <w:pPr>
      <w:keepNext/>
      <w:keepLines/>
      <w:spacing w:before="280" w:after="290" w:line="376" w:lineRule="auto"/>
      <w:outlineLvl w:val="4"/>
    </w:pPr>
    <w:rPr>
      <w:b/>
      <w:bCs/>
      <w:sz w:val="28"/>
      <w:szCs w:val="28"/>
    </w:rPr>
  </w:style>
  <w:style w:type="paragraph" w:styleId="10">
    <w:name w:val="heading 6"/>
    <w:basedOn w:val="1"/>
    <w:next w:val="1"/>
    <w:link w:val="93"/>
    <w:semiHidden/>
    <w:unhideWhenUsed/>
    <w:qFormat/>
    <w:uiPriority w:val="9"/>
    <w:pPr>
      <w:keepNext/>
      <w:keepLines/>
      <w:spacing w:before="240" w:after="64" w:line="320" w:lineRule="atLeast"/>
      <w:outlineLvl w:val="5"/>
    </w:pPr>
    <w:rPr>
      <w:rFonts w:asciiTheme="majorHAnsi" w:hAnsiTheme="majorHAnsi" w:eastAsiaTheme="majorEastAsia" w:cstheme="majorBidi"/>
      <w:b/>
      <w:bCs/>
      <w:sz w:val="24"/>
      <w:szCs w:val="24"/>
    </w:rPr>
  </w:style>
  <w:style w:type="paragraph" w:styleId="11">
    <w:name w:val="heading 7"/>
    <w:basedOn w:val="1"/>
    <w:next w:val="1"/>
    <w:link w:val="94"/>
    <w:semiHidden/>
    <w:unhideWhenUsed/>
    <w:qFormat/>
    <w:uiPriority w:val="9"/>
    <w:pPr>
      <w:keepNext/>
      <w:keepLines/>
      <w:spacing w:before="240" w:after="64" w:line="320" w:lineRule="atLeast"/>
      <w:outlineLvl w:val="6"/>
    </w:pPr>
    <w:rPr>
      <w:rFonts w:cstheme="majorBidi"/>
      <w:b/>
      <w:bCs/>
      <w:sz w:val="24"/>
      <w:szCs w:val="24"/>
    </w:rPr>
  </w:style>
  <w:style w:type="paragraph" w:styleId="12">
    <w:name w:val="heading 8"/>
    <w:basedOn w:val="1"/>
    <w:next w:val="1"/>
    <w:link w:val="95"/>
    <w:semiHidden/>
    <w:unhideWhenUsed/>
    <w:qFormat/>
    <w:uiPriority w:val="9"/>
    <w:pPr>
      <w:keepNext/>
      <w:keepLines/>
      <w:spacing w:before="240" w:after="64" w:line="320" w:lineRule="atLeast"/>
      <w:outlineLvl w:val="7"/>
    </w:pPr>
    <w:rPr>
      <w:rFonts w:asciiTheme="majorHAnsi" w:hAnsiTheme="majorHAnsi" w:eastAsiaTheme="majorEastAsia" w:cstheme="majorBidi"/>
      <w:sz w:val="24"/>
      <w:szCs w:val="24"/>
    </w:rPr>
  </w:style>
  <w:style w:type="paragraph" w:styleId="13">
    <w:name w:val="heading 9"/>
    <w:basedOn w:val="1"/>
    <w:next w:val="1"/>
    <w:link w:val="96"/>
    <w:semiHidden/>
    <w:unhideWhenUsed/>
    <w:qFormat/>
    <w:uiPriority w:val="9"/>
    <w:pPr>
      <w:keepNext/>
      <w:keepLines/>
      <w:spacing w:before="240" w:after="64" w:line="320" w:lineRule="atLeast"/>
      <w:outlineLvl w:val="8"/>
    </w:pPr>
    <w:rPr>
      <w:rFonts w:asciiTheme="majorHAnsi" w:hAnsiTheme="majorHAnsi" w:eastAsiaTheme="majorEastAsia" w:cstheme="majorBidi"/>
      <w:sz w:val="21"/>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djustRightInd w:val="0"/>
      <w:snapToGrid w:val="0"/>
      <w:spacing w:line="560" w:lineRule="exact"/>
      <w:ind w:firstLine="862" w:firstLineChars="200"/>
    </w:pPr>
    <w:rPr>
      <w:rFonts w:ascii="仿宋" w:hAnsi="仿宋" w:eastAsia="仿宋" w:cs="仿宋"/>
      <w:lang w:val="zh-CN" w:bidi="zh-CN"/>
    </w:rPr>
  </w:style>
  <w:style w:type="paragraph" w:customStyle="1" w:styleId="4">
    <w:name w:val="正文_0"/>
    <w:next w:val="3"/>
    <w:qFormat/>
    <w:uiPriority w:val="0"/>
    <w:pPr>
      <w:widowControl w:val="0"/>
      <w:jc w:val="both"/>
    </w:pPr>
    <w:rPr>
      <w:rFonts w:ascii="Calibri" w:hAnsi="Calibri" w:eastAsia="宋体" w:cs="Times New Roman"/>
      <w:kern w:val="2"/>
      <w:sz w:val="21"/>
      <w:szCs w:val="24"/>
      <w:lang w:val="en-US" w:eastAsia="zh-CN" w:bidi="ar-SA"/>
    </w:rPr>
  </w:style>
  <w:style w:type="paragraph" w:styleId="6">
    <w:name w:val="Normal Indent"/>
    <w:basedOn w:val="1"/>
    <w:link w:val="97"/>
    <w:unhideWhenUsed/>
    <w:qFormat/>
    <w:uiPriority w:val="0"/>
    <w:pPr>
      <w:widowControl w:val="0"/>
      <w:spacing w:line="579" w:lineRule="exact"/>
      <w:ind w:firstLine="640" w:firstLineChars="200"/>
    </w:pPr>
    <w:rPr>
      <w:bCs/>
    </w:rPr>
  </w:style>
  <w:style w:type="paragraph" w:styleId="14">
    <w:name w:val="index 8"/>
    <w:basedOn w:val="1"/>
    <w:next w:val="1"/>
    <w:unhideWhenUsed/>
    <w:qFormat/>
    <w:uiPriority w:val="99"/>
    <w:pPr>
      <w:ind w:left="2940"/>
    </w:pPr>
  </w:style>
  <w:style w:type="paragraph" w:styleId="15">
    <w:name w:val="caption"/>
    <w:basedOn w:val="1"/>
    <w:next w:val="1"/>
    <w:unhideWhenUsed/>
    <w:qFormat/>
    <w:uiPriority w:val="0"/>
    <w:rPr>
      <w:rFonts w:eastAsia="黑体" w:asciiTheme="majorHAnsi" w:hAnsiTheme="majorHAnsi" w:cstheme="majorBidi"/>
      <w:sz w:val="20"/>
      <w:szCs w:val="20"/>
    </w:rPr>
  </w:style>
  <w:style w:type="paragraph" w:styleId="16">
    <w:name w:val="Document Map"/>
    <w:basedOn w:val="1"/>
    <w:link w:val="99"/>
    <w:semiHidden/>
    <w:unhideWhenUsed/>
    <w:qFormat/>
    <w:uiPriority w:val="99"/>
    <w:rPr>
      <w:rFonts w:ascii="Microsoft YaHei UI" w:eastAsia="Microsoft YaHei UI"/>
      <w:sz w:val="18"/>
      <w:szCs w:val="18"/>
    </w:rPr>
  </w:style>
  <w:style w:type="paragraph" w:styleId="17">
    <w:name w:val="annotation text"/>
    <w:basedOn w:val="1"/>
    <w:qFormat/>
    <w:uiPriority w:val="0"/>
    <w:pPr>
      <w:adjustRightInd w:val="0"/>
      <w:snapToGrid w:val="0"/>
      <w:spacing w:line="560" w:lineRule="exact"/>
      <w:ind w:firstLine="880" w:firstLineChars="200"/>
      <w:jc w:val="left"/>
    </w:pPr>
  </w:style>
  <w:style w:type="paragraph" w:styleId="18">
    <w:name w:val="Body Text Indent"/>
    <w:basedOn w:val="1"/>
    <w:qFormat/>
    <w:uiPriority w:val="0"/>
    <w:pPr>
      <w:spacing w:after="120"/>
      <w:ind w:left="420" w:leftChars="200"/>
    </w:pPr>
  </w:style>
  <w:style w:type="paragraph" w:styleId="19">
    <w:name w:val="Block Text"/>
    <w:basedOn w:val="1"/>
    <w:qFormat/>
    <w:uiPriority w:val="0"/>
    <w:pPr>
      <w:tabs>
        <w:tab w:val="right" w:leader="dot" w:pos="8296"/>
      </w:tabs>
      <w:spacing w:after="120"/>
      <w:ind w:left="700" w:leftChars="700" w:right="700" w:rightChars="700"/>
    </w:pPr>
  </w:style>
  <w:style w:type="paragraph" w:styleId="20">
    <w:name w:val="toc 3"/>
    <w:basedOn w:val="1"/>
    <w:next w:val="1"/>
    <w:qFormat/>
    <w:uiPriority w:val="0"/>
    <w:pPr>
      <w:ind w:left="840" w:leftChars="400"/>
    </w:pPr>
  </w:style>
  <w:style w:type="paragraph" w:styleId="21">
    <w:name w:val="Plain Text"/>
    <w:basedOn w:val="1"/>
    <w:next w:val="14"/>
    <w:link w:val="104"/>
    <w:qFormat/>
    <w:uiPriority w:val="0"/>
    <w:rPr>
      <w:rFonts w:ascii="宋体" w:hAnsi="Courier New" w:eastAsia="宋体" w:cs="Courier New"/>
      <w:sz w:val="21"/>
      <w:szCs w:val="21"/>
    </w:rPr>
  </w:style>
  <w:style w:type="paragraph" w:styleId="22">
    <w:name w:val="Date"/>
    <w:basedOn w:val="1"/>
    <w:next w:val="1"/>
    <w:link w:val="106"/>
    <w:qFormat/>
    <w:uiPriority w:val="0"/>
    <w:pPr>
      <w:ind w:left="100" w:leftChars="2500"/>
    </w:pPr>
  </w:style>
  <w:style w:type="paragraph" w:styleId="23">
    <w:name w:val="Body Text Indent 2"/>
    <w:basedOn w:val="1"/>
    <w:semiHidden/>
    <w:qFormat/>
    <w:uiPriority w:val="0"/>
    <w:pPr>
      <w:ind w:firstLine="570"/>
    </w:pPr>
    <w:rPr>
      <w:rFonts w:ascii="宋体" w:hAnsi="宋体"/>
      <w:b/>
      <w:bCs/>
      <w:sz w:val="28"/>
    </w:rPr>
  </w:style>
  <w:style w:type="paragraph" w:styleId="24">
    <w:name w:val="Balloon Text"/>
    <w:basedOn w:val="1"/>
    <w:semiHidden/>
    <w:qFormat/>
    <w:uiPriority w:val="0"/>
    <w:rPr>
      <w:sz w:val="18"/>
      <w:szCs w:val="18"/>
    </w:rPr>
  </w:style>
  <w:style w:type="paragraph" w:styleId="25">
    <w:name w:val="footer"/>
    <w:basedOn w:val="1"/>
    <w:link w:val="77"/>
    <w:qFormat/>
    <w:uiPriority w:val="99"/>
    <w:pPr>
      <w:tabs>
        <w:tab w:val="center" w:pos="4153"/>
        <w:tab w:val="right" w:pos="8306"/>
      </w:tabs>
      <w:snapToGrid w:val="0"/>
      <w:jc w:val="left"/>
    </w:pPr>
    <w:rPr>
      <w:sz w:val="18"/>
      <w:szCs w:val="18"/>
    </w:rPr>
  </w:style>
  <w:style w:type="paragraph" w:styleId="26">
    <w:name w:val="header"/>
    <w:basedOn w:val="1"/>
    <w:link w:val="76"/>
    <w:qFormat/>
    <w:uiPriority w:val="99"/>
    <w:pPr>
      <w:tabs>
        <w:tab w:val="center" w:pos="4153"/>
        <w:tab w:val="right" w:pos="8306"/>
      </w:tabs>
      <w:snapToGrid w:val="0"/>
      <w:jc w:val="center"/>
    </w:pPr>
    <w:rPr>
      <w:sz w:val="18"/>
      <w:szCs w:val="18"/>
    </w:rPr>
  </w:style>
  <w:style w:type="paragraph" w:styleId="27">
    <w:name w:val="toc 1"/>
    <w:basedOn w:val="1"/>
    <w:next w:val="1"/>
    <w:unhideWhenUsed/>
    <w:qFormat/>
    <w:uiPriority w:val="39"/>
    <w:pPr>
      <w:tabs>
        <w:tab w:val="right" w:leader="dot" w:pos="8845"/>
      </w:tabs>
    </w:pPr>
    <w:rPr>
      <w:rFonts w:ascii="黑体" w:eastAsia="黑体"/>
    </w:rPr>
  </w:style>
  <w:style w:type="paragraph" w:styleId="28">
    <w:name w:val="footnote text"/>
    <w:basedOn w:val="1"/>
    <w:unhideWhenUsed/>
    <w:qFormat/>
    <w:uiPriority w:val="99"/>
    <w:pPr>
      <w:snapToGrid w:val="0"/>
      <w:spacing w:before="50" w:beforeLines="50" w:after="50" w:afterLines="50" w:line="360" w:lineRule="auto"/>
      <w:ind w:firstLine="200" w:firstLineChars="200"/>
      <w:jc w:val="left"/>
    </w:pPr>
    <w:rPr>
      <w:rFonts w:ascii="仿宋_GB2312" w:hAnsi="Calibri"/>
      <w:sz w:val="18"/>
      <w:szCs w:val="18"/>
    </w:rPr>
  </w:style>
  <w:style w:type="paragraph" w:styleId="29">
    <w:name w:val="toc 2"/>
    <w:basedOn w:val="1"/>
    <w:next w:val="1"/>
    <w:qFormat/>
    <w:uiPriority w:val="39"/>
    <w:pPr>
      <w:ind w:left="420" w:leftChars="200"/>
    </w:pPr>
  </w:style>
  <w:style w:type="paragraph" w:styleId="30">
    <w:name w:val="Normal (Web)"/>
    <w:basedOn w:val="1"/>
    <w:qFormat/>
    <w:uiPriority w:val="0"/>
    <w:pPr>
      <w:spacing w:before="100" w:beforeAutospacing="1" w:after="100" w:afterAutospacing="1"/>
      <w:jc w:val="left"/>
    </w:pPr>
    <w:rPr>
      <w:rFonts w:ascii="宋体" w:hAnsi="宋体" w:eastAsia="宋体" w:cs="宋体"/>
      <w:sz w:val="24"/>
      <w:szCs w:val="24"/>
    </w:rPr>
  </w:style>
  <w:style w:type="paragraph" w:styleId="31">
    <w:name w:val="Title"/>
    <w:basedOn w:val="1"/>
    <w:next w:val="6"/>
    <w:link w:val="98"/>
    <w:qFormat/>
    <w:uiPriority w:val="0"/>
    <w:pPr>
      <w:jc w:val="center"/>
    </w:pPr>
    <w:rPr>
      <w:rFonts w:ascii="方正小标宋简体" w:eastAsia="方正小标宋简体" w:hAnsiTheme="majorHAnsi" w:cstheme="majorBidi"/>
      <w:bCs/>
      <w:kern w:val="44"/>
      <w:sz w:val="44"/>
    </w:rPr>
  </w:style>
  <w:style w:type="paragraph" w:styleId="32">
    <w:name w:val="Body Text First Indent 2"/>
    <w:basedOn w:val="18"/>
    <w:qFormat/>
    <w:uiPriority w:val="0"/>
    <w:pPr>
      <w:ind w:firstLine="420" w:firstLineChars="200"/>
    </w:p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rPr>
  </w:style>
  <w:style w:type="character" w:styleId="37">
    <w:name w:val="page number"/>
    <w:basedOn w:val="35"/>
    <w:unhideWhenUsed/>
    <w:qFormat/>
    <w:uiPriority w:val="99"/>
  </w:style>
  <w:style w:type="character" w:styleId="38">
    <w:name w:val="Hyperlink"/>
    <w:qFormat/>
    <w:uiPriority w:val="99"/>
    <w:rPr>
      <w:rFonts w:ascii="Verdana" w:hAnsi="Verdana" w:eastAsia="仿宋_GB2312"/>
      <w:color w:val="000000"/>
      <w:kern w:val="0"/>
      <w:sz w:val="24"/>
      <w:szCs w:val="20"/>
      <w:u w:val="none"/>
      <w:lang w:eastAsia="en-US"/>
    </w:rPr>
  </w:style>
  <w:style w:type="character" w:styleId="39">
    <w:name w:val="annotation reference"/>
    <w:basedOn w:val="35"/>
    <w:qFormat/>
    <w:uiPriority w:val="0"/>
    <w:rPr>
      <w:sz w:val="21"/>
      <w:szCs w:val="21"/>
    </w:rPr>
  </w:style>
  <w:style w:type="character" w:styleId="40">
    <w:name w:val="footnote reference"/>
    <w:unhideWhenUsed/>
    <w:qFormat/>
    <w:uiPriority w:val="99"/>
    <w:rPr>
      <w:rFonts w:ascii="黑体" w:hAnsi="Verdana" w:eastAsia="黑体"/>
      <w:kern w:val="0"/>
      <w:sz w:val="28"/>
      <w:szCs w:val="28"/>
      <w:vertAlign w:val="superscript"/>
      <w:lang w:eastAsia="en-US"/>
    </w:rPr>
  </w:style>
  <w:style w:type="character" w:customStyle="1" w:styleId="41">
    <w:name w:val="标题 1 字符"/>
    <w:basedOn w:val="35"/>
    <w:link w:val="3"/>
    <w:qFormat/>
    <w:uiPriority w:val="0"/>
    <w:rPr>
      <w:rFonts w:ascii="黑体" w:hAnsi="黑体" w:eastAsia="黑体" w:cstheme="majorBidi"/>
      <w:bCs/>
      <w:kern w:val="32"/>
    </w:rPr>
  </w:style>
  <w:style w:type="paragraph" w:customStyle="1" w:styleId="42">
    <w:name w:val="Char"/>
    <w:basedOn w:val="1"/>
    <w:qFormat/>
    <w:uiPriority w:val="0"/>
    <w:pPr>
      <w:spacing w:line="500" w:lineRule="exact"/>
      <w:outlineLvl w:val="2"/>
    </w:pPr>
    <w:rPr>
      <w:rFonts w:ascii="黑体" w:hAnsi="Verdana" w:eastAsia="黑体"/>
      <w:sz w:val="28"/>
      <w:szCs w:val="28"/>
      <w:lang w:eastAsia="en-US"/>
    </w:rPr>
  </w:style>
  <w:style w:type="character" w:customStyle="1" w:styleId="43">
    <w:name w:val="标题 2 Char"/>
    <w:qFormat/>
    <w:uiPriority w:val="0"/>
    <w:rPr>
      <w:rFonts w:eastAsia="楷体_GB2312"/>
    </w:rPr>
  </w:style>
  <w:style w:type="paragraph" w:customStyle="1" w:styleId="44">
    <w:name w:val="_Style 1"/>
    <w:basedOn w:val="1"/>
    <w:next w:val="1"/>
    <w:qFormat/>
    <w:uiPriority w:val="99"/>
    <w:pPr>
      <w:ind w:firstLine="420" w:firstLineChars="200"/>
    </w:pPr>
  </w:style>
  <w:style w:type="paragraph" w:customStyle="1" w:styleId="45">
    <w:name w:val="p0"/>
    <w:basedOn w:val="1"/>
    <w:qFormat/>
    <w:uiPriority w:val="0"/>
    <w:pPr>
      <w:spacing w:line="360" w:lineRule="auto"/>
      <w:ind w:firstLine="420"/>
    </w:pPr>
    <w:rPr>
      <w:rFonts w:eastAsia="宋体"/>
      <w:sz w:val="24"/>
      <w:szCs w:val="24"/>
    </w:rPr>
  </w:style>
  <w:style w:type="paragraph" w:customStyle="1" w:styleId="46">
    <w:name w:val="正文1"/>
    <w:basedOn w:val="1"/>
    <w:qFormat/>
    <w:uiPriority w:val="0"/>
    <w:rPr>
      <w:szCs w:val="21"/>
    </w:rPr>
  </w:style>
  <w:style w:type="paragraph" w:customStyle="1" w:styleId="47">
    <w:name w:val="Table Paragraph"/>
    <w:basedOn w:val="1"/>
    <w:qFormat/>
    <w:uiPriority w:val="1"/>
  </w:style>
  <w:style w:type="paragraph" w:styleId="48">
    <w:name w:val="List Paragraph"/>
    <w:basedOn w:val="1"/>
    <w:qFormat/>
    <w:uiPriority w:val="0"/>
    <w:pPr>
      <w:ind w:firstLine="420" w:firstLineChars="200"/>
    </w:pPr>
    <w:rPr>
      <w:rFonts w:eastAsia="宋体"/>
      <w:sz w:val="21"/>
      <w:szCs w:val="24"/>
    </w:rPr>
  </w:style>
  <w:style w:type="paragraph" w:customStyle="1" w:styleId="49">
    <w:name w:val="List Paragraph1"/>
    <w:basedOn w:val="1"/>
    <w:qFormat/>
    <w:uiPriority w:val="0"/>
    <w:pPr>
      <w:ind w:firstLine="420" w:firstLineChars="200"/>
    </w:pPr>
    <w:rPr>
      <w:rFonts w:eastAsia="宋体"/>
      <w:sz w:val="21"/>
      <w:szCs w:val="22"/>
    </w:rPr>
  </w:style>
  <w:style w:type="paragraph" w:customStyle="1" w:styleId="50">
    <w:name w:val="列表段落1"/>
    <w:basedOn w:val="1"/>
    <w:qFormat/>
    <w:uiPriority w:val="0"/>
    <w:pPr>
      <w:ind w:firstLine="420" w:firstLineChars="200"/>
      <w:jc w:val="left"/>
    </w:pPr>
    <w:rPr>
      <w:rFonts w:eastAsia="宋体"/>
      <w:sz w:val="21"/>
      <w:szCs w:val="21"/>
    </w:rPr>
  </w:style>
  <w:style w:type="paragraph" w:customStyle="1" w:styleId="51">
    <w:name w:val="文件标题"/>
    <w:basedOn w:val="1"/>
    <w:qFormat/>
    <w:uiPriority w:val="0"/>
    <w:pPr>
      <w:spacing w:line="540" w:lineRule="exact"/>
      <w:jc w:val="center"/>
    </w:pPr>
    <w:rPr>
      <w:rFonts w:eastAsia="宋体"/>
      <w:b/>
      <w:bCs/>
      <w:sz w:val="36"/>
      <w:szCs w:val="36"/>
    </w:rPr>
  </w:style>
  <w:style w:type="paragraph" w:customStyle="1" w:styleId="52">
    <w:name w:val="BT00"/>
    <w:qFormat/>
    <w:uiPriority w:val="0"/>
    <w:pPr>
      <w:widowControl w:val="0"/>
      <w:spacing w:line="579" w:lineRule="atLeast"/>
      <w:jc w:val="center"/>
      <w:outlineLvl w:val="0"/>
    </w:pPr>
    <w:rPr>
      <w:rFonts w:ascii="宋体" w:hAnsi="宋体" w:eastAsia="仿宋_GB2312" w:cs="Times New Roman"/>
      <w:b/>
      <w:sz w:val="44"/>
      <w:szCs w:val="44"/>
      <w:lang w:val="en-US" w:eastAsia="zh-CN" w:bidi="ar-SA"/>
    </w:rPr>
  </w:style>
  <w:style w:type="paragraph" w:customStyle="1" w:styleId="53">
    <w:name w:val="_Style 5"/>
    <w:qFormat/>
    <w:uiPriority w:val="0"/>
    <w:pPr>
      <w:widowControl w:val="0"/>
      <w:spacing w:line="579" w:lineRule="atLeast"/>
      <w:ind w:firstLine="200" w:firstLineChars="200"/>
      <w:jc w:val="both"/>
    </w:pPr>
    <w:rPr>
      <w:rFonts w:ascii="Times New Roman" w:hAnsi="Times New Roman" w:eastAsia="仿宋_GB2312" w:cs="宋体"/>
      <w:kern w:val="2"/>
      <w:sz w:val="24"/>
      <w:szCs w:val="22"/>
      <w:lang w:val="en-US" w:eastAsia="zh-CN" w:bidi="ar-SA"/>
    </w:rPr>
  </w:style>
  <w:style w:type="paragraph" w:customStyle="1" w:styleId="54">
    <w:name w:val="纯文本1"/>
    <w:basedOn w:val="1"/>
    <w:qFormat/>
    <w:uiPriority w:val="0"/>
    <w:rPr>
      <w:rFonts w:ascii="宋体" w:hAnsi="Courier New" w:eastAsia="宋体" w:cs="Courier New"/>
      <w:sz w:val="21"/>
      <w:szCs w:val="21"/>
    </w:rPr>
  </w:style>
  <w:style w:type="paragraph" w:customStyle="1" w:styleId="55">
    <w:name w:val="Plain Text1"/>
    <w:basedOn w:val="1"/>
    <w:qFormat/>
    <w:uiPriority w:val="0"/>
    <w:rPr>
      <w:rFonts w:ascii="宋体" w:hAnsi="Courier New" w:cs="宋体"/>
    </w:rPr>
  </w:style>
  <w:style w:type="paragraph" w:customStyle="1" w:styleId="56">
    <w:name w:val="公文-正文"/>
    <w:basedOn w:val="1"/>
    <w:qFormat/>
    <w:uiPriority w:val="0"/>
    <w:pPr>
      <w:spacing w:line="600" w:lineRule="exact"/>
      <w:ind w:firstLine="200" w:firstLineChars="200"/>
    </w:pPr>
    <w:rPr>
      <w:rFonts w:ascii="仿宋_GB2312"/>
      <w:szCs w:val="24"/>
    </w:rPr>
  </w:style>
  <w:style w:type="paragraph" w:customStyle="1" w:styleId="57">
    <w:name w:val="列出段落1"/>
    <w:basedOn w:val="1"/>
    <w:qFormat/>
    <w:uiPriority w:val="34"/>
    <w:pPr>
      <w:ind w:firstLine="420" w:firstLineChars="200"/>
    </w:pPr>
  </w:style>
  <w:style w:type="paragraph" w:customStyle="1" w:styleId="58">
    <w:name w:val="彩色列表 - 着色 11"/>
    <w:basedOn w:val="1"/>
    <w:qFormat/>
    <w:uiPriority w:val="0"/>
    <w:pPr>
      <w:ind w:firstLine="420" w:firstLineChars="200"/>
    </w:pPr>
    <w:rPr>
      <w:rFonts w:eastAsia="宋体"/>
      <w:sz w:val="21"/>
      <w:szCs w:val="24"/>
    </w:rPr>
  </w:style>
  <w:style w:type="paragraph" w:customStyle="1" w:styleId="59">
    <w:name w:val="默认段落字体 Para Char Char"/>
    <w:basedOn w:val="1"/>
    <w:qFormat/>
    <w:uiPriority w:val="0"/>
    <w:rPr>
      <w:szCs w:val="24"/>
    </w:rPr>
  </w:style>
  <w:style w:type="paragraph" w:customStyle="1" w:styleId="60">
    <w:name w:val="List Paragraph_c9c34343-cb84-4aa1-9feb-42dbf98a7b79"/>
    <w:basedOn w:val="1"/>
    <w:qFormat/>
    <w:uiPriority w:val="34"/>
    <w:pPr>
      <w:ind w:firstLine="420" w:firstLineChars="200"/>
    </w:pPr>
  </w:style>
  <w:style w:type="paragraph" w:customStyle="1" w:styleId="61">
    <w:name w:val="NormalIndent"/>
    <w:basedOn w:val="1"/>
    <w:qFormat/>
    <w:uiPriority w:val="0"/>
    <w:pPr>
      <w:ind w:firstLine="620"/>
      <w:textAlignment w:val="baseline"/>
    </w:pPr>
    <w:rPr>
      <w:rFonts w:eastAsia="宋体"/>
      <w:sz w:val="24"/>
      <w:szCs w:val="24"/>
    </w:rPr>
  </w:style>
  <w:style w:type="paragraph" w:customStyle="1" w:styleId="62">
    <w:name w:val="政府正文"/>
    <w:basedOn w:val="1"/>
    <w:qFormat/>
    <w:uiPriority w:val="0"/>
    <w:pPr>
      <w:adjustRightInd w:val="0"/>
      <w:snapToGrid w:val="0"/>
      <w:spacing w:line="560" w:lineRule="exact"/>
      <w:ind w:firstLine="641"/>
    </w:pPr>
    <w:rPr>
      <w:rFonts w:ascii="仿宋" w:eastAsia="仿宋"/>
    </w:rPr>
  </w:style>
  <w:style w:type="paragraph" w:customStyle="1" w:styleId="63">
    <w:name w:val="普通(网站)1"/>
    <w:basedOn w:val="1"/>
    <w:qFormat/>
    <w:uiPriority w:val="0"/>
    <w:pPr>
      <w:spacing w:before="100" w:beforeAutospacing="1" w:after="100" w:afterAutospacing="1"/>
      <w:jc w:val="left"/>
    </w:pPr>
    <w:rPr>
      <w:sz w:val="24"/>
    </w:rPr>
  </w:style>
  <w:style w:type="paragraph" w:customStyle="1" w:styleId="64">
    <w:name w:val="正文缩进1"/>
    <w:basedOn w:val="1"/>
    <w:qFormat/>
    <w:uiPriority w:val="0"/>
    <w:pPr>
      <w:spacing w:line="500" w:lineRule="exact"/>
      <w:ind w:right="8" w:rightChars="8" w:firstLine="640"/>
    </w:pPr>
    <w:rPr>
      <w:rFonts w:ascii="楷体_GB2312" w:eastAsia="楷体_GB2312"/>
    </w:rPr>
  </w:style>
  <w:style w:type="paragraph" w:customStyle="1" w:styleId="65">
    <w:name w:val="List Paragraph2"/>
    <w:basedOn w:val="1"/>
    <w:qFormat/>
    <w:uiPriority w:val="0"/>
    <w:pPr>
      <w:ind w:firstLine="420" w:firstLineChars="200"/>
    </w:pPr>
    <w:rPr>
      <w:rFonts w:eastAsia="等线"/>
      <w:sz w:val="21"/>
      <w:szCs w:val="22"/>
    </w:rPr>
  </w:style>
  <w:style w:type="paragraph" w:customStyle="1" w:styleId="66">
    <w:name w:val="Char Char Char Char Char Char Char Char Char Char Char Char Char Char Char Char Char Char Char Char Char Char Char Char Char Char Char Char Char Char Char Char Char"/>
    <w:basedOn w:val="1"/>
    <w:qFormat/>
    <w:uiPriority w:val="0"/>
    <w:pPr>
      <w:spacing w:after="160" w:line="240" w:lineRule="exact"/>
      <w:jc w:val="left"/>
    </w:pPr>
    <w:rPr>
      <w:rFonts w:ascii="Verdana" w:hAnsi="Verdana"/>
      <w:sz w:val="24"/>
      <w:szCs w:val="20"/>
      <w:lang w:eastAsia="en-US"/>
    </w:rPr>
  </w:style>
  <w:style w:type="paragraph" w:customStyle="1" w:styleId="67">
    <w:name w:val="列出段落2"/>
    <w:basedOn w:val="1"/>
    <w:qFormat/>
    <w:uiPriority w:val="0"/>
    <w:pPr>
      <w:ind w:firstLine="420" w:firstLineChars="200"/>
    </w:pPr>
  </w:style>
  <w:style w:type="paragraph" w:customStyle="1" w:styleId="68">
    <w:name w:val="Char1"/>
    <w:basedOn w:val="1"/>
    <w:qFormat/>
    <w:uiPriority w:val="0"/>
    <w:rPr>
      <w:rFonts w:ascii="Tahoma" w:hAnsi="Tahoma" w:eastAsia="宋体"/>
      <w:sz w:val="24"/>
      <w:szCs w:val="20"/>
    </w:rPr>
  </w:style>
  <w:style w:type="paragraph" w:customStyle="1" w:styleId="69">
    <w:name w:val="PlainText"/>
    <w:basedOn w:val="1"/>
    <w:qFormat/>
    <w:uiPriority w:val="0"/>
    <w:pPr>
      <w:textAlignment w:val="baseline"/>
    </w:pPr>
    <w:rPr>
      <w:rFonts w:ascii="宋体" w:hAnsi="Courier New" w:eastAsia="宋体"/>
      <w:sz w:val="21"/>
    </w:rPr>
  </w:style>
  <w:style w:type="paragraph" w:customStyle="1" w:styleId="70">
    <w:name w:val="Char2"/>
    <w:basedOn w:val="1"/>
    <w:qFormat/>
    <w:uiPriority w:val="0"/>
    <w:rPr>
      <w:rFonts w:eastAsia="宋体"/>
      <w:sz w:val="24"/>
      <w:szCs w:val="24"/>
    </w:rPr>
  </w:style>
  <w:style w:type="paragraph" w:customStyle="1" w:styleId="71">
    <w:name w:val="Char Char Char Char Char Char Char Char Char Char Char Char Char Char Char Char Char Char Char Char Char Char Char Char Char Char Char Char Char Char Char Char Char1"/>
    <w:basedOn w:val="1"/>
    <w:qFormat/>
    <w:uiPriority w:val="0"/>
    <w:pPr>
      <w:spacing w:after="160" w:line="240" w:lineRule="exact"/>
      <w:jc w:val="left"/>
    </w:pPr>
    <w:rPr>
      <w:rFonts w:ascii="Verdana" w:hAnsi="Verdana"/>
      <w:sz w:val="24"/>
      <w:szCs w:val="20"/>
      <w:lang w:eastAsia="en-US"/>
    </w:rPr>
  </w:style>
  <w:style w:type="character" w:customStyle="1" w:styleId="72">
    <w:name w:val="页眉 字符"/>
    <w:qFormat/>
    <w:locked/>
    <w:uiPriority w:val="99"/>
    <w:rPr>
      <w:rFonts w:ascii="Calibri" w:hAnsi="Calibri" w:eastAsia="仿宋_GB2312"/>
      <w:kern w:val="2"/>
      <w:sz w:val="18"/>
      <w:szCs w:val="18"/>
      <w:lang w:val="en-US" w:eastAsia="zh-CN" w:bidi="ar-SA"/>
    </w:rPr>
  </w:style>
  <w:style w:type="character" w:customStyle="1" w:styleId="73">
    <w:name w:val="页脚 Char"/>
    <w:qFormat/>
    <w:uiPriority w:val="0"/>
    <w:rPr>
      <w:rFonts w:eastAsia="仿宋_GB2312"/>
      <w:spacing w:val="-6"/>
      <w:kern w:val="2"/>
    </w:rPr>
  </w:style>
  <w:style w:type="character" w:customStyle="1" w:styleId="74">
    <w:name w:val="NormalCharacter"/>
    <w:link w:val="75"/>
    <w:semiHidden/>
    <w:qFormat/>
    <w:uiPriority w:val="0"/>
  </w:style>
  <w:style w:type="paragraph" w:customStyle="1" w:styleId="75">
    <w:name w:val="UserStyle_2"/>
    <w:basedOn w:val="1"/>
    <w:link w:val="74"/>
    <w:qFormat/>
    <w:uiPriority w:val="0"/>
    <w:pPr>
      <w:spacing w:after="160" w:line="240" w:lineRule="exact"/>
      <w:jc w:val="left"/>
    </w:pPr>
    <w:rPr>
      <w:sz w:val="20"/>
      <w:szCs w:val="20"/>
    </w:rPr>
  </w:style>
  <w:style w:type="character" w:customStyle="1" w:styleId="76">
    <w:name w:val="页眉 字符1"/>
    <w:link w:val="26"/>
    <w:qFormat/>
    <w:locked/>
    <w:uiPriority w:val="99"/>
    <w:rPr>
      <w:sz w:val="18"/>
      <w:szCs w:val="18"/>
    </w:rPr>
  </w:style>
  <w:style w:type="character" w:customStyle="1" w:styleId="77">
    <w:name w:val="页脚 字符1"/>
    <w:link w:val="25"/>
    <w:qFormat/>
    <w:locked/>
    <w:uiPriority w:val="0"/>
    <w:rPr>
      <w:rFonts w:ascii="Calibri" w:hAnsi="Calibri" w:eastAsia="仿宋_GB2312"/>
      <w:kern w:val="2"/>
      <w:sz w:val="18"/>
      <w:szCs w:val="18"/>
      <w:lang w:val="en-US" w:eastAsia="zh-CN" w:bidi="ar-SA"/>
    </w:rPr>
  </w:style>
  <w:style w:type="character" w:customStyle="1" w:styleId="78">
    <w:name w:val="fontstyle01"/>
    <w:qFormat/>
    <w:uiPriority w:val="0"/>
    <w:rPr>
      <w:rFonts w:hint="eastAsia" w:ascii="仿宋_GB2312" w:hAnsi="Verdana" w:eastAsia="仿宋_GB2312"/>
      <w:color w:val="000000"/>
      <w:kern w:val="0"/>
      <w:sz w:val="32"/>
      <w:szCs w:val="32"/>
      <w:lang w:eastAsia="en-US"/>
    </w:rPr>
  </w:style>
  <w:style w:type="character" w:customStyle="1" w:styleId="79">
    <w:name w:val="标题 2 字符"/>
    <w:basedOn w:val="35"/>
    <w:link w:val="5"/>
    <w:qFormat/>
    <w:locked/>
    <w:uiPriority w:val="0"/>
    <w:rPr>
      <w:rFonts w:ascii="楷体_GB2312" w:eastAsia="楷体_GB2312" w:cstheme="majorBidi"/>
      <w:bCs/>
      <w:kern w:val="32"/>
      <w:szCs w:val="30"/>
    </w:rPr>
  </w:style>
  <w:style w:type="character" w:customStyle="1" w:styleId="80">
    <w:name w:val="16"/>
    <w:qFormat/>
    <w:uiPriority w:val="0"/>
    <w:rPr>
      <w:rFonts w:hint="default" w:ascii="Times New Roman" w:hAnsi="Times New Roman" w:eastAsia="黑体" w:cs="Times New Roman"/>
      <w:color w:val="0000FF"/>
      <w:kern w:val="0"/>
      <w:sz w:val="28"/>
      <w:szCs w:val="28"/>
      <w:u w:val="single"/>
      <w:lang w:eastAsia="en-US"/>
    </w:rPr>
  </w:style>
  <w:style w:type="character" w:customStyle="1" w:styleId="81">
    <w:name w:val="fontstyle21"/>
    <w:qFormat/>
    <w:uiPriority w:val="0"/>
    <w:rPr>
      <w:rFonts w:hint="eastAsia" w:ascii="仿宋_GB2312" w:eastAsia="仿宋_GB2312"/>
      <w:color w:val="000000"/>
      <w:sz w:val="32"/>
      <w:szCs w:val="32"/>
    </w:rPr>
  </w:style>
  <w:style w:type="character" w:customStyle="1" w:styleId="82">
    <w:name w:val="页脚 字符"/>
    <w:qFormat/>
    <w:locked/>
    <w:uiPriority w:val="99"/>
    <w:rPr>
      <w:rFonts w:ascii="Calibri" w:hAnsi="Calibri" w:eastAsia="仿宋_GB2312"/>
      <w:kern w:val="2"/>
      <w:sz w:val="18"/>
      <w:szCs w:val="18"/>
      <w:lang w:val="en-US" w:eastAsia="zh-CN" w:bidi="ar-SA"/>
    </w:rPr>
  </w:style>
  <w:style w:type="paragraph" w:customStyle="1" w:styleId="83">
    <w:name w:val="图"/>
    <w:basedOn w:val="1"/>
    <w:link w:val="84"/>
    <w:qFormat/>
    <w:uiPriority w:val="1"/>
    <w:pPr>
      <w:adjustRightInd w:val="0"/>
      <w:spacing w:before="50" w:beforeLines="50" w:line="240" w:lineRule="auto"/>
      <w:jc w:val="center"/>
    </w:pPr>
    <w:rPr>
      <w:sz w:val="28"/>
      <w:szCs w:val="20"/>
    </w:rPr>
  </w:style>
  <w:style w:type="character" w:customStyle="1" w:styleId="84">
    <w:name w:val="图 Char"/>
    <w:basedOn w:val="35"/>
    <w:link w:val="83"/>
    <w:qFormat/>
    <w:uiPriority w:val="1"/>
    <w:rPr>
      <w:sz w:val="28"/>
      <w:szCs w:val="20"/>
    </w:rPr>
  </w:style>
  <w:style w:type="paragraph" w:customStyle="1" w:styleId="85">
    <w:name w:val="图表标题"/>
    <w:basedOn w:val="1"/>
    <w:next w:val="6"/>
    <w:link w:val="86"/>
    <w:qFormat/>
    <w:uiPriority w:val="1"/>
    <w:pPr>
      <w:spacing w:before="25" w:beforeLines="25" w:after="25" w:afterLines="25" w:line="400" w:lineRule="atLeast"/>
      <w:jc w:val="center"/>
      <w:outlineLvl w:val="4"/>
    </w:pPr>
    <w:rPr>
      <w:b/>
      <w:kern w:val="28"/>
      <w:sz w:val="28"/>
      <w:szCs w:val="28"/>
    </w:rPr>
  </w:style>
  <w:style w:type="character" w:customStyle="1" w:styleId="86">
    <w:name w:val="图表标题 Char"/>
    <w:basedOn w:val="35"/>
    <w:link w:val="85"/>
    <w:qFormat/>
    <w:uiPriority w:val="1"/>
    <w:rPr>
      <w:b/>
      <w:kern w:val="28"/>
      <w:sz w:val="28"/>
      <w:szCs w:val="28"/>
    </w:rPr>
  </w:style>
  <w:style w:type="paragraph" w:customStyle="1" w:styleId="87">
    <w:name w:val="图表内容"/>
    <w:basedOn w:val="1"/>
    <w:next w:val="6"/>
    <w:link w:val="88"/>
    <w:qFormat/>
    <w:uiPriority w:val="1"/>
    <w:pPr>
      <w:spacing w:line="360" w:lineRule="atLeast"/>
    </w:pPr>
    <w:rPr>
      <w:sz w:val="24"/>
      <w:szCs w:val="28"/>
    </w:rPr>
  </w:style>
  <w:style w:type="character" w:customStyle="1" w:styleId="88">
    <w:name w:val="图表内容 字符"/>
    <w:basedOn w:val="35"/>
    <w:link w:val="87"/>
    <w:qFormat/>
    <w:uiPriority w:val="1"/>
    <w:rPr>
      <w:sz w:val="24"/>
      <w:szCs w:val="28"/>
    </w:rPr>
  </w:style>
  <w:style w:type="paragraph" w:customStyle="1" w:styleId="89">
    <w:name w:val="正文加粗"/>
    <w:basedOn w:val="1"/>
    <w:next w:val="6"/>
    <w:link w:val="90"/>
    <w:qFormat/>
    <w:uiPriority w:val="0"/>
    <w:pPr>
      <w:ind w:firstLine="200" w:firstLineChars="200"/>
      <w:outlineLvl w:val="4"/>
    </w:pPr>
    <w:rPr>
      <w:rFonts w:ascii="黑体" w:eastAsia="黑体"/>
      <w:szCs w:val="20"/>
    </w:rPr>
  </w:style>
  <w:style w:type="character" w:customStyle="1" w:styleId="90">
    <w:name w:val="正文加粗 Char"/>
    <w:basedOn w:val="35"/>
    <w:link w:val="89"/>
    <w:qFormat/>
    <w:uiPriority w:val="0"/>
    <w:rPr>
      <w:rFonts w:ascii="黑体" w:eastAsia="黑体"/>
      <w:szCs w:val="20"/>
    </w:rPr>
  </w:style>
  <w:style w:type="character" w:customStyle="1" w:styleId="91">
    <w:name w:val="标题 3 字符"/>
    <w:basedOn w:val="35"/>
    <w:link w:val="7"/>
    <w:qFormat/>
    <w:uiPriority w:val="0"/>
    <w:rPr>
      <w:rFonts w:ascii="仿宋_GB2312" w:cstheme="majorBidi"/>
      <w:b/>
      <w:bCs/>
      <w:kern w:val="32"/>
      <w:szCs w:val="28"/>
    </w:rPr>
  </w:style>
  <w:style w:type="character" w:customStyle="1" w:styleId="92">
    <w:name w:val="标题 4 字符"/>
    <w:basedOn w:val="35"/>
    <w:link w:val="8"/>
    <w:semiHidden/>
    <w:qFormat/>
    <w:uiPriority w:val="0"/>
    <w:rPr>
      <w:rFonts w:ascii="仿宋_GB2312" w:hAnsiTheme="majorHAnsi" w:cstheme="majorBidi"/>
      <w:bCs/>
      <w:kern w:val="32"/>
      <w:szCs w:val="28"/>
    </w:rPr>
  </w:style>
  <w:style w:type="character" w:customStyle="1" w:styleId="93">
    <w:name w:val="标题 6 字符"/>
    <w:basedOn w:val="35"/>
    <w:link w:val="10"/>
    <w:semiHidden/>
    <w:qFormat/>
    <w:uiPriority w:val="9"/>
    <w:rPr>
      <w:rFonts w:asciiTheme="majorHAnsi" w:hAnsiTheme="majorHAnsi" w:eastAsiaTheme="majorEastAsia" w:cstheme="majorBidi"/>
      <w:b/>
      <w:bCs/>
      <w:sz w:val="24"/>
      <w:szCs w:val="24"/>
    </w:rPr>
  </w:style>
  <w:style w:type="character" w:customStyle="1" w:styleId="94">
    <w:name w:val="标题 7 字符"/>
    <w:basedOn w:val="35"/>
    <w:link w:val="11"/>
    <w:semiHidden/>
    <w:qFormat/>
    <w:uiPriority w:val="9"/>
    <w:rPr>
      <w:rFonts w:cstheme="majorBidi"/>
      <w:b/>
      <w:bCs/>
      <w:sz w:val="24"/>
      <w:szCs w:val="24"/>
    </w:rPr>
  </w:style>
  <w:style w:type="character" w:customStyle="1" w:styleId="95">
    <w:name w:val="标题 8 字符"/>
    <w:basedOn w:val="35"/>
    <w:link w:val="12"/>
    <w:semiHidden/>
    <w:qFormat/>
    <w:uiPriority w:val="9"/>
    <w:rPr>
      <w:rFonts w:asciiTheme="majorHAnsi" w:hAnsiTheme="majorHAnsi" w:eastAsiaTheme="majorEastAsia" w:cstheme="majorBidi"/>
      <w:sz w:val="24"/>
      <w:szCs w:val="24"/>
    </w:rPr>
  </w:style>
  <w:style w:type="character" w:customStyle="1" w:styleId="96">
    <w:name w:val="标题 9 字符"/>
    <w:basedOn w:val="35"/>
    <w:link w:val="13"/>
    <w:semiHidden/>
    <w:qFormat/>
    <w:uiPriority w:val="9"/>
    <w:rPr>
      <w:rFonts w:asciiTheme="majorHAnsi" w:hAnsiTheme="majorHAnsi" w:eastAsiaTheme="majorEastAsia" w:cstheme="majorBidi"/>
      <w:sz w:val="21"/>
      <w:szCs w:val="21"/>
    </w:rPr>
  </w:style>
  <w:style w:type="character" w:customStyle="1" w:styleId="97">
    <w:name w:val="正文缩进 字符"/>
    <w:basedOn w:val="35"/>
    <w:link w:val="6"/>
    <w:qFormat/>
    <w:uiPriority w:val="0"/>
    <w:rPr>
      <w:bCs/>
    </w:rPr>
  </w:style>
  <w:style w:type="character" w:customStyle="1" w:styleId="98">
    <w:name w:val="标题 字符"/>
    <w:basedOn w:val="35"/>
    <w:link w:val="31"/>
    <w:qFormat/>
    <w:uiPriority w:val="0"/>
    <w:rPr>
      <w:rFonts w:ascii="方正小标宋简体" w:eastAsia="方正小标宋简体" w:hAnsiTheme="majorHAnsi" w:cstheme="majorBidi"/>
      <w:bCs/>
      <w:kern w:val="44"/>
      <w:sz w:val="44"/>
    </w:rPr>
  </w:style>
  <w:style w:type="character" w:customStyle="1" w:styleId="99">
    <w:name w:val="文档结构图 字符"/>
    <w:basedOn w:val="35"/>
    <w:link w:val="16"/>
    <w:semiHidden/>
    <w:qFormat/>
    <w:uiPriority w:val="99"/>
    <w:rPr>
      <w:rFonts w:ascii="Microsoft YaHei UI" w:eastAsia="Microsoft YaHei UI"/>
      <w:sz w:val="18"/>
      <w:szCs w:val="18"/>
    </w:rPr>
  </w:style>
  <w:style w:type="paragraph" w:customStyle="1" w:styleId="100">
    <w:name w:val="TOC 标题1"/>
    <w:basedOn w:val="3"/>
    <w:next w:val="1"/>
    <w:semiHidden/>
    <w:unhideWhenUsed/>
    <w:qFormat/>
    <w:uiPriority w:val="39"/>
    <w:pPr>
      <w:spacing w:before="340" w:after="330" w:line="578" w:lineRule="atLeast"/>
      <w:outlineLvl w:val="9"/>
    </w:pPr>
    <w:rPr>
      <w:rFonts w:ascii="Times New Roman" w:hAnsi="Times New Roman" w:eastAsia="仿宋_GB2312"/>
      <w:b/>
      <w:kern w:val="44"/>
      <w:sz w:val="44"/>
      <w:szCs w:val="44"/>
    </w:rPr>
  </w:style>
  <w:style w:type="paragraph" w:customStyle="1" w:styleId="101">
    <w:name w:val="TOC 标题2"/>
    <w:basedOn w:val="3"/>
    <w:next w:val="1"/>
    <w:semiHidden/>
    <w:unhideWhenUsed/>
    <w:qFormat/>
    <w:uiPriority w:val="39"/>
    <w:pPr>
      <w:spacing w:before="340" w:after="330" w:line="578" w:lineRule="atLeast"/>
      <w:outlineLvl w:val="9"/>
    </w:pPr>
    <w:rPr>
      <w:rFonts w:ascii="Times New Roman" w:hAnsi="Times New Roman" w:eastAsia="仿宋_GB2312"/>
      <w:b/>
      <w:kern w:val="44"/>
      <w:sz w:val="44"/>
      <w:szCs w:val="44"/>
    </w:rPr>
  </w:style>
  <w:style w:type="paragraph" w:customStyle="1" w:styleId="102">
    <w:name w:val="TOC 标题3"/>
    <w:basedOn w:val="3"/>
    <w:next w:val="1"/>
    <w:semiHidden/>
    <w:unhideWhenUsed/>
    <w:qFormat/>
    <w:uiPriority w:val="39"/>
    <w:pPr>
      <w:spacing w:before="340" w:after="330" w:line="578" w:lineRule="atLeast"/>
      <w:outlineLvl w:val="9"/>
    </w:pPr>
    <w:rPr>
      <w:rFonts w:ascii="Times New Roman" w:hAnsi="Times New Roman" w:eastAsia="仿宋_GB2312"/>
      <w:b/>
      <w:kern w:val="44"/>
      <w:sz w:val="44"/>
      <w:szCs w:val="44"/>
    </w:rPr>
  </w:style>
  <w:style w:type="paragraph" w:customStyle="1" w:styleId="103">
    <w:name w:val="修订1"/>
    <w:hidden/>
    <w:semiHidden/>
    <w:qFormat/>
    <w:uiPriority w:val="99"/>
    <w:rPr>
      <w:rFonts w:ascii="Times New Roman" w:hAnsi="Times New Roman" w:eastAsia="仿宋_GB2312" w:cs="Times New Roman"/>
      <w:sz w:val="32"/>
      <w:szCs w:val="32"/>
      <w:lang w:val="en-US" w:eastAsia="zh-CN" w:bidi="ar-SA"/>
    </w:rPr>
  </w:style>
  <w:style w:type="character" w:customStyle="1" w:styleId="104">
    <w:name w:val="纯文本 字符"/>
    <w:link w:val="21"/>
    <w:qFormat/>
    <w:uiPriority w:val="0"/>
    <w:rPr>
      <w:rFonts w:ascii="宋体" w:hAnsi="Courier New" w:eastAsia="宋体" w:cs="Courier New"/>
      <w:sz w:val="21"/>
      <w:szCs w:val="21"/>
    </w:rPr>
  </w:style>
  <w:style w:type="character" w:customStyle="1" w:styleId="105">
    <w:name w:val="纯文本 字符1"/>
    <w:qFormat/>
    <w:uiPriority w:val="0"/>
    <w:rPr>
      <w:rFonts w:ascii="宋体" w:hAnsi="Courier New" w:eastAsia="宋体" w:cs="Times New Roman"/>
      <w:kern w:val="2"/>
      <w:sz w:val="21"/>
    </w:rPr>
  </w:style>
  <w:style w:type="character" w:customStyle="1" w:styleId="106">
    <w:name w:val="日期 字符"/>
    <w:basedOn w:val="35"/>
    <w:link w:val="22"/>
    <w:qFormat/>
    <w:uiPriority w:val="0"/>
    <w:rPr>
      <w:rFonts w:eastAsia="仿宋_GB2312"/>
      <w:sz w:val="32"/>
      <w:szCs w:val="32"/>
    </w:rPr>
  </w:style>
  <w:style w:type="paragraph" w:customStyle="1" w:styleId="107">
    <w:name w:val="公文正文"/>
    <w:basedOn w:val="1"/>
    <w:qFormat/>
    <w:uiPriority w:val="0"/>
    <w:pPr>
      <w:spacing w:line="480" w:lineRule="atLeast"/>
      <w:ind w:firstLine="600"/>
    </w:pPr>
    <w:rPr>
      <w:rFonts w:eastAsia="宋体"/>
      <w:snapToGrid w:val="0"/>
      <w:kern w:val="24"/>
      <w:sz w:val="30"/>
      <w:szCs w:val="20"/>
    </w:rPr>
  </w:style>
  <w:style w:type="paragraph" w:customStyle="1" w:styleId="108">
    <w:name w:val="修订2"/>
    <w:hidden/>
    <w:semiHidden/>
    <w:qFormat/>
    <w:uiPriority w:val="99"/>
    <w:rPr>
      <w:rFonts w:ascii="Times New Roman" w:hAnsi="Times New Roman" w:eastAsia="仿宋_GB2312" w:cs="Times New Roman"/>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6.emf"/><Relationship Id="rId18" Type="http://schemas.openxmlformats.org/officeDocument/2006/relationships/image" Target="media/image5.emf"/><Relationship Id="rId17" Type="http://schemas.openxmlformats.org/officeDocument/2006/relationships/image" Target="media/image4.emf"/><Relationship Id="rId16" Type="http://schemas.openxmlformats.org/officeDocument/2006/relationships/image" Target="media/image3.emf"/><Relationship Id="rId15" Type="http://schemas.openxmlformats.org/officeDocument/2006/relationships/image" Target="media/image2.emf"/><Relationship Id="rId14" Type="http://schemas.openxmlformats.org/officeDocument/2006/relationships/oleObject" Target="embeddings/oleObject2.bin"/><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3188</Words>
  <Characters>18174</Characters>
  <Lines>151</Lines>
  <Paragraphs>42</Paragraphs>
  <TotalTime>0</TotalTime>
  <ScaleCrop>false</ScaleCrop>
  <LinksUpToDate>false</LinksUpToDate>
  <CharactersWithSpaces>21320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2021-11-27T19:20:00Z</dcterms:created>
  <dc:creator>admin</dc:creator>
  <cp:lastModifiedBy>guoxiaomei</cp:lastModifiedBy>
  <cp:lastPrinted>2023-08-30T06:27:00Z</cp:lastPrinted>
  <dcterms:modified xsi:type="dcterms:W3CDTF">2024-01-31T09:33:00Z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AEBAD292198B454CBF3173A7E641399E</vt:lpwstr>
  </property>
</Properties>
</file>