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0"/>
        <w:rPr>
          <w:rFonts w:hint="eastAsia" w:ascii="CESI仿宋-GB2312" w:hAnsi="CESI仿宋-GB2312" w:eastAsia="CESI仿宋-GB2312" w:cs="CESI仿宋-GB2312"/>
          <w:spacing w:val="-6"/>
          <w:sz w:val="32"/>
          <w:szCs w:val="32"/>
          <w:highlight w:val="none"/>
          <w:lang w:bidi="ar"/>
        </w:rPr>
      </w:pPr>
      <w:r>
        <w:rPr>
          <w:rFonts w:hint="eastAsia" w:ascii="CESI黑体-GB2312" w:hAnsi="CESI黑体-GB2312" w:eastAsia="CESI黑体-GB2312" w:cs="CESI黑体-GB2312"/>
          <w:spacing w:val="-6"/>
          <w:sz w:val="32"/>
          <w:szCs w:val="32"/>
          <w:highlight w:val="none"/>
          <w:lang w:bidi="ar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CESI仿宋-GB2312" w:hAnsi="CESI仿宋-GB2312" w:eastAsia="CESI仿宋-GB2312" w:cs="CESI仿宋-GB2312"/>
          <w:spacing w:val="-6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盐田区“最美家庭”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（友好“最美家庭”）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</w:rPr>
        <w:t>推荐单位：</w:t>
      </w: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u w:val="single" w:color="auto"/>
          <w:lang w:val="en-US" w:eastAsia="zh-CN"/>
        </w:rPr>
        <w:t xml:space="preserve">          </w:t>
      </w:r>
    </w:p>
    <w:tbl>
      <w:tblPr>
        <w:tblStyle w:val="4"/>
        <w:tblW w:w="95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927"/>
        <w:gridCol w:w="884"/>
        <w:gridCol w:w="781"/>
        <w:gridCol w:w="540"/>
        <w:gridCol w:w="838"/>
        <w:gridCol w:w="62"/>
        <w:gridCol w:w="1005"/>
        <w:gridCol w:w="1275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面貌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文化程度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号码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及职务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家庭住址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家庭类型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廉洁家庭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default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友好最美家庭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绿色家庭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平安家庭</w:t>
            </w:r>
            <w:r>
              <w:rPr>
                <w:rFonts w:hint="default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□其他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特色家庭（含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热心公益</w:t>
            </w:r>
            <w:r>
              <w:rPr>
                <w:rFonts w:hint="eastAsia" w:ascii="CESI黑体-GB2312" w:hAnsi="CESI黑体-GB2312" w:eastAsia="CESI黑体-GB2312" w:cs="CESI黑体-GB2312"/>
                <w:snapToGrid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、教子有方、和睦邻里、孝老爱亲、科技创新、乡村振兴、爱岗敬业、移风易俗等）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主要成员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称谓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年龄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4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家庭曾获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荣誉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56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主要事迹简介（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>300字）</w:t>
            </w:r>
          </w:p>
        </w:tc>
        <w:tc>
          <w:tcPr>
            <w:tcW w:w="801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>家庭所在社区或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本人所在单位推荐意见                                                                    </w:t>
            </w:r>
          </w:p>
        </w:tc>
        <w:tc>
          <w:tcPr>
            <w:tcW w:w="801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320" w:firstLineChars="190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（签章）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各</w:t>
            </w: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意见</w:t>
            </w:r>
          </w:p>
        </w:tc>
        <w:tc>
          <w:tcPr>
            <w:tcW w:w="801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（签章）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区妇联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审批意见</w:t>
            </w:r>
          </w:p>
        </w:tc>
        <w:tc>
          <w:tcPr>
            <w:tcW w:w="801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880" w:firstLineChars="2100"/>
              <w:jc w:val="both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（签章）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         年   月   日</w:t>
            </w:r>
          </w:p>
        </w:tc>
      </w:tr>
    </w:tbl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</w:pPr>
    </w:p>
    <w:p>
      <w:pPr>
        <w:spacing w:line="20" w:lineRule="exact"/>
        <w:rPr>
          <w:szCs w:val="21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59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4" w:leftChars="20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2024-03-12T09:03:23Z</dcterms:created>
  <dc:creator>YT</dc:creator>
  <cp:lastModifiedBy>YT</cp:lastModifiedBy>
  <dcterms:modified xsi:type="dcterms:W3CDTF">2024-03-12T09:03:43Z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