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盐田区202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季度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推动道路货物运输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企业规模化发展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申报指南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2"/>
        <w:bidi w:val="0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lang w:eastAsia="zh-CN"/>
        </w:rPr>
        <w:t>为</w:t>
      </w:r>
      <w:r>
        <w:rPr>
          <w:rFonts w:hint="eastAsia" w:ascii="CESI仿宋-GB2312" w:hAnsi="CESI仿宋-GB2312" w:eastAsia="CESI仿宋-GB2312" w:cs="CESI仿宋-GB2312"/>
        </w:rPr>
        <w:t>推动道路货物运输企业积极拓展市场，加快培育一批经济效益好、管理水平高、核心竞争力强的优质道路货物运输企业，根据《盐田区发展和改革局关于印发&lt;盐田区202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</w:rPr>
        <w:t>年</w:t>
      </w:r>
      <w:r>
        <w:rPr>
          <w:rFonts w:hint="eastAsia" w:ascii="CESI仿宋-GB2312" w:hAnsi="CESI仿宋-GB2312" w:eastAsia="CESI仿宋-GB2312" w:cs="CESI仿宋-GB2312"/>
          <w:lang w:eastAsia="zh-CN"/>
        </w:rPr>
        <w:t>一</w:t>
      </w:r>
      <w:r>
        <w:rPr>
          <w:rFonts w:hint="eastAsia" w:ascii="CESI仿宋-GB2312" w:hAnsi="CESI仿宋-GB2312" w:eastAsia="CESI仿宋-GB2312" w:cs="CESI仿宋-GB2312"/>
        </w:rPr>
        <w:t>季度经济稳增长</w:t>
      </w:r>
      <w:r>
        <w:rPr>
          <w:rFonts w:hint="eastAsia" w:ascii="CESI仿宋-GB2312" w:hAnsi="CESI仿宋-GB2312" w:eastAsia="CESI仿宋-GB2312" w:cs="CESI仿宋-GB2312"/>
          <w:lang w:eastAsia="zh-CN"/>
        </w:rPr>
        <w:t>支持</w:t>
      </w:r>
      <w:r>
        <w:rPr>
          <w:rFonts w:hint="eastAsia" w:ascii="CESI仿宋-GB2312" w:hAnsi="CESI仿宋-GB2312" w:eastAsia="CESI仿宋-GB2312" w:cs="CESI仿宋-GB2312"/>
        </w:rPr>
        <w:t>措施&gt;的通知》(深盐发改〔202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</w:rPr>
        <w:t>〕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</w:t>
      </w:r>
      <w:r>
        <w:rPr>
          <w:rFonts w:hint="eastAsia" w:ascii="CESI仿宋-GB2312" w:hAnsi="CESI仿宋-GB2312" w:eastAsia="CESI仿宋-GB2312" w:cs="CESI仿宋-GB2312"/>
        </w:rPr>
        <w:t>号)，特制定本申报指南。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内容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</w:pP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2024年一季度道路货物运输规模以上企业（以该年度纳入交通运输统计“一套表”系统为准）货物周转量为1800万吨公里及以上或货运量为6万吨及以上，对货物周转量同比增长30%（含）以上的，每家企业奖励7万元；对货物周转量同比增长20%（含）至30%的，每家企业奖励5万元；对货物周转量同比增长10%（含）至20%的，每家企业奖励4万元；对货物周转量同比增长5%（含）至10%的，每家企业奖励3万元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二、政策依据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《盐田区发展和改革局关于印发&lt;盐田区202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季度经济稳增长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措施&gt;的通知》(深盐发改〔202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号)。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方式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本项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资金的安排使用坚持公平、公开、公正的原则，采取事后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奖励方式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由申报主体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自愿申报、</w:t>
      </w:r>
      <w:r>
        <w:rPr>
          <w:rFonts w:hint="eastAsia" w:cs="CESI仿宋-GB2312"/>
          <w:color w:val="auto"/>
          <w:sz w:val="32"/>
          <w:szCs w:val="32"/>
          <w:highlight w:val="none"/>
          <w:lang w:val="en-US" w:eastAsia="zh-CN"/>
        </w:rPr>
        <w:t>主管部门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核查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审定。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四、申请条件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（一）申报主体应当在盐田区注册并具有独立法人资格，依法取得道路运输经营许可且在有效期内。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（二）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</w:rPr>
        <w:t>申报主体</w:t>
      </w:r>
      <w:r>
        <w:rPr>
          <w:rFonts w:hint="eastAsia" w:cs="CESI仿宋-GB2312"/>
          <w:color w:val="auto"/>
          <w:kern w:val="2"/>
          <w:sz w:val="32"/>
          <w:szCs w:val="32"/>
          <w:highlight w:val="none"/>
          <w:lang w:eastAsia="zh-CN"/>
        </w:rPr>
        <w:t>属于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道路货物运输规模以上企业（以</w:t>
      </w:r>
      <w:r>
        <w:rPr>
          <w:rFonts w:hint="eastAsia" w:cs="CESI仿宋-GB2312"/>
          <w:kern w:val="2"/>
          <w:sz w:val="32"/>
          <w:szCs w:val="32"/>
          <w:lang w:val="en-US" w:eastAsia="zh-CN" w:bidi="ar"/>
        </w:rPr>
        <w:t>2024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年度纳入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</w:rPr>
        <w:t>交通运输部“交通运输企业一套表联网直报系统”</w:t>
      </w:r>
      <w:r>
        <w:rPr>
          <w:rFonts w:hint="eastAsia" w:cs="CESI仿宋-GB2312"/>
          <w:color w:val="auto"/>
          <w:kern w:val="2"/>
          <w:sz w:val="32"/>
          <w:szCs w:val="32"/>
          <w:highlight w:val="none"/>
          <w:lang w:eastAsia="zh-CN"/>
        </w:rPr>
        <w:t>为准，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填报道路货物运输月度生产情况</w:t>
      </w:r>
      <w:r>
        <w:rPr>
          <w:rFonts w:hint="eastAsia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eastAsia="zh-CN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CESI仿宋-GB2312" w:hAnsi="CESI仿宋-GB2312" w:eastAsia="CESI仿宋-GB2312" w:cs="CESI仿宋-GB231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（三）申报主体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2024年一季度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需实现</w:t>
      </w:r>
      <w:r>
        <w:rPr>
          <w:rFonts w:hint="eastAsia" w:ascii="CESI仿宋-GB2312" w:hAnsi="CESI仿宋-GB2312" w:eastAsia="CESI仿宋-GB2312" w:cs="CESI仿宋-GB2312"/>
          <w:lang w:val="en-US" w:eastAsia="zh-CN"/>
        </w:rPr>
        <w:t>货物周转量1800万吨公里及以上或货运量6万吨及以上，且货物周转量同比增长5%（含）至10%、10%（含）至20%、20%（含）至30%或30%（含）以上。</w:t>
      </w:r>
    </w:p>
    <w:p>
      <w:pPr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（四）申报主体</w:t>
      </w:r>
      <w:r>
        <w:rPr>
          <w:rFonts w:hint="eastAsia" w:cs="CESI仿宋-GB2312"/>
          <w:color w:val="auto"/>
          <w:highlight w:val="none"/>
          <w:lang w:val="en-US" w:eastAsia="zh-CN"/>
        </w:rPr>
        <w:t>自2022年至今</w:t>
      </w: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未发生</w:t>
      </w:r>
      <w:r>
        <w:rPr>
          <w:rFonts w:hint="eastAsia" w:cs="CESI仿宋-GB2312"/>
          <w:color w:val="auto"/>
          <w:highlight w:val="none"/>
          <w:lang w:val="en-US" w:eastAsia="zh-CN"/>
        </w:rPr>
        <w:t>致人死亡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"/>
        </w:rPr>
        <w:t>且负同等以上责任</w:t>
      </w:r>
      <w:r>
        <w:rPr>
          <w:rFonts w:hint="eastAsia" w:cs="CESI仿宋-GB2312"/>
          <w:color w:val="auto"/>
          <w:highlight w:val="none"/>
          <w:lang w:val="en-US" w:eastAsia="zh-CN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道路交通事故。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五、办理流程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（一）申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报主体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准备申请材料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（二）申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报主体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向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受理单位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提交申请材料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受理单位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对申请材料进行受理审核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形成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）向社会公示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正式下达奖励资金。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六、申请材料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（一）《盐田区2024年一季度推动道路货物运输企业规模化发展项目奖励申报表》（详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见附件1，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加盖单位公章）。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（二）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</w:rPr>
        <w:t>营业执照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eastAsia="zh-CN"/>
        </w:rPr>
        <w:t>复印件，</w:t>
      </w:r>
      <w:r>
        <w:rPr>
          <w:rFonts w:hint="eastAsia" w:ascii="CESI仿宋-GB2312" w:hAnsi="CESI仿宋-GB2312" w:eastAsia="CESI仿宋-GB2312" w:cs="CESI仿宋-GB2312"/>
          <w:kern w:val="2"/>
          <w:sz w:val="32"/>
          <w:szCs w:val="32"/>
          <w:lang w:val="en-US" w:eastAsia="zh-CN" w:bidi="ar"/>
        </w:rPr>
        <w:t>道路运输经营许可证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eastAsia="zh-CN"/>
        </w:rPr>
        <w:t>复印件</w:t>
      </w:r>
      <w:r>
        <w:rPr>
          <w:rFonts w:hint="eastAsia" w:cs="CESI仿宋-GB2312"/>
          <w:color w:val="auto"/>
          <w:sz w:val="32"/>
          <w:highlight w:val="none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法定代表人身份证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eastAsia="zh-CN"/>
        </w:rPr>
        <w:t>复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印件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eastAsia="zh-CN"/>
        </w:rPr>
        <w:t>（加盖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单位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eastAsia="zh-CN"/>
        </w:rPr>
        <w:t>公章，验原件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</w:rPr>
        <w:t>）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</w:t>
      </w:r>
      <w:r>
        <w:rPr>
          <w:rFonts w:hint="eastAsia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三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）在交通运输部“交通运输企业一套表联网直报系统”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查询打印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2024年1、2、3月和2023年1、2、3月《道路货物运输月度生产情况》表格（加盖单位公章）。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（</w:t>
      </w:r>
      <w:r>
        <w:rPr>
          <w:rFonts w:hint="eastAsia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四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）202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" w:eastAsia="zh-CN"/>
        </w:rPr>
        <w:t>4年1、2、3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" w:eastAsia="zh-CN"/>
        </w:rPr>
        <w:t>和2023年1、2、3月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道路货物运输周转量台账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（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参见附件</w:t>
      </w:r>
      <w:r>
        <w:rPr>
          <w:rFonts w:hint="eastAsia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2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，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加盖单位公章）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cs="CESI仿宋-GB2312"/>
          <w:color w:val="auto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（</w:t>
      </w:r>
      <w:r>
        <w:rPr>
          <w:rFonts w:hint="eastAsia" w:ascii="CESI仿宋-GB2312" w:hAnsi="CESI仿宋-GB2312" w:cs="CESI仿宋-GB2312"/>
          <w:color w:val="auto"/>
          <w:highlight w:val="none"/>
          <w:lang w:val="en-US" w:eastAsia="zh-CN"/>
        </w:rPr>
        <w:t>五</w:t>
      </w: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）道路货物运输周转量台账相关</w:t>
      </w:r>
      <w:r>
        <w:rPr>
          <w:rFonts w:hint="eastAsia" w:ascii="CESI仿宋-GB2312" w:hAnsi="CESI仿宋-GB2312" w:cs="CESI仿宋-GB2312"/>
          <w:color w:val="auto"/>
          <w:highlight w:val="none"/>
          <w:lang w:val="en-US" w:eastAsia="zh-CN"/>
        </w:rPr>
        <w:t>佐证材料，</w:t>
      </w: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包括运输合同</w:t>
      </w:r>
      <w:r>
        <w:rPr>
          <w:rFonts w:hint="eastAsia" w:ascii="CESI仿宋-GB2312" w:hAnsi="CESI仿宋-GB2312" w:cs="CESI仿宋-GB2312"/>
          <w:color w:val="auto"/>
          <w:highlight w:val="none"/>
          <w:lang w:val="en-US" w:eastAsia="zh-CN"/>
        </w:rPr>
        <w:t>或货物运单、记账凭证、发票的复印件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eastAsia="zh-CN"/>
        </w:rPr>
        <w:t>（加盖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单位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  <w:lang w:eastAsia="zh-CN"/>
        </w:rPr>
        <w:t>公章，验原件</w:t>
      </w:r>
      <w:r>
        <w:rPr>
          <w:rFonts w:hint="eastAsia" w:ascii="CESI仿宋-GB2312" w:hAnsi="CESI仿宋-GB2312" w:eastAsia="CESI仿宋-GB2312" w:cs="CESI仿宋-GB2312"/>
          <w:color w:val="auto"/>
          <w:sz w:val="32"/>
          <w:highlight w:val="none"/>
        </w:rPr>
        <w:t>）</w:t>
      </w:r>
      <w:r>
        <w:rPr>
          <w:rFonts w:hint="eastAsia" w:ascii="CESI仿宋-GB2312" w:hAnsi="CESI仿宋-GB2312" w:cs="CESI仿宋-GB2312"/>
          <w:color w:val="auto"/>
          <w:highlight w:val="none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（六）自2022年至今未发生致人死亡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"/>
        </w:rPr>
        <w:t>且负同等以上责任</w:t>
      </w:r>
      <w:r>
        <w:rPr>
          <w:rFonts w:hint="eastAsia" w:ascii="CESI仿宋-GB2312" w:hAnsi="CESI仿宋-GB2312" w:eastAsia="CESI仿宋-GB2312" w:cs="CESI仿宋-GB2312"/>
          <w:color w:val="auto"/>
          <w:highlight w:val="none"/>
          <w:lang w:val="en-US" w:eastAsia="zh-CN"/>
        </w:rPr>
        <w:t>道路交通事故</w:t>
      </w:r>
      <w:r>
        <w:rPr>
          <w:rFonts w:hint="eastAsia" w:ascii="CESI仿宋-GB2312" w:hAnsi="CESI仿宋-GB2312" w:eastAsia="CESI仿宋-GB2312" w:cs="CESI仿宋-GB2312"/>
          <w:color w:val="auto"/>
          <w:kern w:val="2"/>
          <w:sz w:val="32"/>
          <w:szCs w:val="32"/>
          <w:highlight w:val="none"/>
          <w:lang w:val="en-US" w:eastAsia="zh-CN" w:bidi="ar"/>
        </w:rPr>
        <w:t>的</w:t>
      </w:r>
      <w:r>
        <w:rPr>
          <w:rFonts w:hint="eastAsia" w:ascii="CESI仿宋-GB2312" w:hAnsi="CESI仿宋-GB2312" w:eastAsia="CESI仿宋-GB2312" w:cs="CESI仿宋-GB2312"/>
          <w:color w:val="auto"/>
          <w:highlight w:val="none"/>
          <w:lang w:eastAsia="zh-CN"/>
        </w:rPr>
        <w:t>证明或承诺书。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color w:val="FF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（</w:t>
      </w:r>
      <w:r>
        <w:rPr>
          <w:rFonts w:hint="eastAsia" w:ascii="CESI仿宋-GB2312" w:hAnsi="CESI仿宋-GB2312" w:cs="CESI仿宋-GB2312"/>
          <w:highlight w:val="none"/>
          <w:lang w:val="en-US" w:eastAsia="zh-CN"/>
        </w:rPr>
        <w:t>七</w:t>
      </w:r>
      <w:r>
        <w:rPr>
          <w:rFonts w:hint="eastAsia" w:ascii="CESI仿宋-GB2312" w:hAnsi="CESI仿宋-GB2312" w:eastAsia="CESI仿宋-GB2312" w:cs="CESI仿宋-GB2312"/>
          <w:highlight w:val="none"/>
          <w:lang w:val="en-US" w:eastAsia="zh-CN"/>
        </w:rPr>
        <w:t>）</w:t>
      </w:r>
      <w:r>
        <w:rPr>
          <w:rFonts w:hint="eastAsia" w:ascii="CESI仿宋-GB2312" w:hAnsi="CESI仿宋-GB2312" w:eastAsia="CESI仿宋-GB2312" w:cs="CESI仿宋-GB2312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深圳市交通运输局盐田管理局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00000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要求提交的其他资料。</w:t>
      </w:r>
    </w:p>
    <w:p>
      <w:pPr>
        <w:pStyle w:val="2"/>
        <w:bidi w:val="0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b/>
          <w:bCs/>
        </w:rPr>
        <w:t>申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请</w:t>
      </w:r>
      <w:r>
        <w:rPr>
          <w:rFonts w:hint="eastAsia" w:ascii="CESI仿宋-GB2312" w:hAnsi="CESI仿宋-GB2312" w:eastAsia="CESI仿宋-GB2312" w:cs="CESI仿宋-GB2312"/>
          <w:b/>
          <w:bCs/>
        </w:rPr>
        <w:t>材料一式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二</w:t>
      </w:r>
      <w:r>
        <w:rPr>
          <w:rFonts w:hint="eastAsia" w:ascii="CESI仿宋-GB2312" w:hAnsi="CESI仿宋-GB2312" w:eastAsia="CESI仿宋-GB2312" w:cs="CESI仿宋-GB2312"/>
          <w:b/>
          <w:bCs/>
        </w:rPr>
        <w:t>份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/>
          <w:bCs/>
        </w:rPr>
        <w:t>A4纸正反面打印/复印，按照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上述</w:t>
      </w:r>
      <w:r>
        <w:rPr>
          <w:rFonts w:hint="eastAsia" w:ascii="CESI仿宋-GB2312" w:hAnsi="CESI仿宋-GB2312" w:eastAsia="CESI仿宋-GB2312" w:cs="CESI仿宋-GB2312"/>
          <w:b/>
          <w:bCs/>
        </w:rPr>
        <w:t>顺序</w:t>
      </w:r>
      <w:r>
        <w:rPr>
          <w:rFonts w:hint="eastAsia" w:ascii="CESI仿宋-GB2312" w:hAnsi="CESI仿宋-GB2312" w:eastAsia="CESI仿宋-GB2312" w:cs="CESI仿宋-GB2312"/>
          <w:b/>
          <w:bCs/>
          <w:lang w:eastAsia="zh-CN"/>
        </w:rPr>
        <w:t>排列，</w:t>
      </w:r>
      <w:r>
        <w:rPr>
          <w:rFonts w:hint="eastAsia" w:ascii="CESI仿宋-GB2312" w:hAnsi="CESI仿宋-GB2312" w:eastAsia="CESI仿宋-GB2312" w:cs="CESI仿宋-GB2312"/>
          <w:b/>
          <w:bCs/>
        </w:rPr>
        <w:t>装订成册，加盖骑缝章。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受理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（一）受理单位：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深圳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市交通运输局盐田管理局。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（二）受理时间：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26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10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月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14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日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；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工作日上午9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00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-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12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00时，下午14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00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-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18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00时。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）受理地点：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深圳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市交通运输局盐田管理局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盐田区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公园路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55号）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601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办公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室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</w:rPr>
      </w:pP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联系方式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：深圳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市交通运输局盐田管理局</w:t>
      </w:r>
      <w:r>
        <w:rPr>
          <w:rFonts w:hint="eastAsia" w:cs="CESI仿宋-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运输管理科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，0755-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66878918、66878897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auto"/>
          <w:spacing w:val="0"/>
          <w:sz w:val="32"/>
          <w:szCs w:val="32"/>
          <w:shd w:val="clear" w:fill="FFFFFF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八、其他事项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CESI仿宋-GB2312" w:hAnsi="CESI仿宋-GB2312" w:eastAsia="CESI仿宋-GB2312" w:cs="CESI仿宋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（一）</w:t>
      </w:r>
      <w:bookmarkStart w:id="0" w:name="_GoBack"/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申报主体</w:t>
      </w:r>
      <w:bookmarkEnd w:id="0"/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应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申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材料的真实性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准确性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完整性，并承担所提交申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材料的相关法律责任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如有虚假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记载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等行为，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项</w:t>
      </w:r>
      <w:r>
        <w:rPr>
          <w:rFonts w:hint="eastAsia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奖励申报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无效，主管部门将保留依法追究相关法律责任的权利。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CESI仿宋-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主管部门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从未委托任何单位或个人为申报主体代理资金申报事宜，请申报主体自主申报。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CESI仿宋-GB2312"/>
          <w:color w:val="auto"/>
          <w:sz w:val="32"/>
          <w:szCs w:val="32"/>
          <w:highlight w:val="none"/>
          <w:lang w:val="en-US" w:eastAsia="zh-CN"/>
        </w:rPr>
        <w:t>（三）主管部门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将严格按照有关标准和程序受理</w:t>
      </w:r>
      <w:r>
        <w:rPr>
          <w:rFonts w:hint="eastAsia" w:cs="CESI仿宋-GB2312"/>
          <w:color w:val="auto"/>
          <w:sz w:val="32"/>
          <w:szCs w:val="32"/>
          <w:highlight w:val="none"/>
          <w:lang w:val="en-US" w:eastAsia="zh-CN"/>
        </w:rPr>
        <w:t>审核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，不收取任何费用。如有任何机构或个人假借</w:t>
      </w:r>
      <w:r>
        <w:rPr>
          <w:rFonts w:hint="eastAsia" w:cs="CESI仿宋-GB2312"/>
          <w:color w:val="auto"/>
          <w:sz w:val="32"/>
          <w:szCs w:val="32"/>
          <w:highlight w:val="none"/>
          <w:lang w:val="en-US" w:eastAsia="zh-CN"/>
        </w:rPr>
        <w:t>主管部门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或工作人员名义向申报主体收取费用的，请知情者向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市交通运输局盐田管理局</w:t>
      </w:r>
      <w:r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lang w:val="en-US" w:eastAsia="zh-CN"/>
        </w:rPr>
        <w:t>举报。</w:t>
      </w: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eastAsia" w:ascii="CESI黑体-GB2312" w:hAnsi="CESI黑体-GB2312" w:eastAsia="CESI黑体-GB2312" w:cs="CESI黑体-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CESI黑体-GB2312" w:hAnsi="CESI黑体-GB2312" w:eastAsia="CESI黑体-GB2312" w:cs="CESI黑体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附则</w:t>
      </w:r>
    </w:p>
    <w:p>
      <w:pPr>
        <w:pStyle w:val="2"/>
        <w:rPr>
          <w:rFonts w:hint="eastAsia" w:ascii="黑体" w:hAnsi="宋体" w:eastAsia="黑体" w:cs="Times New Roman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本申报指南由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深圳</w:t>
      </w:r>
      <w:r>
        <w:rPr>
          <w:rFonts w:hint="eastAsia" w:ascii="CESI仿宋-GB2312" w:hAnsi="CESI仿宋-GB2312" w:eastAsia="CESI仿宋-GB2312" w:cs="CESI仿宋-GB2312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市交通运输局盐田管理局负责解释，自发布之日起施行。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-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CESI仿宋-GB2312" w:hAnsi="CESI仿宋-GB2312" w:eastAsia="CESI仿宋-GB2312" w:cs="CESI仿宋-GB2312"/>
                            </w:rPr>
                          </w:pP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fldChar w:fldCharType="begin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t>1</w:t>
                          </w:r>
                          <w:r>
                            <w:rPr>
                              <w:rFonts w:hint="eastAsia" w:ascii="CESI仿宋-GB2312" w:hAnsi="CESI仿宋-GB2312" w:eastAsia="CESI仿宋-GB2312" w:cs="CESI仿宋-GB231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CESI仿宋-GB2312" w:hAnsi="CESI仿宋-GB2312" w:eastAsia="CESI仿宋-GB2312" w:cs="CESI仿宋-GB2312"/>
                      </w:rPr>
                    </w:pP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fldChar w:fldCharType="begin"/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instrText xml:space="preserve"> PAGE  \* MERGEFORMAT </w:instrText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fldChar w:fldCharType="separate"/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t>1</w:t>
                    </w:r>
                    <w:r>
                      <w:rPr>
                        <w:rFonts w:hint="eastAsia" w:ascii="CESI仿宋-GB2312" w:hAnsi="CESI仿宋-GB2312" w:eastAsia="CESI仿宋-GB2312" w:cs="CESI仿宋-GB231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CESI仿宋-GB2312" w:hAnsi="CESI仿宋-GB2312" w:eastAsia="CESI仿宋-GB2312" w:cs="CESI仿宋-GB2312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CESI仿宋-GB2312" w:hAnsi="CESI仿宋-GB2312" w:eastAsia="CESI仿宋-GB2312" w:cs="CESI仿宋-GB2312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  <w:jc w:val="both"/>
      <w:rPr>
        <w:b/>
        <w:bCs/>
        <w:u w:val="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E15B7"/>
    <w:rsid w:val="07FE5CAC"/>
    <w:rsid w:val="0BCF3148"/>
    <w:rsid w:val="0FF7FFB7"/>
    <w:rsid w:val="12EF2E5F"/>
    <w:rsid w:val="12F740A9"/>
    <w:rsid w:val="131FDA6E"/>
    <w:rsid w:val="15A7F0F9"/>
    <w:rsid w:val="1729FB21"/>
    <w:rsid w:val="18FD9313"/>
    <w:rsid w:val="1BBF7F68"/>
    <w:rsid w:val="1DFF9385"/>
    <w:rsid w:val="1EC78343"/>
    <w:rsid w:val="1EFF9C69"/>
    <w:rsid w:val="1F7E324C"/>
    <w:rsid w:val="1FAF2120"/>
    <w:rsid w:val="1FED0F29"/>
    <w:rsid w:val="1FFF0D33"/>
    <w:rsid w:val="20BD4D0E"/>
    <w:rsid w:val="27BE3FD9"/>
    <w:rsid w:val="28BFEDDA"/>
    <w:rsid w:val="29EF2A01"/>
    <w:rsid w:val="2BD5D6A4"/>
    <w:rsid w:val="2CFFFE96"/>
    <w:rsid w:val="2F3F6E32"/>
    <w:rsid w:val="2F6F491D"/>
    <w:rsid w:val="2FEE444E"/>
    <w:rsid w:val="2FF75DEF"/>
    <w:rsid w:val="2FF7F238"/>
    <w:rsid w:val="32AF187D"/>
    <w:rsid w:val="32F77BF6"/>
    <w:rsid w:val="33EB214F"/>
    <w:rsid w:val="33EF2628"/>
    <w:rsid w:val="33EF7E17"/>
    <w:rsid w:val="37FE7CA7"/>
    <w:rsid w:val="37FF2196"/>
    <w:rsid w:val="387FF07C"/>
    <w:rsid w:val="39F04260"/>
    <w:rsid w:val="39F34E90"/>
    <w:rsid w:val="3AEFED52"/>
    <w:rsid w:val="3BAF2867"/>
    <w:rsid w:val="3BFA10C5"/>
    <w:rsid w:val="3CAD89F9"/>
    <w:rsid w:val="3D75A12B"/>
    <w:rsid w:val="3EBFC43F"/>
    <w:rsid w:val="3EFB3EF6"/>
    <w:rsid w:val="3EFF2879"/>
    <w:rsid w:val="3F4D43BE"/>
    <w:rsid w:val="3F4F68B2"/>
    <w:rsid w:val="3F76D65B"/>
    <w:rsid w:val="3FB1B508"/>
    <w:rsid w:val="3FE3F342"/>
    <w:rsid w:val="3FF6C5CB"/>
    <w:rsid w:val="3FFACD48"/>
    <w:rsid w:val="3FFDE9D6"/>
    <w:rsid w:val="3FFF78BE"/>
    <w:rsid w:val="42DEB8B1"/>
    <w:rsid w:val="43BD4450"/>
    <w:rsid w:val="47F94DB2"/>
    <w:rsid w:val="4BAFD2DB"/>
    <w:rsid w:val="4F35EB3B"/>
    <w:rsid w:val="55FA0BF6"/>
    <w:rsid w:val="573C3C91"/>
    <w:rsid w:val="58EB4E8D"/>
    <w:rsid w:val="599DACF4"/>
    <w:rsid w:val="59FD9EB8"/>
    <w:rsid w:val="59FE88F0"/>
    <w:rsid w:val="5B676C15"/>
    <w:rsid w:val="5D7EA438"/>
    <w:rsid w:val="5DFF79C2"/>
    <w:rsid w:val="5E0BBDB9"/>
    <w:rsid w:val="5E4BA4DE"/>
    <w:rsid w:val="5E7FEBAD"/>
    <w:rsid w:val="5EBB573A"/>
    <w:rsid w:val="5EE7D5D6"/>
    <w:rsid w:val="5EFF04E8"/>
    <w:rsid w:val="5F4E4FF7"/>
    <w:rsid w:val="5F9F68BB"/>
    <w:rsid w:val="5FA689B3"/>
    <w:rsid w:val="5FDFF2C7"/>
    <w:rsid w:val="5FF7F623"/>
    <w:rsid w:val="5FFFFBB3"/>
    <w:rsid w:val="66EFF698"/>
    <w:rsid w:val="67F334C4"/>
    <w:rsid w:val="67FFD8BE"/>
    <w:rsid w:val="69F6F197"/>
    <w:rsid w:val="69FB10A2"/>
    <w:rsid w:val="6AC6EA96"/>
    <w:rsid w:val="6BEB7DB6"/>
    <w:rsid w:val="6DA7A979"/>
    <w:rsid w:val="6DBF6F03"/>
    <w:rsid w:val="6EB89296"/>
    <w:rsid w:val="6EFF8A1D"/>
    <w:rsid w:val="6F3EA63E"/>
    <w:rsid w:val="6F5B85B8"/>
    <w:rsid w:val="6FBE614A"/>
    <w:rsid w:val="6FD70B94"/>
    <w:rsid w:val="6FE72DBB"/>
    <w:rsid w:val="6FEBCA39"/>
    <w:rsid w:val="6FEF370E"/>
    <w:rsid w:val="6FFF17FB"/>
    <w:rsid w:val="73FF9FE6"/>
    <w:rsid w:val="74BF4C2C"/>
    <w:rsid w:val="75BDC21B"/>
    <w:rsid w:val="769595E5"/>
    <w:rsid w:val="76DDD016"/>
    <w:rsid w:val="76DDDA19"/>
    <w:rsid w:val="776D1A94"/>
    <w:rsid w:val="776DCBC1"/>
    <w:rsid w:val="7775E683"/>
    <w:rsid w:val="778B0582"/>
    <w:rsid w:val="779D719F"/>
    <w:rsid w:val="77DFF658"/>
    <w:rsid w:val="77EFB0C9"/>
    <w:rsid w:val="77EFC4B0"/>
    <w:rsid w:val="77FE15B2"/>
    <w:rsid w:val="78BBFE89"/>
    <w:rsid w:val="78DF4EFB"/>
    <w:rsid w:val="79AF3633"/>
    <w:rsid w:val="7A6F7737"/>
    <w:rsid w:val="7BBD6830"/>
    <w:rsid w:val="7BDD4320"/>
    <w:rsid w:val="7BDFB261"/>
    <w:rsid w:val="7BF34BEE"/>
    <w:rsid w:val="7BFDC05D"/>
    <w:rsid w:val="7BFE15B7"/>
    <w:rsid w:val="7BFFEF98"/>
    <w:rsid w:val="7C9F7B42"/>
    <w:rsid w:val="7CAFC255"/>
    <w:rsid w:val="7D2D5EF4"/>
    <w:rsid w:val="7D7BC46D"/>
    <w:rsid w:val="7D7EE8A6"/>
    <w:rsid w:val="7DD9DF8C"/>
    <w:rsid w:val="7DE6015C"/>
    <w:rsid w:val="7DE62BDB"/>
    <w:rsid w:val="7DFDE97F"/>
    <w:rsid w:val="7DFF4FC8"/>
    <w:rsid w:val="7DFFBA14"/>
    <w:rsid w:val="7EFBCCAC"/>
    <w:rsid w:val="7EFECAED"/>
    <w:rsid w:val="7EFF2F84"/>
    <w:rsid w:val="7F1F18E1"/>
    <w:rsid w:val="7F3E9A49"/>
    <w:rsid w:val="7F534FF6"/>
    <w:rsid w:val="7F77F9DB"/>
    <w:rsid w:val="7F7F3B4C"/>
    <w:rsid w:val="7F7FA15D"/>
    <w:rsid w:val="7FAD2ACA"/>
    <w:rsid w:val="7FB3F669"/>
    <w:rsid w:val="7FBCF18A"/>
    <w:rsid w:val="7FBD922A"/>
    <w:rsid w:val="7FDF0DCE"/>
    <w:rsid w:val="7FDF507B"/>
    <w:rsid w:val="7FE87F19"/>
    <w:rsid w:val="7FEB2D65"/>
    <w:rsid w:val="7FEB6AF9"/>
    <w:rsid w:val="7FEB7F54"/>
    <w:rsid w:val="7FED0436"/>
    <w:rsid w:val="7FF4F805"/>
    <w:rsid w:val="7FF7AA1F"/>
    <w:rsid w:val="7FFBF433"/>
    <w:rsid w:val="7FFF1E96"/>
    <w:rsid w:val="7FFFA8B2"/>
    <w:rsid w:val="8BEED049"/>
    <w:rsid w:val="8F7B64BD"/>
    <w:rsid w:val="8FE5384A"/>
    <w:rsid w:val="90B7ACD5"/>
    <w:rsid w:val="93DD864B"/>
    <w:rsid w:val="955D896F"/>
    <w:rsid w:val="9977A5AB"/>
    <w:rsid w:val="9DFBBF00"/>
    <w:rsid w:val="9F96CA2C"/>
    <w:rsid w:val="A3E5FE02"/>
    <w:rsid w:val="A737B1AF"/>
    <w:rsid w:val="A7D00D49"/>
    <w:rsid w:val="A9E7B146"/>
    <w:rsid w:val="AA3FBE54"/>
    <w:rsid w:val="ADF67677"/>
    <w:rsid w:val="AED7192E"/>
    <w:rsid w:val="AF7FE1E7"/>
    <w:rsid w:val="AFE665B4"/>
    <w:rsid w:val="B4F9F975"/>
    <w:rsid w:val="B5DB9C01"/>
    <w:rsid w:val="B65E1B51"/>
    <w:rsid w:val="B773D46D"/>
    <w:rsid w:val="B78D6773"/>
    <w:rsid w:val="B7E3C17C"/>
    <w:rsid w:val="B95F7B16"/>
    <w:rsid w:val="B9C532EB"/>
    <w:rsid w:val="BAED1E54"/>
    <w:rsid w:val="BB6F7261"/>
    <w:rsid w:val="BBFD8265"/>
    <w:rsid w:val="BCD7ABD4"/>
    <w:rsid w:val="BDF78244"/>
    <w:rsid w:val="BDFFC2A0"/>
    <w:rsid w:val="BED6A088"/>
    <w:rsid w:val="BFB898D1"/>
    <w:rsid w:val="BFE9F030"/>
    <w:rsid w:val="BFF4024A"/>
    <w:rsid w:val="BFF4C5B1"/>
    <w:rsid w:val="BFF7F9C2"/>
    <w:rsid w:val="BFFC9261"/>
    <w:rsid w:val="C5DB3F15"/>
    <w:rsid w:val="C5FE6489"/>
    <w:rsid w:val="C6E3BEA4"/>
    <w:rsid w:val="CDFB832C"/>
    <w:rsid w:val="CF6F6792"/>
    <w:rsid w:val="CF7F732B"/>
    <w:rsid w:val="CFBF7A62"/>
    <w:rsid w:val="D7BF908A"/>
    <w:rsid w:val="D7BFE2C8"/>
    <w:rsid w:val="D9F8656F"/>
    <w:rsid w:val="DB6DA41F"/>
    <w:rsid w:val="DB875140"/>
    <w:rsid w:val="DB9E3529"/>
    <w:rsid w:val="DBAFE4B0"/>
    <w:rsid w:val="DBCEC6A8"/>
    <w:rsid w:val="DBEF946D"/>
    <w:rsid w:val="DD7FCE0A"/>
    <w:rsid w:val="DDBF2FEE"/>
    <w:rsid w:val="DDF2960B"/>
    <w:rsid w:val="DEFB2F40"/>
    <w:rsid w:val="DF6BA9F3"/>
    <w:rsid w:val="DFE3C5F4"/>
    <w:rsid w:val="DFED4EB4"/>
    <w:rsid w:val="DFFFA3C8"/>
    <w:rsid w:val="E6F6E2D6"/>
    <w:rsid w:val="E7CEE9FF"/>
    <w:rsid w:val="E7F33218"/>
    <w:rsid w:val="E7F3760B"/>
    <w:rsid w:val="E7FFE873"/>
    <w:rsid w:val="EB1D2CAB"/>
    <w:rsid w:val="EB6F5E46"/>
    <w:rsid w:val="EBAF41F9"/>
    <w:rsid w:val="EBB7DC91"/>
    <w:rsid w:val="EBEFD698"/>
    <w:rsid w:val="ED8F1F03"/>
    <w:rsid w:val="EDBE9AC8"/>
    <w:rsid w:val="EDE72622"/>
    <w:rsid w:val="EE395163"/>
    <w:rsid w:val="EEA3AF43"/>
    <w:rsid w:val="EEAAEC62"/>
    <w:rsid w:val="EEEB322A"/>
    <w:rsid w:val="EF7F72C7"/>
    <w:rsid w:val="EFCEB006"/>
    <w:rsid w:val="EFFBCB04"/>
    <w:rsid w:val="EFFD2538"/>
    <w:rsid w:val="EFFE4CA4"/>
    <w:rsid w:val="F1F35580"/>
    <w:rsid w:val="F27FD93B"/>
    <w:rsid w:val="F2FFA001"/>
    <w:rsid w:val="F33F9340"/>
    <w:rsid w:val="F3EA7BC2"/>
    <w:rsid w:val="F3ED2F1D"/>
    <w:rsid w:val="F3F73E2C"/>
    <w:rsid w:val="F3FF8DDC"/>
    <w:rsid w:val="F45D28EA"/>
    <w:rsid w:val="F4A7C83E"/>
    <w:rsid w:val="F4BB3BE2"/>
    <w:rsid w:val="F4ED43E9"/>
    <w:rsid w:val="F575F16A"/>
    <w:rsid w:val="F5EEDE40"/>
    <w:rsid w:val="F5FFEF01"/>
    <w:rsid w:val="F678BF52"/>
    <w:rsid w:val="F7676682"/>
    <w:rsid w:val="F77E1803"/>
    <w:rsid w:val="F79E57CC"/>
    <w:rsid w:val="F7A516C8"/>
    <w:rsid w:val="F7BD9E31"/>
    <w:rsid w:val="F7DE0BC9"/>
    <w:rsid w:val="F7DFEA79"/>
    <w:rsid w:val="F7E9F9C7"/>
    <w:rsid w:val="F7F556F2"/>
    <w:rsid w:val="F7FAB70F"/>
    <w:rsid w:val="F7FB9547"/>
    <w:rsid w:val="F8F95163"/>
    <w:rsid w:val="F9B3FB04"/>
    <w:rsid w:val="F9FFE0CD"/>
    <w:rsid w:val="FAFD2FFC"/>
    <w:rsid w:val="FB8FCF97"/>
    <w:rsid w:val="FBA62BC3"/>
    <w:rsid w:val="FBAFC3AC"/>
    <w:rsid w:val="FBBF4845"/>
    <w:rsid w:val="FBD54793"/>
    <w:rsid w:val="FBE7C27C"/>
    <w:rsid w:val="FBFE60C4"/>
    <w:rsid w:val="FBFF3964"/>
    <w:rsid w:val="FC6A7DBD"/>
    <w:rsid w:val="FC7F2AB0"/>
    <w:rsid w:val="FCB59BA8"/>
    <w:rsid w:val="FCEA072B"/>
    <w:rsid w:val="FCEAEA99"/>
    <w:rsid w:val="FD3D8DA2"/>
    <w:rsid w:val="FD443D2D"/>
    <w:rsid w:val="FD6EE2C7"/>
    <w:rsid w:val="FD7C2CA7"/>
    <w:rsid w:val="FDBB7268"/>
    <w:rsid w:val="FDD5B30F"/>
    <w:rsid w:val="FDFBBF90"/>
    <w:rsid w:val="FDFCC831"/>
    <w:rsid w:val="FDFD3EF7"/>
    <w:rsid w:val="FE79C533"/>
    <w:rsid w:val="FE9CE0BF"/>
    <w:rsid w:val="FEE757BC"/>
    <w:rsid w:val="FEF952B3"/>
    <w:rsid w:val="FEFB715E"/>
    <w:rsid w:val="FEFF06C4"/>
    <w:rsid w:val="FF429A5A"/>
    <w:rsid w:val="FF759A05"/>
    <w:rsid w:val="FF7700D8"/>
    <w:rsid w:val="FF7911D5"/>
    <w:rsid w:val="FF7A1A93"/>
    <w:rsid w:val="FF8F3AEE"/>
    <w:rsid w:val="FF9F9BFE"/>
    <w:rsid w:val="FFAF55D3"/>
    <w:rsid w:val="FFB12804"/>
    <w:rsid w:val="FFBEAD6E"/>
    <w:rsid w:val="FFD29B6E"/>
    <w:rsid w:val="FFD53560"/>
    <w:rsid w:val="FFDBE1B5"/>
    <w:rsid w:val="FFE5F61F"/>
    <w:rsid w:val="FFEB1A70"/>
    <w:rsid w:val="FFF31BAE"/>
    <w:rsid w:val="FFF713E6"/>
    <w:rsid w:val="FFFD3C73"/>
    <w:rsid w:val="FFFD80C6"/>
    <w:rsid w:val="FFFDAEBD"/>
    <w:rsid w:val="FFFF3102"/>
    <w:rsid w:val="FFFF49EE"/>
    <w:rsid w:val="FF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CESI仿宋-GB2312" w:hAnsi="CESI仿宋-GB2312" w:eastAsia="CESI仿宋-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keepNext w:val="0"/>
      <w:keepLines w:val="0"/>
      <w:widowControl w:val="0"/>
      <w:suppressLineNumbers w:val="0"/>
      <w:spacing w:afterAutospacing="0" w:line="560" w:lineRule="exact"/>
      <w:ind w:firstLine="640" w:firstLineChars="200"/>
      <w:jc w:val="both"/>
    </w:pPr>
    <w:rPr>
      <w:rFonts w:ascii="仿宋-GB2312" w:hAnsi="仿宋-GB2312" w:eastAsia="CESI仿宋-GB2312"/>
      <w:szCs w:val="32"/>
      <w:lang w:bidi="ar"/>
    </w:rPr>
  </w:style>
  <w:style w:type="paragraph" w:styleId="4">
    <w:name w:val="Normal Indent"/>
    <w:basedOn w:val="5"/>
    <w:next w:val="6"/>
    <w:qFormat/>
    <w:uiPriority w:val="99"/>
    <w:pPr>
      <w:ind w:firstLine="630"/>
    </w:pPr>
    <w:rPr>
      <w:rFonts w:ascii="Calibri" w:hAnsi="Calibri" w:eastAsia="仿宋_GB2312"/>
      <w:kern w:val="0"/>
      <w:sz w:val="32"/>
      <w:szCs w:val="20"/>
    </w:rPr>
  </w:style>
  <w:style w:type="paragraph" w:customStyle="1" w:styleId="5">
    <w:name w:val="正文_0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6">
    <w:name w:val="页脚_0"/>
    <w:basedOn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2"/>
    <w:qFormat/>
    <w:uiPriority w:val="0"/>
    <w:pPr>
      <w:ind w:firstLine="420" w:firstLineChars="100"/>
    </w:pPr>
  </w:style>
  <w:style w:type="table" w:styleId="12">
    <w:name w:val="Table Grid"/>
    <w:basedOn w:val="11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"/>
    <w:basedOn w:val="1"/>
    <w:qFormat/>
    <w:uiPriority w:val="0"/>
    <w:pPr>
      <w:widowControl/>
      <w:suppressAutoHyphens/>
      <w:spacing w:line="360" w:lineRule="exact"/>
      <w:jc w:val="left"/>
    </w:pPr>
    <w:rPr>
      <w:rFonts w:ascii="仿宋" w:hAnsi="仿宋" w:eastAsia="仿宋" w:cs="仿宋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2024-05-16T18:53:00Z</dcterms:created>
  <dc:creator>kylin</dc:creator>
  <cp:lastModifiedBy>kylin</cp:lastModifiedBy>
  <dcterms:modified xsi:type="dcterms:W3CDTF">2024-09-25T11:10:47Z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