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8847" w:type="dxa"/>
        <w:tblInd w:w="8" w:type="dxa"/>
        <w:tblLayout w:type="fixed"/>
        <w:tblCellMar>
          <w:top w:w="0" w:type="dxa"/>
          <w:left w:w="0" w:type="dxa"/>
          <w:bottom w:w="0" w:type="dxa"/>
          <w:right w:w="0" w:type="dxa"/>
        </w:tblCellMar>
      </w:tblPr>
      <w:tblGrid>
        <w:gridCol w:w="85"/>
        <w:gridCol w:w="4297"/>
        <w:gridCol w:w="4345"/>
        <w:gridCol w:w="120"/>
      </w:tblGrid>
      <w:tr>
        <w:trPr>
          <w:cantSplit/>
          <w:trHeight w:val="1869" w:hRule="atLeast"/>
        </w:trPr>
        <w:tc>
          <w:tcPr>
            <w:tcW w:w="4382" w:type="dxa"/>
            <w:gridSpan w:val="2"/>
          </w:tcPr>
          <w:p>
            <w:pPr>
              <w:snapToGrid w:val="0"/>
              <w:spacing w:line="480" w:lineRule="exact"/>
              <w:rPr>
                <w:rFonts w:ascii="黑体" w:hAnsi="华文中宋" w:eastAsia="黑体" w:cs="仿宋_GB2312"/>
                <w:color w:val="FFFFFF"/>
                <w:sz w:val="32"/>
                <w:szCs w:val="32"/>
                <w:highlight w:val="none"/>
              </w:rPr>
            </w:pPr>
            <w:bookmarkStart w:id="3" w:name="_GoBack"/>
            <w:r>
              <w:rPr>
                <w:rFonts w:hint="eastAsia" w:ascii="黑体" w:hAnsi="华文中宋" w:eastAsia="黑体" w:cs="仿宋_GB2312"/>
                <w:color w:val="FFFFFF"/>
                <w:sz w:val="32"/>
                <w:szCs w:val="32"/>
                <w:highlight w:val="none"/>
              </w:rPr>
              <w:t>年</w:t>
            </w:r>
          </w:p>
          <w:p>
            <w:pPr>
              <w:snapToGrid w:val="0"/>
              <w:spacing w:afterLines="100" w:line="480" w:lineRule="exact"/>
              <w:rPr>
                <w:rFonts w:ascii="黑体" w:eastAsia="黑体"/>
                <w:color w:val="FFFFFF"/>
                <w:sz w:val="32"/>
                <w:szCs w:val="32"/>
                <w:highlight w:val="none"/>
              </w:rPr>
            </w:pPr>
            <w:r>
              <w:rPr>
                <w:rFonts w:hint="eastAsia" w:ascii="黑体" w:hAnsi="华文中宋" w:eastAsia="黑体" w:cs="仿宋_GB2312"/>
                <w:color w:val="FFFFFF"/>
                <w:sz w:val="32"/>
                <w:szCs w:val="32"/>
                <w:highlight w:val="none"/>
              </w:rPr>
              <w:t>加急</w:t>
            </w:r>
          </w:p>
          <w:p>
            <w:pPr>
              <w:pStyle w:val="10"/>
              <w:spacing w:line="480" w:lineRule="exact"/>
              <w:ind w:left="5250"/>
              <w:rPr>
                <w:color w:val="FFFFFF"/>
                <w:highlight w:val="none"/>
              </w:rPr>
            </w:pPr>
          </w:p>
        </w:tc>
        <w:tc>
          <w:tcPr>
            <w:tcW w:w="4465" w:type="dxa"/>
            <w:gridSpan w:val="2"/>
          </w:tcPr>
          <w:p>
            <w:pPr>
              <w:pStyle w:val="22"/>
              <w:tabs>
                <w:tab w:val="left" w:pos="2735"/>
              </w:tabs>
              <w:spacing w:line="480" w:lineRule="exact"/>
              <w:jc w:val="both"/>
              <w:rPr>
                <w:color w:val="FFFFFF"/>
                <w:highlight w:val="none"/>
              </w:rPr>
            </w:pPr>
            <w:bookmarkStart w:id="0" w:name="PrivateLevel"/>
            <w:bookmarkEnd w:id="0"/>
            <w:bookmarkStart w:id="1" w:name="PrivateTime"/>
            <w:bookmarkEnd w:id="1"/>
            <w:r>
              <w:rPr>
                <w:color w:val="FFFFFF"/>
                <w:highlight w:val="none"/>
              </w:rPr>
              <w:tab/>
            </w:r>
            <w:r>
              <w:rPr>
                <w:rFonts w:hint="eastAsia" w:hAnsi="仿宋_GB2312" w:cs="仿宋_GB2312"/>
                <w:color w:val="FFFFFF"/>
                <w:szCs w:val="32"/>
                <w:highlight w:val="none"/>
              </w:rPr>
              <w:t>样式</w:t>
            </w:r>
          </w:p>
        </w:tc>
      </w:tr>
      <w:tr>
        <w:tblPrEx>
          <w:tblCellMar>
            <w:top w:w="0" w:type="dxa"/>
            <w:left w:w="0" w:type="dxa"/>
            <w:bottom w:w="0" w:type="dxa"/>
            <w:right w:w="0" w:type="dxa"/>
          </w:tblCellMar>
        </w:tblPrEx>
        <w:trPr>
          <w:gridBefore w:val="1"/>
          <w:gridAfter w:val="1"/>
          <w:wBefore w:w="85" w:type="dxa"/>
          <w:wAfter w:w="120" w:type="dxa"/>
          <w:cantSplit/>
          <w:trHeight w:val="922" w:hRule="atLeast"/>
        </w:trPr>
        <w:tc>
          <w:tcPr>
            <w:tcW w:w="8642" w:type="dxa"/>
            <w:gridSpan w:val="2"/>
            <w:vAlign w:val="center"/>
          </w:tcPr>
          <w:p>
            <w:pPr>
              <w:pStyle w:val="3"/>
              <w:spacing w:afterLines="50"/>
              <w:jc w:val="center"/>
              <w:rPr>
                <w:rFonts w:ascii="方正大标宋简体" w:hAnsi="华文细黑" w:eastAsia="方正大标宋简体"/>
                <w:spacing w:val="-14"/>
                <w:w w:val="80"/>
                <w:sz w:val="86"/>
                <w:szCs w:val="86"/>
                <w:highlight w:val="none"/>
              </w:rPr>
            </w:pPr>
            <w:bookmarkStart w:id="2" w:name="Urgent"/>
            <w:bookmarkEnd w:id="2"/>
          </w:p>
        </w:tc>
      </w:tr>
      <w:tr>
        <w:tblPrEx>
          <w:tblCellMar>
            <w:top w:w="0" w:type="dxa"/>
            <w:left w:w="0" w:type="dxa"/>
            <w:bottom w:w="0" w:type="dxa"/>
            <w:right w:w="0" w:type="dxa"/>
          </w:tblCellMar>
        </w:tblPrEx>
        <w:trPr>
          <w:cantSplit/>
          <w:trHeight w:val="1091" w:hRule="atLeast"/>
        </w:trPr>
        <w:tc>
          <w:tcPr>
            <w:tcW w:w="8847" w:type="dxa"/>
            <w:gridSpan w:val="4"/>
            <w:vAlign w:val="bottom"/>
          </w:tcPr>
          <w:p>
            <w:pPr>
              <w:tabs>
                <w:tab w:val="left" w:pos="8460"/>
              </w:tabs>
              <w:spacing w:beforeLines="50" w:line="560" w:lineRule="exact"/>
              <w:jc w:val="center"/>
              <w:rPr>
                <w:rFonts w:ascii="仿宋_GB2312" w:hAnsi="华文中宋" w:eastAsia="仿宋_GB2312" w:cs="仿宋_GB2312"/>
                <w:color w:val="000000"/>
                <w:sz w:val="32"/>
                <w:szCs w:val="32"/>
                <w:highlight w:val="none"/>
              </w:rPr>
            </w:pPr>
            <w:r>
              <w:rPr>
                <w:rFonts w:hint="eastAsia" w:ascii="仿宋_GB2312" w:eastAsia="仿宋_GB2312"/>
                <w:color w:val="000000"/>
                <w:sz w:val="32"/>
                <w:szCs w:val="32"/>
                <w:highlight w:val="none"/>
              </w:rPr>
              <w:t>深盐府规〔202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4</w:t>
            </w:r>
            <w:r>
              <w:rPr>
                <w:rFonts w:hint="eastAsia" w:ascii="仿宋_GB2312" w:hAnsi="华文中宋" w:eastAsia="仿宋_GB2312" w:cs="仿宋_GB2312"/>
                <w:color w:val="000000"/>
                <w:sz w:val="32"/>
                <w:szCs w:val="32"/>
                <w:highlight w:val="none"/>
              </w:rPr>
              <w:t>号</w:t>
            </w:r>
          </w:p>
        </w:tc>
      </w:tr>
      <w:tr>
        <w:trPr>
          <w:cantSplit/>
          <w:trHeight w:val="166" w:hRule="exact"/>
        </w:trPr>
        <w:tc>
          <w:tcPr>
            <w:tcW w:w="8847" w:type="dxa"/>
            <w:gridSpan w:val="4"/>
            <w:tcBorders>
              <w:bottom w:val="single" w:color="FFFFFF" w:sz="18" w:space="0"/>
            </w:tcBorders>
          </w:tcPr>
          <w:p>
            <w:pPr>
              <w:jc w:val="center"/>
              <w:rPr>
                <w:highlight w:val="none"/>
              </w:rPr>
            </w:pPr>
          </w:p>
        </w:tc>
      </w:tr>
    </w:tbl>
    <w:p>
      <w:pPr>
        <w:spacing w:line="590" w:lineRule="exact"/>
        <w:rPr>
          <w:rFonts w:ascii="仿宋_GB2312" w:eastAsia="仿宋_GB2312"/>
          <w:color w:val="000000"/>
          <w:sz w:val="32"/>
          <w:szCs w:val="32"/>
          <w:highlight w:val="none"/>
        </w:rPr>
      </w:pPr>
    </w:p>
    <w:p>
      <w:pPr>
        <w:spacing w:line="590" w:lineRule="exact"/>
        <w:rPr>
          <w:rFonts w:ascii="仿宋_GB2312" w:hAnsi="华文中宋" w:eastAsia="仿宋_GB2312" w:cs="仿宋_GB2312"/>
          <w:color w:val="000000"/>
          <w:sz w:val="32"/>
          <w:szCs w:val="32"/>
          <w:highlight w:val="none"/>
        </w:rPr>
      </w:pPr>
    </w:p>
    <w:p>
      <w:pPr>
        <w:spacing w:line="580" w:lineRule="exact"/>
        <w:jc w:val="center"/>
        <w:rPr>
          <w:rFonts w:hint="eastAsia" w:ascii="方正小标宋简体" w:hAnsi="华文中宋" w:eastAsia="方正小标宋简体" w:cs="仿宋_GB2312"/>
          <w:color w:val="000000"/>
          <w:sz w:val="44"/>
          <w:szCs w:val="44"/>
          <w:highlight w:val="none"/>
        </w:rPr>
      </w:pPr>
      <w:r>
        <w:rPr>
          <w:rFonts w:hint="eastAsia" w:ascii="方正小标宋简体" w:hAnsi="华文中宋" w:eastAsia="方正小标宋简体" w:cs="仿宋_GB2312"/>
          <w:color w:val="000000"/>
          <w:sz w:val="44"/>
          <w:szCs w:val="44"/>
          <w:highlight w:val="none"/>
        </w:rPr>
        <w:t>深圳市盐田区人民政府关于</w:t>
      </w:r>
      <w:r>
        <w:rPr>
          <w:rFonts w:hint="eastAsia" w:ascii="方正小标宋简体" w:hAnsi="华文中宋" w:eastAsia="方正小标宋简体" w:cs="仿宋_GB2312"/>
          <w:color w:val="000000"/>
          <w:spacing w:val="0"/>
          <w:sz w:val="44"/>
          <w:szCs w:val="44"/>
          <w:highlight w:val="none"/>
        </w:rPr>
        <w:t>印发</w:t>
      </w:r>
      <w:r>
        <w:rPr>
          <w:rFonts w:hint="eastAsia" w:ascii="方正小标宋简体" w:hAnsi="华文中宋" w:eastAsia="方正小标宋简体" w:cs="仿宋_GB2312"/>
          <w:color w:val="000000"/>
          <w:sz w:val="44"/>
          <w:szCs w:val="44"/>
          <w:highlight w:val="none"/>
        </w:rPr>
        <w:t>盐田区构建</w:t>
      </w:r>
    </w:p>
    <w:p>
      <w:pPr>
        <w:spacing w:line="580" w:lineRule="exact"/>
        <w:jc w:val="center"/>
        <w:rPr>
          <w:rFonts w:hint="eastAsia" w:ascii="方正小标宋简体" w:hAnsi="华文中宋" w:eastAsia="方正小标宋简体" w:cs="仿宋_GB2312"/>
          <w:color w:val="000000"/>
          <w:sz w:val="44"/>
          <w:szCs w:val="44"/>
          <w:highlight w:val="none"/>
        </w:rPr>
      </w:pPr>
      <w:r>
        <w:rPr>
          <w:rFonts w:hint="eastAsia" w:ascii="方正小标宋简体" w:hAnsi="华文中宋" w:eastAsia="方正小标宋简体" w:cs="仿宋_GB2312"/>
          <w:color w:val="000000"/>
          <w:sz w:val="44"/>
          <w:szCs w:val="44"/>
          <w:highlight w:val="none"/>
        </w:rPr>
        <w:t>现代产业体系促进经济高质量发展扶持</w:t>
      </w:r>
    </w:p>
    <w:p>
      <w:pPr>
        <w:spacing w:line="580" w:lineRule="exact"/>
        <w:jc w:val="center"/>
        <w:rPr>
          <w:rFonts w:hint="eastAsia" w:ascii="方正小标宋简体" w:hAnsi="华文中宋" w:eastAsia="方正小标宋简体" w:cs="仿宋_GB2312"/>
          <w:color w:val="000000"/>
          <w:sz w:val="44"/>
          <w:szCs w:val="44"/>
          <w:highlight w:val="none"/>
        </w:rPr>
      </w:pPr>
      <w:r>
        <w:rPr>
          <w:rFonts w:hint="eastAsia" w:ascii="方正小标宋简体" w:hAnsi="华文中宋" w:eastAsia="方正小标宋简体" w:cs="仿宋_GB2312"/>
          <w:color w:val="000000"/>
          <w:sz w:val="44"/>
          <w:szCs w:val="44"/>
          <w:highlight w:val="none"/>
        </w:rPr>
        <w:t>办法</w:t>
      </w:r>
      <w:r>
        <w:rPr>
          <w:rFonts w:hint="eastAsia" w:ascii="方正小标宋简体" w:hAnsi="华文中宋" w:eastAsia="方正小标宋简体" w:cs="仿宋_GB2312"/>
          <w:color w:val="000000"/>
          <w:sz w:val="44"/>
          <w:szCs w:val="44"/>
          <w:highlight w:val="none"/>
          <w:lang w:eastAsia="zh-CN"/>
        </w:rPr>
        <w:t>（</w:t>
      </w:r>
      <w:r>
        <w:rPr>
          <w:rFonts w:hint="eastAsia" w:ascii="方正小标宋简体" w:hAnsi="华文中宋" w:eastAsia="方正小标宋简体" w:cs="仿宋_GB2312"/>
          <w:color w:val="000000"/>
          <w:sz w:val="44"/>
          <w:szCs w:val="44"/>
          <w:highlight w:val="none"/>
          <w:lang w:val="en-US" w:eastAsia="zh-CN"/>
        </w:rPr>
        <w:t>2023年修订</w:t>
      </w:r>
      <w:r>
        <w:rPr>
          <w:rFonts w:hint="eastAsia" w:ascii="方正小标宋简体" w:hAnsi="华文中宋" w:eastAsia="方正小标宋简体" w:cs="仿宋_GB2312"/>
          <w:color w:val="000000"/>
          <w:sz w:val="44"/>
          <w:szCs w:val="44"/>
          <w:highlight w:val="none"/>
          <w:lang w:eastAsia="zh-CN"/>
        </w:rPr>
        <w:t>）</w:t>
      </w:r>
      <w:r>
        <w:rPr>
          <w:rFonts w:hint="eastAsia" w:ascii="方正小标宋简体" w:hAnsi="华文中宋" w:eastAsia="方正小标宋简体" w:cs="仿宋_GB2312"/>
          <w:color w:val="000000"/>
          <w:sz w:val="44"/>
          <w:szCs w:val="44"/>
          <w:highlight w:val="none"/>
        </w:rPr>
        <w:t>的通知</w:t>
      </w:r>
    </w:p>
    <w:p>
      <w:pPr>
        <w:spacing w:line="580" w:lineRule="exact"/>
        <w:jc w:val="center"/>
        <w:rPr>
          <w:rFonts w:ascii="仿宋_GB2312" w:hAnsi="华文中宋" w:eastAsia="仿宋_GB2312" w:cs="仿宋_GB2312"/>
          <w:color w:val="000000"/>
          <w:sz w:val="32"/>
          <w:szCs w:val="32"/>
          <w:highlight w:val="none"/>
        </w:rPr>
      </w:pPr>
    </w:p>
    <w:p>
      <w:pPr>
        <w:spacing w:line="590" w:lineRule="exact"/>
        <w:rPr>
          <w:rFonts w:ascii="华文中宋" w:hAnsi="华文中宋" w:eastAsia="华文中宋" w:cs="仿宋_GB2312"/>
          <w:color w:val="000000"/>
          <w:sz w:val="32"/>
          <w:szCs w:val="32"/>
          <w:highlight w:val="none"/>
        </w:rPr>
      </w:pPr>
      <w:r>
        <w:rPr>
          <w:rFonts w:hint="eastAsia" w:ascii="仿宋_GB2312" w:hAnsi="华文中宋" w:eastAsia="仿宋_GB2312" w:cs="仿宋_GB2312"/>
          <w:color w:val="000000"/>
          <w:sz w:val="32"/>
          <w:szCs w:val="32"/>
          <w:highlight w:val="none"/>
        </w:rPr>
        <w:t>各街道办事处，区政府直属、驻盐各单位</w:t>
      </w:r>
      <w:r>
        <w:rPr>
          <w:rFonts w:hint="eastAsia" w:ascii="华文中宋" w:hAnsi="华文中宋" w:eastAsia="华文中宋" w:cs="仿宋_GB2312"/>
          <w:color w:val="000000"/>
          <w:sz w:val="32"/>
          <w:szCs w:val="32"/>
          <w:highlight w:val="none"/>
        </w:rPr>
        <w:t>：</w:t>
      </w:r>
    </w:p>
    <w:p>
      <w:pPr>
        <w:spacing w:line="590" w:lineRule="exact"/>
        <w:ind w:firstLine="616" w:firstLineChars="200"/>
        <w:rPr>
          <w:rFonts w:ascii="仿宋_GB2312" w:hAnsi="华文中宋" w:eastAsia="仿宋_GB2312" w:cs="仿宋_GB2312"/>
          <w:color w:val="000000"/>
          <w:spacing w:val="-6"/>
          <w:sz w:val="32"/>
          <w:szCs w:val="32"/>
          <w:highlight w:val="none"/>
        </w:rPr>
      </w:pPr>
      <w:r>
        <w:rPr>
          <w:rFonts w:hint="eastAsia" w:ascii="仿宋_GB2312" w:hAnsi="仿宋" w:eastAsia="仿宋_GB2312" w:cs="仿宋"/>
          <w:b w:val="0"/>
          <w:bCs w:val="0"/>
          <w:spacing w:val="-6"/>
          <w:sz w:val="32"/>
          <w:szCs w:val="32"/>
          <w:highlight w:val="none"/>
          <w:u w:val="none" w:color="auto"/>
          <w:lang w:eastAsia="zh-CN"/>
        </w:rPr>
        <w:t>《盐田区构建现代产业体系促进经济高质量发展扶持办法（2023年修订）》已经区政府同意，现印发给你们，请遵照执行</w:t>
      </w:r>
      <w:r>
        <w:rPr>
          <w:rFonts w:hint="eastAsia" w:ascii="仿宋_GB2312" w:hAnsi="华文中宋" w:eastAsia="仿宋_GB2312" w:cs="仿宋_GB2312"/>
          <w:color w:val="000000"/>
          <w:spacing w:val="-6"/>
          <w:sz w:val="32"/>
          <w:szCs w:val="32"/>
          <w:highlight w:val="none"/>
        </w:rPr>
        <w:t>。</w:t>
      </w:r>
    </w:p>
    <w:p>
      <w:pPr>
        <w:spacing w:line="590" w:lineRule="exact"/>
        <w:rPr>
          <w:rFonts w:ascii="仿宋_GB2312" w:hAnsi="华文中宋" w:eastAsia="仿宋_GB2312" w:cs="仿宋_GB2312"/>
          <w:color w:val="000000"/>
          <w:spacing w:val="-6"/>
          <w:sz w:val="32"/>
          <w:szCs w:val="32"/>
          <w:highlight w:val="none"/>
        </w:rPr>
      </w:pPr>
    </w:p>
    <w:p>
      <w:pPr>
        <w:spacing w:line="590" w:lineRule="exact"/>
        <w:rPr>
          <w:rFonts w:ascii="仿宋_GB2312" w:hAnsi="华文中宋" w:eastAsia="仿宋_GB2312" w:cs="仿宋_GB2312"/>
          <w:color w:val="000000"/>
          <w:spacing w:val="-6"/>
          <w:sz w:val="32"/>
          <w:szCs w:val="32"/>
          <w:highlight w:val="none"/>
        </w:rPr>
      </w:pPr>
    </w:p>
    <w:p>
      <w:pPr>
        <w:spacing w:line="590" w:lineRule="exact"/>
        <w:ind w:right="640" w:firstLine="4480" w:firstLineChars="1400"/>
        <w:rPr>
          <w:rFonts w:ascii="仿宋_GB2312" w:hAnsi="华文中宋" w:eastAsia="仿宋_GB2312"/>
          <w:color w:val="000000"/>
          <w:sz w:val="32"/>
          <w:szCs w:val="32"/>
          <w:highlight w:val="none"/>
        </w:rPr>
      </w:pPr>
      <w:r>
        <w:rPr>
          <w:rFonts w:hint="eastAsia" w:ascii="仿宋_GB2312" w:hAnsi="华文中宋" w:eastAsia="仿宋_GB2312"/>
          <w:color w:val="000000"/>
          <w:sz w:val="32"/>
          <w:szCs w:val="32"/>
          <w:highlight w:val="none"/>
        </w:rPr>
        <w:t>深圳市盐田区人民政府</w:t>
      </w:r>
    </w:p>
    <w:p>
      <w:pPr>
        <w:tabs>
          <w:tab w:val="left" w:pos="4680"/>
          <w:tab w:val="left" w:pos="4860"/>
          <w:tab w:val="left" w:pos="5040"/>
        </w:tabs>
        <w:wordWrap w:val="0"/>
        <w:spacing w:line="590" w:lineRule="exact"/>
        <w:ind w:right="640"/>
        <w:rPr>
          <w:rFonts w:ascii="仿宋_GB2312" w:hAnsi="华文中宋" w:eastAsia="仿宋_GB2312"/>
          <w:color w:val="000000"/>
          <w:sz w:val="32"/>
          <w:szCs w:val="32"/>
          <w:highlight w:val="none"/>
        </w:rPr>
      </w:pPr>
      <w:r>
        <w:rPr>
          <w:rFonts w:hint="eastAsia" w:ascii="仿宋_GB2312" w:hAnsi="华文中宋" w:eastAsia="仿宋_GB2312"/>
          <w:color w:val="000000"/>
          <w:sz w:val="32"/>
          <w:szCs w:val="32"/>
          <w:highlight w:val="none"/>
        </w:rPr>
        <w:t xml:space="preserve">                              202</w:t>
      </w:r>
      <w:r>
        <w:rPr>
          <w:rFonts w:hint="eastAsia" w:ascii="仿宋_GB2312" w:hAnsi="华文中宋" w:eastAsia="仿宋_GB2312"/>
          <w:color w:val="000000"/>
          <w:sz w:val="32"/>
          <w:szCs w:val="32"/>
          <w:highlight w:val="none"/>
          <w:lang w:val="en-US" w:eastAsia="zh-CN"/>
        </w:rPr>
        <w:t>3</w:t>
      </w:r>
      <w:r>
        <w:rPr>
          <w:rFonts w:hint="eastAsia" w:ascii="仿宋_GB2312" w:hAnsi="华文中宋" w:eastAsia="仿宋_GB2312"/>
          <w:color w:val="000000"/>
          <w:sz w:val="32"/>
          <w:szCs w:val="32"/>
          <w:highlight w:val="none"/>
        </w:rPr>
        <w:t>年</w:t>
      </w:r>
      <w:r>
        <w:rPr>
          <w:rFonts w:hint="eastAsia" w:ascii="仿宋_GB2312" w:hAnsi="华文中宋" w:eastAsia="仿宋_GB2312"/>
          <w:color w:val="000000"/>
          <w:sz w:val="32"/>
          <w:szCs w:val="32"/>
          <w:highlight w:val="none"/>
          <w:lang w:val="en-US" w:eastAsia="zh-CN"/>
        </w:rPr>
        <w:t>12</w:t>
      </w:r>
      <w:r>
        <w:rPr>
          <w:rFonts w:hint="eastAsia" w:ascii="仿宋_GB2312" w:hAnsi="华文中宋" w:eastAsia="仿宋_GB2312"/>
          <w:color w:val="000000"/>
          <w:sz w:val="32"/>
          <w:szCs w:val="32"/>
          <w:highlight w:val="none"/>
        </w:rPr>
        <w:t>月</w:t>
      </w:r>
      <w:r>
        <w:rPr>
          <w:rFonts w:hint="eastAsia" w:ascii="仿宋_GB2312" w:hAnsi="华文中宋" w:eastAsia="仿宋_GB2312"/>
          <w:color w:val="000000"/>
          <w:sz w:val="32"/>
          <w:szCs w:val="32"/>
          <w:highlight w:val="none"/>
          <w:lang w:val="en-US" w:eastAsia="zh-CN"/>
        </w:rPr>
        <w:t>14</w:t>
      </w:r>
      <w:r>
        <w:rPr>
          <w:rFonts w:hint="eastAsia" w:ascii="仿宋_GB2312" w:hAnsi="华文中宋" w:eastAsia="仿宋_GB2312"/>
          <w:color w:val="000000"/>
          <w:sz w:val="32"/>
          <w:szCs w:val="32"/>
          <w:highlight w:val="none"/>
        </w:rPr>
        <w:t>日</w:t>
      </w:r>
    </w:p>
    <w:p>
      <w:pPr>
        <w:autoSpaceDE w:val="0"/>
        <w:autoSpaceDN w:val="0"/>
        <w:adjustRightInd w:val="0"/>
        <w:spacing w:line="580" w:lineRule="exact"/>
        <w:rPr>
          <w:rFonts w:ascii="方正小标宋简体" w:hAnsi="宋体" w:eastAsia="方正小标宋简体"/>
          <w:color w:val="000000"/>
          <w:sz w:val="32"/>
          <w:szCs w:val="32"/>
          <w:highlight w:val="none"/>
        </w:rPr>
      </w:pPr>
    </w:p>
    <w:p>
      <w:pPr>
        <w:pStyle w:val="17"/>
        <w:spacing w:before="0" w:after="0" w:line="580" w:lineRule="exact"/>
        <w:rPr>
          <w:rFonts w:hint="eastAsia" w:ascii="仿宋_GB2312" w:hAnsi="仿宋_GB2312" w:eastAsia="仿宋_GB2312" w:cs="仿宋_GB2312"/>
          <w:b w:val="0"/>
          <w:bCs/>
          <w:szCs w:val="32"/>
          <w:highlight w:val="none"/>
        </w:rPr>
      </w:pPr>
    </w:p>
    <w:p>
      <w:pPr>
        <w:widowControl w:val="0"/>
        <w:spacing w:line="560" w:lineRule="exact"/>
        <w:ind w:firstLine="0" w:firstLineChars="0"/>
        <w:jc w:val="center"/>
        <w:rPr>
          <w:rFonts w:hint="eastAsia" w:ascii="方正小标宋简体" w:hAnsi="华文中宋" w:eastAsia="方正小标宋简体" w:cs="仿宋_GB2312"/>
          <w:color w:val="000000"/>
          <w:sz w:val="44"/>
          <w:szCs w:val="44"/>
          <w:highlight w:val="none"/>
        </w:rPr>
      </w:pPr>
      <w:r>
        <w:rPr>
          <w:rFonts w:hint="eastAsia" w:ascii="方正小标宋简体" w:hAnsi="华文中宋" w:eastAsia="方正小标宋简体" w:cs="仿宋_GB2312"/>
          <w:color w:val="000000"/>
          <w:sz w:val="44"/>
          <w:szCs w:val="44"/>
          <w:highlight w:val="none"/>
        </w:rPr>
        <w:t>盐田区构建现代产业体系促进经济高质量</w:t>
      </w:r>
    </w:p>
    <w:p>
      <w:pPr>
        <w:widowControl w:val="0"/>
        <w:spacing w:line="560" w:lineRule="exact"/>
        <w:ind w:firstLine="0" w:firstLineChars="0"/>
        <w:jc w:val="center"/>
        <w:rPr>
          <w:rFonts w:hint="eastAsia" w:ascii="方正小标宋简体" w:hAnsi="华文中宋" w:eastAsia="方正小标宋简体" w:cs="仿宋_GB2312"/>
          <w:color w:val="000000"/>
          <w:sz w:val="44"/>
          <w:szCs w:val="44"/>
          <w:highlight w:val="none"/>
        </w:rPr>
      </w:pPr>
      <w:r>
        <w:rPr>
          <w:rFonts w:hint="eastAsia" w:ascii="方正小标宋简体" w:hAnsi="华文中宋" w:eastAsia="方正小标宋简体" w:cs="仿宋_GB2312"/>
          <w:color w:val="000000"/>
          <w:sz w:val="44"/>
          <w:szCs w:val="44"/>
          <w:highlight w:val="none"/>
        </w:rPr>
        <w:t>发展扶持办法</w:t>
      </w:r>
      <w:r>
        <w:rPr>
          <w:rFonts w:hint="eastAsia" w:ascii="方正小标宋简体" w:hAnsi="华文中宋" w:eastAsia="方正小标宋简体" w:cs="仿宋_GB2312"/>
          <w:color w:val="000000"/>
          <w:sz w:val="44"/>
          <w:szCs w:val="44"/>
          <w:highlight w:val="none"/>
          <w:lang w:eastAsia="zh-CN"/>
        </w:rPr>
        <w:t>（</w:t>
      </w:r>
      <w:r>
        <w:rPr>
          <w:rFonts w:hint="eastAsia" w:ascii="方正小标宋简体" w:hAnsi="华文中宋" w:eastAsia="方正小标宋简体" w:cs="仿宋_GB2312"/>
          <w:color w:val="000000"/>
          <w:sz w:val="44"/>
          <w:szCs w:val="44"/>
          <w:highlight w:val="none"/>
          <w:lang w:val="en-US" w:eastAsia="zh-CN"/>
        </w:rPr>
        <w:t>2023年修订</w:t>
      </w:r>
      <w:r>
        <w:rPr>
          <w:rFonts w:hint="eastAsia" w:ascii="方正小标宋简体" w:hAnsi="华文中宋" w:eastAsia="方正小标宋简体" w:cs="仿宋_GB2312"/>
          <w:color w:val="000000"/>
          <w:sz w:val="44"/>
          <w:szCs w:val="44"/>
          <w:highlight w:val="none"/>
          <w:lang w:eastAsia="zh-CN"/>
        </w:rPr>
        <w:t>）</w:t>
      </w:r>
      <w:r>
        <w:rPr>
          <w:rFonts w:hint="eastAsia" w:ascii="方正小标宋简体" w:hAnsi="华文中宋" w:eastAsia="方正小标宋简体" w:cs="仿宋_GB2312"/>
          <w:color w:val="000000"/>
          <w:sz w:val="44"/>
          <w:szCs w:val="44"/>
          <w:highlight w:val="none"/>
        </w:rPr>
        <w:t>的通知</w:t>
      </w:r>
    </w:p>
    <w:p>
      <w:pPr>
        <w:widowControl w:val="0"/>
        <w:spacing w:line="560" w:lineRule="exact"/>
        <w:ind w:firstLine="0" w:firstLineChars="0"/>
        <w:jc w:val="center"/>
        <w:rPr>
          <w:rFonts w:hint="eastAsia" w:ascii="方正小标宋简体" w:hAnsi="华文中宋" w:eastAsia="方正小标宋简体" w:cs="仿宋_GB2312"/>
          <w:color w:val="000000"/>
          <w:kern w:val="2"/>
          <w:sz w:val="44"/>
          <w:szCs w:val="44"/>
          <w:highlight w:val="none"/>
          <w:lang w:val="en-US" w:eastAsia="zh-CN" w:bidi="ar-SA"/>
        </w:rPr>
      </w:pPr>
    </w:p>
    <w:p>
      <w:pPr>
        <w:keepNext w:val="0"/>
        <w:keepLines w:val="0"/>
        <w:pageBreakBefore w:val="0"/>
        <w:widowControl w:val="0"/>
        <w:numPr>
          <w:ilvl w:val="255"/>
          <w:numId w:val="0"/>
        </w:numPr>
        <w:kinsoku/>
        <w:wordWrap/>
        <w:overflowPunct w:val="0"/>
        <w:topLinePunct w:val="0"/>
        <w:autoSpaceDE w:val="0"/>
        <w:autoSpaceDN w:val="0"/>
        <w:bidi w:val="0"/>
        <w:adjustRightInd w:val="0"/>
        <w:snapToGrid w:val="0"/>
        <w:spacing w:after="313" w:afterLines="100" w:line="560" w:lineRule="exact"/>
        <w:jc w:val="center"/>
        <w:textAlignment w:val="auto"/>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第一章 总则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eastAsia="仿宋_GB2312" w:cs="仿宋_GB2312"/>
          <w:color w:val="auto"/>
          <w:sz w:val="32"/>
          <w:szCs w:val="32"/>
          <w:highlight w:val="none"/>
        </w:rPr>
      </w:pPr>
      <w:r>
        <w:rPr>
          <w:rFonts w:hint="eastAsia" w:ascii="黑体" w:hAnsi="宋体" w:eastAsia="黑体" w:cs="黑体"/>
          <w:color w:val="auto"/>
          <w:kern w:val="0"/>
          <w:sz w:val="32"/>
          <w:szCs w:val="32"/>
          <w:highlight w:val="none"/>
        </w:rPr>
        <w:t>第一条</w:t>
      </w:r>
      <w:r>
        <w:rPr>
          <w:rFonts w:hint="eastAsia" w:ascii="黑体" w:hAnsi="宋体" w:eastAsia="黑体" w:cs="黑体"/>
          <w:color w:val="auto"/>
          <w:kern w:val="0"/>
          <w:sz w:val="32"/>
          <w:szCs w:val="32"/>
          <w:highlight w:val="none"/>
          <w:lang w:val="en-US" w:eastAsia="zh-CN"/>
        </w:rPr>
        <w:t xml:space="preserve"> </w:t>
      </w:r>
      <w:r>
        <w:rPr>
          <w:rFonts w:hint="eastAsia" w:ascii="仿宋_GB2312" w:hAnsi="仿宋" w:eastAsia="仿宋_GB2312" w:cs="宋体"/>
          <w:color w:val="auto"/>
          <w:kern w:val="0"/>
          <w:sz w:val="32"/>
          <w:szCs w:val="32"/>
          <w:highlight w:val="none"/>
        </w:rPr>
        <w:t>为了抢抓粤港澳大湾区和中国特色社会主义先行示范区“双区”驱动、深圳经济特区和深圳建设中国特色社会主义先行示范区“双区”叠加、深圳建设中国特色社会主义先行示范区综合改革试点和全面深化前海深港现代服务业合作区改革开放“双改”示范的重大历史机遇，大力推进盐田区全球海洋中心城市核心区和沙头角深港国际消费合作区建设，深入贯彻落实“产业兴盐”“创新驱动”战略，全力打造“湾区核心枢纽、品质发展标杆”，加快构建现代产业体系，推动经济高质量发展，制定本扶持办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 w:eastAsia="仿宋_GB2312" w:cs="宋体"/>
          <w:color w:val="auto"/>
          <w:kern w:val="0"/>
          <w:sz w:val="32"/>
          <w:szCs w:val="32"/>
          <w:highlight w:val="none"/>
        </w:rPr>
      </w:pPr>
      <w:r>
        <w:rPr>
          <w:rFonts w:hint="eastAsia" w:ascii="黑体" w:hAnsi="宋体" w:eastAsia="黑体" w:cs="黑体"/>
          <w:color w:val="auto"/>
          <w:kern w:val="0"/>
          <w:sz w:val="32"/>
          <w:szCs w:val="32"/>
          <w:highlight w:val="none"/>
        </w:rPr>
        <w:t xml:space="preserve">第二条 </w:t>
      </w:r>
      <w:r>
        <w:rPr>
          <w:rFonts w:hint="eastAsia" w:ascii="仿宋_GB2312" w:hAnsi="仿宋" w:eastAsia="仿宋_GB2312" w:cs="宋体"/>
          <w:color w:val="auto"/>
          <w:kern w:val="0"/>
          <w:sz w:val="32"/>
          <w:szCs w:val="32"/>
          <w:highlight w:val="none"/>
        </w:rPr>
        <w:t>本办法按照区产业发展资金管理规定，遵循公开、公平、公正原则，实行总量控制、自愿申报、政府决策、社会公示，在每年区产业发展资金预算内对各类项目实施资助。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仿宋" w:eastAsia="仿宋_GB2312" w:cs="宋体"/>
          <w:color w:val="auto"/>
          <w:kern w:val="0"/>
          <w:sz w:val="32"/>
          <w:szCs w:val="32"/>
          <w:highlight w:val="none"/>
        </w:rPr>
      </w:pPr>
    </w:p>
    <w:p>
      <w:pPr>
        <w:keepNext w:val="0"/>
        <w:keepLines w:val="0"/>
        <w:pageBreakBefore w:val="0"/>
        <w:widowControl w:val="0"/>
        <w:numPr>
          <w:ilvl w:val="255"/>
          <w:numId w:val="0"/>
        </w:numPr>
        <w:kinsoku/>
        <w:wordWrap/>
        <w:overflowPunct w:val="0"/>
        <w:topLinePunct w:val="0"/>
        <w:autoSpaceDE w:val="0"/>
        <w:autoSpaceDN w:val="0"/>
        <w:bidi w:val="0"/>
        <w:adjustRightInd w:val="0"/>
        <w:snapToGrid w:val="0"/>
        <w:spacing w:after="313" w:afterLines="100" w:line="560" w:lineRule="exact"/>
        <w:jc w:val="center"/>
        <w:textAlignment w:val="auto"/>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第二章</w:t>
      </w:r>
      <w:r>
        <w:rPr>
          <w:rFonts w:hint="eastAsia" w:ascii="黑体" w:hAnsi="宋体" w:eastAsia="黑体" w:cs="黑体"/>
          <w:color w:val="auto"/>
          <w:sz w:val="32"/>
          <w:szCs w:val="32"/>
          <w:highlight w:val="none"/>
          <w:lang w:val="en-US" w:eastAsia="zh-CN"/>
        </w:rPr>
        <w:t xml:space="preserve"> </w:t>
      </w:r>
      <w:r>
        <w:rPr>
          <w:rFonts w:hint="eastAsia" w:ascii="黑体" w:hAnsi="宋体" w:eastAsia="黑体" w:cs="黑体"/>
          <w:color w:val="auto"/>
          <w:sz w:val="32"/>
          <w:szCs w:val="32"/>
          <w:highlight w:val="none"/>
        </w:rPr>
        <w:t>加大支持总部企业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 xml:space="preserve">第三条 </w:t>
      </w:r>
      <w:r>
        <w:rPr>
          <w:rFonts w:hint="eastAsia" w:ascii="仿宋_GB2312" w:eastAsia="仿宋_GB2312" w:cs="仿宋_GB2312"/>
          <w:color w:val="auto"/>
          <w:kern w:val="0"/>
          <w:sz w:val="32"/>
          <w:szCs w:val="32"/>
          <w:highlight w:val="none"/>
        </w:rPr>
        <w:t>总部企业支持。加大总部企业培育和支持力度，被认定为盐田区总部企业的，可享受以下扶持：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（一）根据总部企业经营情况给予经营奖励。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（二）对总部企业在盐田区购置或租赁自用研发办公和生产场地用房（不包括附属设施、配套用房和政策性优惠用房）的给予资助。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center"/>
        <w:textAlignment w:val="auto"/>
        <w:rPr>
          <w:rFonts w:ascii="黑体" w:hAnsi="宋体" w:eastAsia="黑体" w:cs="黑体"/>
          <w:color w:val="auto"/>
          <w:sz w:val="32"/>
          <w:szCs w:val="32"/>
          <w:highlight w:val="none"/>
        </w:rPr>
      </w:pPr>
    </w:p>
    <w:p>
      <w:pPr>
        <w:keepNext w:val="0"/>
        <w:keepLines w:val="0"/>
        <w:pageBreakBefore w:val="0"/>
        <w:widowControl w:val="0"/>
        <w:numPr>
          <w:ilvl w:val="255"/>
          <w:numId w:val="0"/>
        </w:numPr>
        <w:kinsoku/>
        <w:wordWrap/>
        <w:overflowPunct w:val="0"/>
        <w:topLinePunct w:val="0"/>
        <w:autoSpaceDE w:val="0"/>
        <w:autoSpaceDN w:val="0"/>
        <w:bidi w:val="0"/>
        <w:adjustRightInd w:val="0"/>
        <w:snapToGrid w:val="0"/>
        <w:spacing w:after="313" w:afterLines="100" w:line="560" w:lineRule="exact"/>
        <w:jc w:val="center"/>
        <w:textAlignment w:val="auto"/>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第三章 强化科技创新驱动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黑体" w:hAnsi="宋体" w:eastAsia="黑体" w:cs="黑体"/>
          <w:color w:val="auto"/>
          <w:kern w:val="0"/>
          <w:sz w:val="32"/>
          <w:szCs w:val="32"/>
          <w:highlight w:val="none"/>
        </w:rPr>
      </w:pPr>
      <w:r>
        <w:rPr>
          <w:rFonts w:hint="eastAsia" w:ascii="黑体" w:hAnsi="宋体" w:eastAsia="黑体" w:cs="黑体"/>
          <w:color w:val="auto"/>
          <w:kern w:val="0"/>
          <w:sz w:val="32"/>
          <w:szCs w:val="32"/>
          <w:highlight w:val="none"/>
        </w:rPr>
        <w:t xml:space="preserve">第四条 </w:t>
      </w:r>
      <w:r>
        <w:rPr>
          <w:rFonts w:hint="eastAsia" w:ascii="仿宋_GB2312" w:eastAsia="仿宋_GB2312" w:cs="仿宋_GB2312"/>
          <w:color w:val="auto"/>
          <w:kern w:val="0"/>
          <w:sz w:val="32"/>
          <w:szCs w:val="32"/>
          <w:highlight w:val="none"/>
        </w:rPr>
        <w:t>国家高新技术企业认定奖励。对企业通过国家高新技术企业认定，按一定标准给予最高不超过三十万元的奖励。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 xml:space="preserve">第五条 </w:t>
      </w:r>
      <w:r>
        <w:rPr>
          <w:rFonts w:hint="eastAsia" w:ascii="仿宋_GB2312" w:eastAsia="仿宋_GB2312" w:cs="仿宋_GB2312"/>
          <w:color w:val="auto"/>
          <w:kern w:val="0"/>
          <w:sz w:val="32"/>
          <w:szCs w:val="32"/>
          <w:highlight w:val="none"/>
        </w:rPr>
        <w:t>研发投入扶持。对符合研发费用加计扣除政策，上一年度研发投入在一百万元以上，且占同期营业收入的比例在百分之三以上的企业或单位，给予上一年度研发费用加计扣除额百分之三资助，最高不超过一百万元；同比增长一百万元以上的，对增长部分加计扣除额给予百分之五追加奖励，增长奖励最高不超过一百万元。对同一企业或单位每年扶持不超过二百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第六条</w:t>
      </w:r>
      <w:r>
        <w:rPr>
          <w:rFonts w:hint="eastAsia" w:ascii="仿宋_GB2312" w:eastAsia="仿宋_GB2312" w:cs="仿宋_GB2312"/>
          <w:color w:val="auto"/>
          <w:kern w:val="0"/>
          <w:sz w:val="32"/>
          <w:szCs w:val="32"/>
          <w:highlight w:val="none"/>
        </w:rPr>
        <w:t xml:space="preserve"> 科技成果产业化扶持。对科技创业项目完成科技成果转化，并在盐田区实际从事经营活动，根据经营情况给予一定扶持：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（一）经营状况良好的，按一定标准给予企业奖励，最高不超过五十万元；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（二）对企业在盐田区租用的场地，按房屋租金市场指导价的百分之四十，且最高不超过三十元/平方米/月的标准给予资助，对同一企业每年资助不超过五十万元，最多资助三年。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 xml:space="preserve">第七条 </w:t>
      </w:r>
      <w:r>
        <w:rPr>
          <w:rFonts w:hint="eastAsia" w:ascii="仿宋_GB2312" w:eastAsia="仿宋_GB2312" w:cs="仿宋_GB2312"/>
          <w:color w:val="auto"/>
          <w:kern w:val="0"/>
          <w:sz w:val="32"/>
          <w:szCs w:val="32"/>
          <w:highlight w:val="none"/>
        </w:rPr>
        <w:t>科技企业孵化器资助。对经区科技创新局评审认定，并报区政府同意的科技企业孵化器，按其运营机构上一年度投入运营经费的百分之五十给予一次性资助，最高不超过一百万元。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 xml:space="preserve">第八条 </w:t>
      </w:r>
      <w:r>
        <w:rPr>
          <w:rFonts w:hint="eastAsia" w:ascii="仿宋_GB2312" w:eastAsia="仿宋_GB2312" w:cs="仿宋_GB2312"/>
          <w:color w:val="auto"/>
          <w:kern w:val="0"/>
          <w:sz w:val="32"/>
          <w:szCs w:val="32"/>
          <w:highlight w:val="none"/>
        </w:rPr>
        <w:t>专利实施许可合同登记资助。上一年度专利权人对外进行专利许可并进行专利实施许可合同备案登记的，按照实际登记金额的百分之三给予资助。每一笔专利实施许可合同资助金额不超过五十万元，对同一企业或单位每年资助不超过一百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九</w:t>
      </w:r>
      <w:r>
        <w:rPr>
          <w:rFonts w:hint="eastAsia" w:ascii="黑体" w:hAnsi="宋体" w:eastAsia="黑体" w:cs="黑体"/>
          <w:color w:val="auto"/>
          <w:kern w:val="0"/>
          <w:sz w:val="32"/>
          <w:szCs w:val="32"/>
          <w:highlight w:val="none"/>
        </w:rPr>
        <w:t xml:space="preserve">条 </w:t>
      </w:r>
      <w:r>
        <w:rPr>
          <w:rFonts w:hint="eastAsia" w:ascii="仿宋_GB2312" w:eastAsia="仿宋_GB2312" w:cs="仿宋_GB2312"/>
          <w:color w:val="auto"/>
          <w:kern w:val="0"/>
          <w:sz w:val="32"/>
          <w:szCs w:val="32"/>
          <w:highlight w:val="none"/>
        </w:rPr>
        <w:t>国家省市级重大项目配套资助。获得深圳市发展改革委或市科技创新委关于国家产业发展计划(专项)、国家和广东省科技计划项目配套</w:t>
      </w:r>
      <w:r>
        <w:rPr>
          <w:rFonts w:hint="eastAsia" w:ascii="仿宋_GB2312" w:eastAsia="仿宋_GB2312" w:cs="仿宋_GB2312"/>
          <w:color w:val="auto"/>
          <w:kern w:val="0"/>
          <w:sz w:val="32"/>
          <w:szCs w:val="32"/>
          <w:highlight w:val="none"/>
          <w:lang w:eastAsia="zh-CN"/>
        </w:rPr>
        <w:t>资助</w:t>
      </w:r>
      <w:r>
        <w:rPr>
          <w:rFonts w:hint="eastAsia" w:ascii="仿宋_GB2312" w:eastAsia="仿宋_GB2312" w:cs="仿宋_GB2312"/>
          <w:color w:val="auto"/>
          <w:kern w:val="0"/>
          <w:sz w:val="32"/>
          <w:szCs w:val="32"/>
          <w:highlight w:val="none"/>
        </w:rPr>
        <w:t>或获得市科技创新委技术攻关项目</w:t>
      </w:r>
      <w:r>
        <w:rPr>
          <w:rFonts w:hint="eastAsia" w:ascii="仿宋_GB2312" w:eastAsia="仿宋_GB2312" w:cs="仿宋_GB2312"/>
          <w:color w:val="auto"/>
          <w:kern w:val="0"/>
          <w:sz w:val="32"/>
          <w:szCs w:val="32"/>
          <w:highlight w:val="none"/>
          <w:lang w:eastAsia="zh-CN"/>
        </w:rPr>
        <w:t>资助</w:t>
      </w:r>
      <w:r>
        <w:rPr>
          <w:rFonts w:hint="eastAsia" w:ascii="仿宋_GB2312" w:eastAsia="仿宋_GB2312" w:cs="仿宋_GB2312"/>
          <w:color w:val="auto"/>
          <w:kern w:val="0"/>
          <w:sz w:val="32"/>
          <w:szCs w:val="32"/>
          <w:highlight w:val="none"/>
        </w:rPr>
        <w:t>,项目在</w:t>
      </w:r>
      <w:r>
        <w:rPr>
          <w:rFonts w:hint="eastAsia" w:ascii="仿宋_GB2312" w:eastAsia="仿宋_GB2312" w:cs="仿宋_GB2312"/>
          <w:color w:val="auto"/>
          <w:kern w:val="0"/>
          <w:sz w:val="32"/>
          <w:szCs w:val="32"/>
          <w:highlight w:val="none"/>
          <w:lang w:val="en-US" w:eastAsia="zh-CN"/>
        </w:rPr>
        <w:t>本办法施行期间</w:t>
      </w:r>
      <w:r>
        <w:rPr>
          <w:rFonts w:hint="eastAsia" w:ascii="仿宋_GB2312" w:eastAsia="仿宋_GB2312" w:cs="仿宋_GB2312"/>
          <w:color w:val="auto"/>
          <w:kern w:val="0"/>
          <w:sz w:val="32"/>
          <w:szCs w:val="32"/>
          <w:highlight w:val="none"/>
        </w:rPr>
        <w:t>立项且已通过立项部门验收的,按已到位深圳市级资助金额的百分之四十给予资助。单个国家级项目最高资助五百万元,单个省级项目最高资助三百万元,单个市级项目最高资助一百五十万元。</w:t>
      </w:r>
      <w:r>
        <w:rPr>
          <w:rFonts w:hint="eastAsia" w:ascii="仿宋_GB2312" w:eastAsia="仿宋_GB2312" w:cs="仿宋_GB2312"/>
          <w:color w:val="auto"/>
          <w:kern w:val="0"/>
          <w:sz w:val="32"/>
          <w:szCs w:val="32"/>
          <w:highlight w:val="none"/>
          <w:lang w:eastAsia="zh-CN"/>
        </w:rPr>
        <w:t>对</w:t>
      </w:r>
      <w:r>
        <w:rPr>
          <w:rFonts w:hint="eastAsia" w:ascii="仿宋_GB2312" w:eastAsia="仿宋_GB2312" w:cs="仿宋_GB2312"/>
          <w:color w:val="auto"/>
          <w:kern w:val="0"/>
          <w:sz w:val="32"/>
          <w:szCs w:val="32"/>
          <w:highlight w:val="none"/>
        </w:rPr>
        <w:t>同一</w:t>
      </w:r>
      <w:r>
        <w:rPr>
          <w:rFonts w:hint="eastAsia" w:ascii="仿宋_GB2312" w:eastAsia="仿宋_GB2312" w:cs="仿宋_GB2312"/>
          <w:color w:val="auto"/>
          <w:kern w:val="0"/>
          <w:sz w:val="32"/>
          <w:szCs w:val="32"/>
          <w:highlight w:val="none"/>
          <w:lang w:eastAsia="zh-CN"/>
        </w:rPr>
        <w:t>企业或</w:t>
      </w:r>
      <w:r>
        <w:rPr>
          <w:rFonts w:hint="eastAsia" w:ascii="仿宋_GB2312" w:eastAsia="仿宋_GB2312" w:cs="仿宋_GB2312"/>
          <w:color w:val="auto"/>
          <w:kern w:val="0"/>
          <w:sz w:val="32"/>
          <w:szCs w:val="32"/>
          <w:highlight w:val="none"/>
        </w:rPr>
        <w:t>单位</w:t>
      </w:r>
      <w:r>
        <w:rPr>
          <w:rFonts w:hint="eastAsia" w:ascii="仿宋_GB2312" w:eastAsia="仿宋_GB2312" w:cs="仿宋_GB2312"/>
          <w:color w:val="auto"/>
          <w:kern w:val="0"/>
          <w:sz w:val="32"/>
          <w:szCs w:val="32"/>
          <w:highlight w:val="none"/>
          <w:lang w:eastAsia="zh-CN"/>
        </w:rPr>
        <w:t>每年资助</w:t>
      </w:r>
      <w:r>
        <w:rPr>
          <w:rFonts w:hint="eastAsia" w:ascii="仿宋_GB2312" w:eastAsia="仿宋_GB2312" w:cs="仿宋_GB2312"/>
          <w:color w:val="auto"/>
          <w:kern w:val="0"/>
          <w:sz w:val="32"/>
          <w:szCs w:val="32"/>
          <w:highlight w:val="none"/>
        </w:rPr>
        <w:t>不超过五百万元。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十</w:t>
      </w:r>
      <w:r>
        <w:rPr>
          <w:rFonts w:hint="eastAsia" w:ascii="黑体" w:hAnsi="宋体" w:eastAsia="黑体" w:cs="黑体"/>
          <w:color w:val="auto"/>
          <w:kern w:val="0"/>
          <w:sz w:val="32"/>
          <w:szCs w:val="32"/>
          <w:highlight w:val="none"/>
        </w:rPr>
        <w:t xml:space="preserve">条 </w:t>
      </w:r>
      <w:r>
        <w:rPr>
          <w:rFonts w:hint="eastAsia" w:ascii="仿宋_GB2312" w:eastAsia="仿宋_GB2312" w:cs="仿宋_GB2312"/>
          <w:color w:val="auto"/>
          <w:kern w:val="0"/>
          <w:sz w:val="32"/>
          <w:szCs w:val="32"/>
          <w:highlight w:val="none"/>
        </w:rPr>
        <w:t>创新载体发展资助。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（一）对</w:t>
      </w:r>
      <w:r>
        <w:rPr>
          <w:rFonts w:hint="eastAsia" w:ascii="仿宋_GB2312" w:eastAsia="仿宋_GB2312" w:cs="仿宋_GB2312"/>
          <w:color w:val="auto"/>
          <w:kern w:val="0"/>
          <w:sz w:val="32"/>
          <w:szCs w:val="32"/>
          <w:highlight w:val="none"/>
          <w:lang w:val="en-US" w:eastAsia="zh-CN"/>
        </w:rPr>
        <w:t>本办法施行期间</w:t>
      </w:r>
      <w:r>
        <w:rPr>
          <w:rFonts w:hint="eastAsia" w:ascii="仿宋_GB2312" w:eastAsia="仿宋_GB2312" w:cs="仿宋_GB2312"/>
          <w:color w:val="auto"/>
          <w:kern w:val="0"/>
          <w:sz w:val="32"/>
          <w:szCs w:val="32"/>
          <w:highlight w:val="none"/>
        </w:rPr>
        <w:t>获批深圳市工程技术研究中心项目或深圳市工程研究中心项目的企业或单位，按所获深圳市级资助的百分之五十给予资助，对同一企业或单位每年资助不超过五百万元。市级主管部门对项目有验收要求的，在项目通过验收后予以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（二）对</w:t>
      </w:r>
      <w:r>
        <w:rPr>
          <w:rFonts w:hint="eastAsia" w:ascii="仿宋_GB2312" w:eastAsia="仿宋_GB2312" w:cs="仿宋_GB2312"/>
          <w:color w:val="auto"/>
          <w:kern w:val="0"/>
          <w:sz w:val="32"/>
          <w:szCs w:val="32"/>
          <w:highlight w:val="none"/>
          <w:lang w:eastAsia="zh-CN"/>
        </w:rPr>
        <w:t>本办法施行期间</w:t>
      </w:r>
      <w:r>
        <w:rPr>
          <w:rFonts w:hint="eastAsia" w:ascii="仿宋_GB2312" w:eastAsia="仿宋_GB2312" w:cs="仿宋_GB2312"/>
          <w:color w:val="auto"/>
          <w:kern w:val="0"/>
          <w:sz w:val="32"/>
          <w:szCs w:val="32"/>
          <w:highlight w:val="none"/>
        </w:rPr>
        <w:t>获得深圳市科技创新委配套资助国家级技术创新中心项目的企业或单位，按所获市科技创新委实际资助金额的百分之五十给予配套资助，对同一企业或单位每年资助不超过一千五百万元。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十一</w:t>
      </w:r>
      <w:r>
        <w:rPr>
          <w:rFonts w:hint="eastAsia" w:ascii="黑体" w:hAnsi="宋体" w:eastAsia="黑体" w:cs="黑体"/>
          <w:color w:val="auto"/>
          <w:kern w:val="0"/>
          <w:sz w:val="32"/>
          <w:szCs w:val="32"/>
          <w:highlight w:val="none"/>
        </w:rPr>
        <w:t>条</w:t>
      </w:r>
      <w:r>
        <w:rPr>
          <w:rFonts w:hint="eastAsia" w:ascii="仿宋_GB2312" w:eastAsia="仿宋_GB2312" w:cs="仿宋_GB2312"/>
          <w:color w:val="auto"/>
          <w:kern w:val="0"/>
          <w:sz w:val="32"/>
          <w:szCs w:val="32"/>
          <w:highlight w:val="none"/>
        </w:rPr>
        <w:t xml:space="preserve"> 工业技术改造资助。对上一年度工业技术改造投资总额超五百万元的完工项目，按照实际完成技术改造投资额的百分之十给予资助，其中智能化制造部分可以叠加享受资助，按照智能化部分实际投资额的百分之十给予资助。单个项目</w:t>
      </w:r>
      <w:r>
        <w:rPr>
          <w:rFonts w:hint="eastAsia" w:ascii="仿宋_GB2312" w:eastAsia="仿宋_GB2312" w:cs="仿宋_GB2312"/>
          <w:color w:val="auto"/>
          <w:kern w:val="0"/>
          <w:sz w:val="32"/>
          <w:szCs w:val="32"/>
          <w:highlight w:val="none"/>
          <w:lang w:eastAsia="zh-CN"/>
        </w:rPr>
        <w:t>资助</w:t>
      </w:r>
      <w:r>
        <w:rPr>
          <w:rFonts w:hint="eastAsia" w:ascii="仿宋_GB2312" w:eastAsia="仿宋_GB2312" w:cs="仿宋_GB2312"/>
          <w:color w:val="auto"/>
          <w:kern w:val="0"/>
          <w:sz w:val="32"/>
          <w:szCs w:val="32"/>
          <w:highlight w:val="none"/>
        </w:rPr>
        <w:t>不超过三百万元，对同一企业每年资助不超过五百万元。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第十</w:t>
      </w:r>
      <w:r>
        <w:rPr>
          <w:rFonts w:hint="eastAsia" w:ascii="黑体" w:hAnsi="宋体" w:eastAsia="黑体" w:cs="黑体"/>
          <w:color w:val="auto"/>
          <w:kern w:val="0"/>
          <w:sz w:val="32"/>
          <w:szCs w:val="32"/>
          <w:highlight w:val="none"/>
          <w:lang w:eastAsia="zh-CN"/>
        </w:rPr>
        <w:t>二</w:t>
      </w:r>
      <w:r>
        <w:rPr>
          <w:rFonts w:hint="eastAsia" w:ascii="黑体" w:hAnsi="宋体" w:eastAsia="黑体" w:cs="黑体"/>
          <w:color w:val="auto"/>
          <w:kern w:val="0"/>
          <w:sz w:val="32"/>
          <w:szCs w:val="32"/>
          <w:highlight w:val="none"/>
        </w:rPr>
        <w:t xml:space="preserve">条 </w:t>
      </w:r>
      <w:r>
        <w:rPr>
          <w:rFonts w:hint="eastAsia" w:ascii="仿宋_GB2312" w:eastAsia="仿宋_GB2312" w:cs="仿宋_GB2312"/>
          <w:color w:val="auto"/>
          <w:kern w:val="0"/>
          <w:sz w:val="32"/>
          <w:szCs w:val="32"/>
          <w:highlight w:val="none"/>
        </w:rPr>
        <w:t>专精特新发展</w:t>
      </w:r>
      <w:r>
        <w:rPr>
          <w:rFonts w:hint="eastAsia" w:ascii="仿宋_GB2312" w:eastAsia="仿宋_GB2312" w:cs="仿宋_GB2312"/>
          <w:color w:val="auto"/>
          <w:kern w:val="0"/>
          <w:sz w:val="32"/>
          <w:szCs w:val="32"/>
          <w:highlight w:val="none"/>
          <w:lang w:eastAsia="zh-CN"/>
        </w:rPr>
        <w:t>和制造业创新发展扶持</w:t>
      </w:r>
      <w:r>
        <w:rPr>
          <w:rFonts w:hint="eastAsia" w:ascii="仿宋_GB2312"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lang w:eastAsia="zh-CN"/>
        </w:rPr>
        <w:t>（一）</w:t>
      </w:r>
      <w:r>
        <w:rPr>
          <w:rFonts w:hint="eastAsia" w:ascii="仿宋_GB2312" w:eastAsia="仿宋_GB2312" w:cs="仿宋_GB2312"/>
          <w:color w:val="auto"/>
          <w:kern w:val="0"/>
          <w:sz w:val="32"/>
          <w:szCs w:val="32"/>
          <w:highlight w:val="none"/>
        </w:rPr>
        <w:t>对入选国家专精特新“小巨人”企业、深圳市专精特新中小企业的，分别给予</w:t>
      </w:r>
      <w:r>
        <w:rPr>
          <w:rFonts w:hint="eastAsia" w:ascii="仿宋_GB2312" w:eastAsia="仿宋_GB2312" w:cs="仿宋_GB2312"/>
          <w:color w:val="auto"/>
          <w:kern w:val="0"/>
          <w:sz w:val="32"/>
          <w:szCs w:val="32"/>
          <w:highlight w:val="none"/>
          <w:lang w:eastAsia="zh-CN"/>
        </w:rPr>
        <w:t>五十</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十</w:t>
      </w:r>
      <w:r>
        <w:rPr>
          <w:rFonts w:hint="eastAsia" w:ascii="仿宋_GB2312" w:eastAsia="仿宋_GB2312" w:cs="仿宋_GB2312"/>
          <w:color w:val="auto"/>
          <w:kern w:val="0"/>
          <w:sz w:val="32"/>
          <w:szCs w:val="32"/>
          <w:highlight w:val="none"/>
        </w:rPr>
        <w:t>万元奖励</w:t>
      </w:r>
      <w:r>
        <w:rPr>
          <w:rFonts w:hint="eastAsia" w:asci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lang w:eastAsia="zh-CN"/>
        </w:rPr>
        <w:t>（二）对上一年度获得工业设计项目、工业强基项目、工业互联网项目、企业技术中心项目、制造业创新中心项目、“三首”工程项目、“单项冠军”称号、时尚产业关键技术与核心零部件攻关项目、时尚产业竞争力提升应用创新项目深圳市级资助的，按所获深圳市级资助的百分之五十给予资助。对同一企业或单位每年资助不超过五百万元。市级主管部门对项目有验收要求的，在项目通过验收后予以资助。同一项目不与第十一条同时享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eastAsia="仿宋_GB2312" w:cs="仿宋_GB2312"/>
          <w:color w:val="auto"/>
          <w:kern w:val="0"/>
          <w:sz w:val="32"/>
          <w:szCs w:val="32"/>
          <w:highlight w:val="none"/>
        </w:rPr>
      </w:pPr>
    </w:p>
    <w:p>
      <w:pPr>
        <w:keepNext w:val="0"/>
        <w:keepLines w:val="0"/>
        <w:pageBreakBefore w:val="0"/>
        <w:widowControl w:val="0"/>
        <w:numPr>
          <w:ilvl w:val="255"/>
          <w:numId w:val="0"/>
        </w:numPr>
        <w:kinsoku/>
        <w:wordWrap/>
        <w:overflowPunct w:val="0"/>
        <w:topLinePunct w:val="0"/>
        <w:autoSpaceDE w:val="0"/>
        <w:autoSpaceDN w:val="0"/>
        <w:bidi w:val="0"/>
        <w:adjustRightInd w:val="0"/>
        <w:snapToGrid w:val="0"/>
        <w:spacing w:after="313" w:afterLines="100" w:line="560" w:lineRule="exact"/>
        <w:jc w:val="center"/>
        <w:textAlignment w:val="auto"/>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第四章 推动金融服务实体经济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第十</w:t>
      </w:r>
      <w:r>
        <w:rPr>
          <w:rFonts w:hint="eastAsia" w:ascii="黑体" w:hAnsi="宋体" w:eastAsia="黑体" w:cs="黑体"/>
          <w:color w:val="auto"/>
          <w:kern w:val="0"/>
          <w:sz w:val="32"/>
          <w:szCs w:val="32"/>
          <w:highlight w:val="none"/>
          <w:lang w:eastAsia="zh-CN"/>
        </w:rPr>
        <w:t>三</w:t>
      </w:r>
      <w:r>
        <w:rPr>
          <w:rFonts w:hint="eastAsia" w:ascii="黑体" w:hAnsi="宋体" w:eastAsia="黑体" w:cs="黑体"/>
          <w:color w:val="auto"/>
          <w:kern w:val="0"/>
          <w:sz w:val="32"/>
          <w:szCs w:val="32"/>
          <w:highlight w:val="none"/>
        </w:rPr>
        <w:t xml:space="preserve">条 </w:t>
      </w:r>
      <w:r>
        <w:rPr>
          <w:rFonts w:hint="eastAsia" w:ascii="仿宋_GB2312" w:eastAsia="仿宋_GB2312" w:cs="仿宋_GB2312"/>
          <w:color w:val="auto"/>
          <w:kern w:val="0"/>
          <w:sz w:val="32"/>
          <w:szCs w:val="32"/>
          <w:highlight w:val="none"/>
        </w:rPr>
        <w:t>金融机构发展扶持。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lang w:val="en-US" w:eastAsia="zh-CN"/>
        </w:rPr>
      </w:pPr>
      <w:r>
        <w:rPr>
          <w:rFonts w:hint="eastAsia" w:ascii="仿宋_GB2312" w:eastAsia="仿宋_GB2312" w:cs="仿宋_GB2312"/>
          <w:color w:val="auto"/>
          <w:kern w:val="0"/>
          <w:sz w:val="32"/>
          <w:szCs w:val="32"/>
          <w:highlight w:val="none"/>
        </w:rPr>
        <w:t>（一）金融企业奖励。对新在盐田区实际从事经营活动的</w:t>
      </w:r>
      <w:r>
        <w:rPr>
          <w:rFonts w:hint="eastAsia" w:ascii="仿宋_GB2312" w:eastAsia="仿宋_GB2312" w:cs="仿宋_GB2312"/>
          <w:color w:val="auto"/>
          <w:kern w:val="0"/>
          <w:sz w:val="32"/>
          <w:szCs w:val="32"/>
          <w:highlight w:val="none"/>
          <w:lang w:eastAsia="zh-CN"/>
        </w:rPr>
        <w:t>金融企业</w:t>
      </w:r>
      <w:r>
        <w:rPr>
          <w:rFonts w:hint="eastAsia" w:ascii="仿宋_GB2312" w:eastAsia="仿宋_GB2312" w:cs="仿宋_GB2312"/>
          <w:color w:val="auto"/>
          <w:kern w:val="0"/>
          <w:sz w:val="32"/>
          <w:szCs w:val="32"/>
          <w:highlight w:val="none"/>
        </w:rPr>
        <w:t>给予一次性奖励。金融企业总部奖励</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金融企业总部</w:t>
      </w:r>
      <w:r>
        <w:rPr>
          <w:rFonts w:hint="eastAsia" w:ascii="仿宋_GB2312" w:eastAsia="仿宋_GB2312" w:cs="仿宋_GB2312"/>
          <w:color w:val="auto"/>
          <w:kern w:val="0"/>
          <w:sz w:val="32"/>
          <w:szCs w:val="32"/>
          <w:highlight w:val="none"/>
          <w:lang w:val="en-US" w:eastAsia="zh-CN"/>
        </w:rPr>
        <w:t>实缴注册资本</w:t>
      </w:r>
      <w:r>
        <w:rPr>
          <w:rFonts w:hint="eastAsia" w:ascii="仿宋_GB2312" w:eastAsia="仿宋_GB2312" w:cs="仿宋_GB2312"/>
          <w:color w:val="auto"/>
          <w:kern w:val="0"/>
          <w:sz w:val="32"/>
          <w:szCs w:val="32"/>
          <w:highlight w:val="none"/>
        </w:rPr>
        <w:t>在二亿元以下的，给予五百万元一次性</w:t>
      </w:r>
      <w:r>
        <w:rPr>
          <w:rFonts w:hint="eastAsia" w:ascii="仿宋_GB2312" w:eastAsia="仿宋_GB2312" w:cs="仿宋_GB2312"/>
          <w:color w:val="auto"/>
          <w:kern w:val="0"/>
          <w:sz w:val="32"/>
          <w:szCs w:val="32"/>
          <w:highlight w:val="none"/>
          <w:lang w:val="en-US" w:eastAsia="zh-CN"/>
        </w:rPr>
        <w:t>奖励；实缴注册资本在五亿元以下的，给予八百万元一次性奖励；实缴注册资本在十亿元以下的，给予一千万元一次性奖励。</w:t>
      </w:r>
      <w:r>
        <w:rPr>
          <w:rFonts w:hint="eastAsia" w:ascii="仿宋_GB2312" w:eastAsia="仿宋_GB2312" w:cs="仿宋_GB2312"/>
          <w:color w:val="auto"/>
          <w:kern w:val="0"/>
          <w:sz w:val="32"/>
          <w:szCs w:val="32"/>
          <w:highlight w:val="none"/>
        </w:rPr>
        <w:t>金融控股公司奖励</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给予金融控股公司一千万元一次性奖励。金融企业总部</w:t>
      </w:r>
      <w:r>
        <w:rPr>
          <w:rFonts w:hint="eastAsia" w:ascii="仿宋_GB2312" w:eastAsia="仿宋_GB2312" w:cs="仿宋_GB2312"/>
          <w:color w:val="auto"/>
          <w:kern w:val="0"/>
          <w:sz w:val="32"/>
          <w:szCs w:val="32"/>
          <w:highlight w:val="none"/>
          <w:lang w:val="en-US" w:eastAsia="zh-CN"/>
        </w:rPr>
        <w:t>一级分支机构</w:t>
      </w:r>
      <w:r>
        <w:rPr>
          <w:rFonts w:hint="eastAsia" w:ascii="仿宋_GB2312" w:eastAsia="仿宋_GB2312" w:cs="仿宋_GB2312"/>
          <w:color w:val="auto"/>
          <w:kern w:val="0"/>
          <w:sz w:val="32"/>
          <w:szCs w:val="32"/>
          <w:highlight w:val="none"/>
        </w:rPr>
        <w:t>奖励</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lang w:val="en-US" w:eastAsia="zh-CN"/>
        </w:rPr>
        <w:t>国有银行、政策性银行及全国性股份制商业银行的一级分支机构，给予一千万元一次性</w:t>
      </w:r>
      <w:r>
        <w:rPr>
          <w:rFonts w:hint="default" w:ascii="仿宋_GB2312" w:eastAsia="仿宋_GB2312" w:cs="仿宋_GB2312"/>
          <w:color w:val="auto"/>
          <w:kern w:val="0"/>
          <w:sz w:val="32"/>
          <w:szCs w:val="32"/>
          <w:highlight w:val="none"/>
          <w:lang w:val="en-US" w:eastAsia="zh-CN"/>
        </w:rPr>
        <w:t>奖励</w:t>
      </w:r>
      <w:r>
        <w:rPr>
          <w:rFonts w:hint="eastAsia" w:ascii="仿宋_GB2312" w:eastAsia="仿宋_GB2312" w:cs="仿宋_GB2312"/>
          <w:color w:val="auto"/>
          <w:kern w:val="0"/>
          <w:sz w:val="32"/>
          <w:szCs w:val="32"/>
          <w:highlight w:val="none"/>
          <w:lang w:val="en-US" w:eastAsia="zh-CN"/>
        </w:rPr>
        <w:t>；</w:t>
      </w:r>
      <w:r>
        <w:rPr>
          <w:rFonts w:hint="default" w:ascii="仿宋_GB2312" w:eastAsia="仿宋_GB2312" w:cs="仿宋_GB2312"/>
          <w:color w:val="auto"/>
          <w:kern w:val="0"/>
          <w:sz w:val="32"/>
          <w:szCs w:val="32"/>
          <w:highlight w:val="none"/>
          <w:lang w:val="en-US" w:eastAsia="zh-CN"/>
        </w:rPr>
        <w:t>城市商业银行、外资银行等的</w:t>
      </w:r>
      <w:r>
        <w:rPr>
          <w:rFonts w:hint="eastAsia" w:ascii="仿宋_GB2312" w:eastAsia="仿宋_GB2312" w:cs="仿宋_GB2312"/>
          <w:color w:val="auto"/>
          <w:kern w:val="0"/>
          <w:sz w:val="32"/>
          <w:szCs w:val="32"/>
          <w:highlight w:val="none"/>
          <w:lang w:val="en-US" w:eastAsia="zh-CN"/>
        </w:rPr>
        <w:t>一级分支机构，</w:t>
      </w:r>
      <w:r>
        <w:rPr>
          <w:rFonts w:hint="default" w:ascii="仿宋_GB2312" w:eastAsia="仿宋_GB2312" w:cs="仿宋_GB2312"/>
          <w:color w:val="auto"/>
          <w:kern w:val="0"/>
          <w:sz w:val="32"/>
          <w:szCs w:val="32"/>
          <w:highlight w:val="none"/>
          <w:lang w:val="en-US" w:eastAsia="zh-CN"/>
        </w:rPr>
        <w:t>给予</w:t>
      </w:r>
      <w:r>
        <w:rPr>
          <w:rFonts w:hint="eastAsia" w:ascii="仿宋_GB2312" w:eastAsia="仿宋_GB2312" w:cs="仿宋_GB2312"/>
          <w:color w:val="auto"/>
          <w:kern w:val="0"/>
          <w:sz w:val="32"/>
          <w:szCs w:val="32"/>
          <w:highlight w:val="none"/>
          <w:lang w:val="en-US" w:eastAsia="zh-CN"/>
        </w:rPr>
        <w:t>八百</w:t>
      </w:r>
      <w:r>
        <w:rPr>
          <w:rFonts w:hint="default" w:ascii="仿宋_GB2312" w:eastAsia="仿宋_GB2312" w:cs="仿宋_GB2312"/>
          <w:color w:val="auto"/>
          <w:kern w:val="0"/>
          <w:sz w:val="32"/>
          <w:szCs w:val="32"/>
          <w:highlight w:val="none"/>
          <w:lang w:val="en-US" w:eastAsia="zh-CN"/>
        </w:rPr>
        <w:t>万元</w:t>
      </w:r>
      <w:r>
        <w:rPr>
          <w:rFonts w:hint="eastAsia" w:ascii="仿宋_GB2312" w:eastAsia="仿宋_GB2312" w:cs="仿宋_GB2312"/>
          <w:color w:val="auto"/>
          <w:kern w:val="0"/>
          <w:sz w:val="32"/>
          <w:szCs w:val="32"/>
          <w:highlight w:val="none"/>
          <w:lang w:val="en-US" w:eastAsia="zh-CN"/>
        </w:rPr>
        <w:t>一次性</w:t>
      </w:r>
      <w:r>
        <w:rPr>
          <w:rFonts w:hint="default" w:ascii="仿宋_GB2312" w:eastAsia="仿宋_GB2312" w:cs="仿宋_GB2312"/>
          <w:color w:val="auto"/>
          <w:kern w:val="0"/>
          <w:sz w:val="32"/>
          <w:szCs w:val="32"/>
          <w:highlight w:val="none"/>
          <w:lang w:val="en-US" w:eastAsia="zh-CN"/>
        </w:rPr>
        <w:t>奖励；证券公司、保险公司的一级分支机构，给予</w:t>
      </w:r>
      <w:r>
        <w:rPr>
          <w:rFonts w:hint="eastAsia" w:ascii="仿宋_GB2312" w:eastAsia="仿宋_GB2312" w:cs="仿宋_GB2312"/>
          <w:color w:val="auto"/>
          <w:kern w:val="0"/>
          <w:sz w:val="32"/>
          <w:szCs w:val="32"/>
          <w:highlight w:val="none"/>
          <w:lang w:val="en-US" w:eastAsia="zh-CN"/>
        </w:rPr>
        <w:t>四百</w:t>
      </w:r>
      <w:r>
        <w:rPr>
          <w:rFonts w:hint="default" w:ascii="仿宋_GB2312" w:eastAsia="仿宋_GB2312" w:cs="仿宋_GB2312"/>
          <w:color w:val="auto"/>
          <w:kern w:val="0"/>
          <w:sz w:val="32"/>
          <w:szCs w:val="32"/>
          <w:highlight w:val="none"/>
          <w:lang w:val="en-US" w:eastAsia="zh-CN"/>
        </w:rPr>
        <w:t>万元</w:t>
      </w:r>
      <w:r>
        <w:rPr>
          <w:rFonts w:hint="eastAsia" w:ascii="仿宋_GB2312" w:eastAsia="仿宋_GB2312" w:cs="仿宋_GB2312"/>
          <w:color w:val="auto"/>
          <w:kern w:val="0"/>
          <w:sz w:val="32"/>
          <w:szCs w:val="32"/>
          <w:highlight w:val="none"/>
          <w:lang w:val="en-US" w:eastAsia="zh-CN"/>
        </w:rPr>
        <w:t>一次性</w:t>
      </w:r>
      <w:r>
        <w:rPr>
          <w:rFonts w:hint="default" w:ascii="仿宋_GB2312" w:eastAsia="仿宋_GB2312" w:cs="仿宋_GB2312"/>
          <w:color w:val="auto"/>
          <w:kern w:val="0"/>
          <w:sz w:val="32"/>
          <w:szCs w:val="32"/>
          <w:highlight w:val="none"/>
          <w:lang w:val="en-US" w:eastAsia="zh-CN"/>
        </w:rPr>
        <w:t>奖励；其他金融机构的一级分支机构，给予</w:t>
      </w:r>
      <w:r>
        <w:rPr>
          <w:rFonts w:hint="eastAsia" w:ascii="仿宋_GB2312" w:eastAsia="仿宋_GB2312" w:cs="仿宋_GB2312"/>
          <w:color w:val="auto"/>
          <w:kern w:val="0"/>
          <w:sz w:val="32"/>
          <w:szCs w:val="32"/>
          <w:highlight w:val="none"/>
          <w:lang w:val="en-US" w:eastAsia="zh-CN"/>
        </w:rPr>
        <w:t>二百</w:t>
      </w:r>
      <w:r>
        <w:rPr>
          <w:rFonts w:hint="default" w:ascii="仿宋_GB2312" w:eastAsia="仿宋_GB2312" w:cs="仿宋_GB2312"/>
          <w:color w:val="auto"/>
          <w:kern w:val="0"/>
          <w:sz w:val="32"/>
          <w:szCs w:val="32"/>
          <w:highlight w:val="none"/>
          <w:lang w:val="en-US" w:eastAsia="zh-CN"/>
        </w:rPr>
        <w:t>万元</w:t>
      </w:r>
      <w:r>
        <w:rPr>
          <w:rFonts w:hint="eastAsia" w:ascii="仿宋_GB2312" w:eastAsia="仿宋_GB2312" w:cs="仿宋_GB2312"/>
          <w:color w:val="auto"/>
          <w:kern w:val="0"/>
          <w:sz w:val="32"/>
          <w:szCs w:val="32"/>
          <w:highlight w:val="none"/>
          <w:lang w:val="en-US" w:eastAsia="zh-CN"/>
        </w:rPr>
        <w:t>一次性</w:t>
      </w:r>
      <w:r>
        <w:rPr>
          <w:rFonts w:hint="default" w:ascii="仿宋_GB2312" w:eastAsia="仿宋_GB2312" w:cs="仿宋_GB2312"/>
          <w:color w:val="auto"/>
          <w:kern w:val="0"/>
          <w:sz w:val="32"/>
          <w:szCs w:val="32"/>
          <w:highlight w:val="none"/>
          <w:lang w:val="en-US" w:eastAsia="zh-CN"/>
        </w:rPr>
        <w:t>奖励。</w:t>
      </w:r>
      <w:r>
        <w:rPr>
          <w:rFonts w:hint="eastAsia" w:ascii="仿宋_GB2312" w:eastAsia="仿宋_GB2312" w:cs="仿宋_GB2312"/>
          <w:color w:val="auto"/>
          <w:kern w:val="0"/>
          <w:sz w:val="32"/>
          <w:szCs w:val="32"/>
          <w:highlight w:val="none"/>
          <w:lang w:val="en-US" w:eastAsia="zh-CN"/>
        </w:rPr>
        <w:t>持牌专营机构奖励，国有银行、政策性银行及全国性股份制商业银行的专营机构，给予一千</w:t>
      </w:r>
      <w:r>
        <w:rPr>
          <w:rFonts w:hint="default" w:ascii="仿宋_GB2312" w:eastAsia="仿宋_GB2312" w:cs="仿宋_GB2312"/>
          <w:color w:val="auto"/>
          <w:kern w:val="0"/>
          <w:sz w:val="32"/>
          <w:szCs w:val="32"/>
          <w:highlight w:val="none"/>
          <w:lang w:val="en-US" w:eastAsia="zh-CN"/>
        </w:rPr>
        <w:t>万元</w:t>
      </w:r>
      <w:r>
        <w:rPr>
          <w:rFonts w:hint="eastAsia" w:ascii="仿宋_GB2312" w:eastAsia="仿宋_GB2312" w:cs="仿宋_GB2312"/>
          <w:color w:val="auto"/>
          <w:kern w:val="0"/>
          <w:sz w:val="32"/>
          <w:szCs w:val="32"/>
          <w:highlight w:val="none"/>
          <w:lang w:val="en-US" w:eastAsia="zh-CN"/>
        </w:rPr>
        <w:t>一次性</w:t>
      </w:r>
      <w:r>
        <w:rPr>
          <w:rFonts w:hint="default" w:ascii="仿宋_GB2312" w:eastAsia="仿宋_GB2312" w:cs="仿宋_GB2312"/>
          <w:color w:val="auto"/>
          <w:kern w:val="0"/>
          <w:sz w:val="32"/>
          <w:szCs w:val="32"/>
          <w:highlight w:val="none"/>
          <w:lang w:val="en-US" w:eastAsia="zh-CN"/>
        </w:rPr>
        <w:t>奖励；城市商业银行、外资银行等的</w:t>
      </w:r>
      <w:r>
        <w:rPr>
          <w:rFonts w:hint="eastAsia" w:ascii="仿宋_GB2312" w:eastAsia="仿宋_GB2312" w:cs="仿宋_GB2312"/>
          <w:color w:val="auto"/>
          <w:kern w:val="0"/>
          <w:sz w:val="32"/>
          <w:szCs w:val="32"/>
          <w:highlight w:val="none"/>
          <w:lang w:val="en-US" w:eastAsia="zh-CN"/>
        </w:rPr>
        <w:t>专营机构，给予八百</w:t>
      </w:r>
      <w:r>
        <w:rPr>
          <w:rFonts w:hint="default" w:ascii="仿宋_GB2312" w:eastAsia="仿宋_GB2312" w:cs="仿宋_GB2312"/>
          <w:color w:val="auto"/>
          <w:kern w:val="0"/>
          <w:sz w:val="32"/>
          <w:szCs w:val="32"/>
          <w:highlight w:val="none"/>
          <w:lang w:val="en-US" w:eastAsia="zh-CN"/>
        </w:rPr>
        <w:t>万元</w:t>
      </w:r>
      <w:r>
        <w:rPr>
          <w:rFonts w:hint="eastAsia" w:ascii="仿宋_GB2312" w:eastAsia="仿宋_GB2312" w:cs="仿宋_GB2312"/>
          <w:color w:val="auto"/>
          <w:kern w:val="0"/>
          <w:sz w:val="32"/>
          <w:szCs w:val="32"/>
          <w:highlight w:val="none"/>
          <w:lang w:val="en-US" w:eastAsia="zh-CN"/>
        </w:rPr>
        <w:t>一次性</w:t>
      </w:r>
      <w:r>
        <w:rPr>
          <w:rFonts w:hint="default" w:ascii="仿宋_GB2312" w:eastAsia="仿宋_GB2312" w:cs="仿宋_GB2312"/>
          <w:color w:val="auto"/>
          <w:kern w:val="0"/>
          <w:sz w:val="32"/>
          <w:szCs w:val="32"/>
          <w:highlight w:val="none"/>
          <w:lang w:val="en-US" w:eastAsia="zh-CN"/>
        </w:rPr>
        <w:t>落户奖励</w:t>
      </w:r>
      <w:r>
        <w:rPr>
          <w:rFonts w:hint="eastAsia" w:ascii="仿宋_GB2312" w:eastAsia="仿宋_GB2312" w:cs="仿宋_GB2312"/>
          <w:color w:val="auto"/>
          <w:kern w:val="0"/>
          <w:sz w:val="32"/>
          <w:szCs w:val="32"/>
          <w:highlight w:val="none"/>
          <w:lang w:val="en-US" w:eastAsia="zh-CN"/>
        </w:rPr>
        <w:t>。专业子公司奖励，金融机构总部的专业子公司，根据其实缴注册资本，按照金融机构总部标准进行奖励；</w:t>
      </w:r>
      <w:r>
        <w:rPr>
          <w:rFonts w:hint="eastAsia" w:ascii="仿宋_GB2312" w:eastAsia="仿宋_GB2312" w:cs="仿宋_GB2312"/>
          <w:color w:val="auto"/>
          <w:kern w:val="0"/>
          <w:sz w:val="32"/>
          <w:szCs w:val="32"/>
          <w:highlight w:val="none"/>
        </w:rPr>
        <w:t>金融租赁公司</w:t>
      </w:r>
      <w:r>
        <w:rPr>
          <w:rFonts w:hint="eastAsia" w:ascii="仿宋_GB2312" w:eastAsia="仿宋_GB2312" w:cs="仿宋_GB2312"/>
          <w:color w:val="auto"/>
          <w:kern w:val="0"/>
          <w:sz w:val="32"/>
          <w:szCs w:val="32"/>
          <w:highlight w:val="none"/>
          <w:lang w:eastAsia="zh-CN"/>
        </w:rPr>
        <w:t>的</w:t>
      </w:r>
      <w:r>
        <w:rPr>
          <w:rFonts w:hint="eastAsia" w:ascii="仿宋_GB2312" w:eastAsia="仿宋_GB2312" w:cs="仿宋_GB2312"/>
          <w:color w:val="auto"/>
          <w:kern w:val="0"/>
          <w:sz w:val="32"/>
          <w:szCs w:val="32"/>
          <w:highlight w:val="none"/>
        </w:rPr>
        <w:t>专业子公司，</w:t>
      </w:r>
      <w:r>
        <w:rPr>
          <w:rFonts w:hint="eastAsia" w:ascii="仿宋_GB2312" w:eastAsia="仿宋_GB2312" w:cs="仿宋_GB2312"/>
          <w:color w:val="auto"/>
          <w:kern w:val="0"/>
          <w:sz w:val="32"/>
          <w:szCs w:val="32"/>
          <w:highlight w:val="none"/>
          <w:lang w:val="en-US" w:eastAsia="zh-CN"/>
        </w:rPr>
        <w:t>实缴注册资本</w:t>
      </w:r>
      <w:r>
        <w:rPr>
          <w:rFonts w:hint="eastAsia" w:ascii="仿宋_GB2312" w:eastAsia="仿宋_GB2312" w:cs="仿宋_GB2312"/>
          <w:color w:val="auto"/>
          <w:kern w:val="0"/>
          <w:sz w:val="32"/>
          <w:szCs w:val="32"/>
          <w:highlight w:val="none"/>
        </w:rPr>
        <w:t>在一亿元以上的，给予三百万元一次性奖励，</w:t>
      </w:r>
      <w:r>
        <w:rPr>
          <w:rFonts w:hint="eastAsia" w:ascii="仿宋_GB2312" w:eastAsia="仿宋_GB2312" w:cs="仿宋_GB2312"/>
          <w:color w:val="auto"/>
          <w:kern w:val="0"/>
          <w:sz w:val="32"/>
          <w:szCs w:val="32"/>
          <w:highlight w:val="none"/>
          <w:lang w:val="en-US" w:eastAsia="zh-CN"/>
        </w:rPr>
        <w:t>实缴注册资本</w:t>
      </w:r>
      <w:r>
        <w:rPr>
          <w:rFonts w:hint="eastAsia" w:ascii="仿宋_GB2312" w:eastAsia="仿宋_GB2312" w:cs="仿宋_GB2312"/>
          <w:color w:val="auto"/>
          <w:kern w:val="0"/>
          <w:sz w:val="32"/>
          <w:szCs w:val="32"/>
          <w:highlight w:val="none"/>
        </w:rPr>
        <w:t>在三亿元以上的，给予五百万元一次性奖励；证券公司自营业务、经纪业务、承销保荐、另类投资等专业子公司，</w:t>
      </w:r>
      <w:r>
        <w:rPr>
          <w:rFonts w:hint="eastAsia" w:ascii="仿宋_GB2312" w:eastAsia="仿宋_GB2312" w:cs="仿宋_GB2312"/>
          <w:color w:val="auto"/>
          <w:kern w:val="0"/>
          <w:sz w:val="32"/>
          <w:szCs w:val="32"/>
          <w:highlight w:val="none"/>
          <w:lang w:val="en-US" w:eastAsia="zh-CN"/>
        </w:rPr>
        <w:t>实缴注册资本</w:t>
      </w:r>
      <w:r>
        <w:rPr>
          <w:rFonts w:hint="eastAsia" w:ascii="仿宋_GB2312" w:eastAsia="仿宋_GB2312" w:cs="仿宋_GB2312"/>
          <w:color w:val="auto"/>
          <w:kern w:val="0"/>
          <w:sz w:val="32"/>
          <w:szCs w:val="32"/>
          <w:highlight w:val="none"/>
        </w:rPr>
        <w:t>在二亿元以下的，给予二百万元一次性奖励，</w:t>
      </w:r>
      <w:r>
        <w:rPr>
          <w:rFonts w:hint="eastAsia" w:ascii="仿宋_GB2312" w:eastAsia="仿宋_GB2312" w:cs="仿宋_GB2312"/>
          <w:color w:val="auto"/>
          <w:kern w:val="0"/>
          <w:sz w:val="32"/>
          <w:szCs w:val="32"/>
          <w:highlight w:val="none"/>
          <w:lang w:val="en-US" w:eastAsia="zh-CN"/>
        </w:rPr>
        <w:t>实缴注册资本</w:t>
      </w:r>
      <w:r>
        <w:rPr>
          <w:rFonts w:hint="eastAsia" w:ascii="仿宋_GB2312" w:eastAsia="仿宋_GB2312" w:cs="仿宋_GB2312"/>
          <w:color w:val="auto"/>
          <w:kern w:val="0"/>
          <w:sz w:val="32"/>
          <w:szCs w:val="32"/>
          <w:highlight w:val="none"/>
        </w:rPr>
        <w:t>在二亿元以上的，给予五百万元一次性奖励；基金管理公司特定客户资产管理、独立销售等专业子公司以及独立基金销售机构，</w:t>
      </w:r>
      <w:r>
        <w:rPr>
          <w:rFonts w:hint="eastAsia" w:ascii="仿宋_GB2312" w:eastAsia="仿宋_GB2312" w:cs="仿宋_GB2312"/>
          <w:color w:val="auto"/>
          <w:kern w:val="0"/>
          <w:sz w:val="32"/>
          <w:szCs w:val="32"/>
          <w:highlight w:val="none"/>
          <w:lang w:val="en-US" w:eastAsia="zh-CN"/>
        </w:rPr>
        <w:t>实缴注册资本</w:t>
      </w:r>
      <w:r>
        <w:rPr>
          <w:rFonts w:hint="eastAsia" w:ascii="仿宋_GB2312" w:eastAsia="仿宋_GB2312" w:cs="仿宋_GB2312"/>
          <w:color w:val="auto"/>
          <w:kern w:val="0"/>
          <w:sz w:val="32"/>
          <w:szCs w:val="32"/>
          <w:highlight w:val="none"/>
        </w:rPr>
        <w:t>在三千万元以上的，给予二百万元一次性奖励，</w:t>
      </w:r>
      <w:r>
        <w:rPr>
          <w:rFonts w:hint="eastAsia" w:ascii="仿宋_GB2312" w:eastAsia="仿宋_GB2312" w:cs="仿宋_GB2312"/>
          <w:color w:val="auto"/>
          <w:kern w:val="0"/>
          <w:sz w:val="32"/>
          <w:szCs w:val="32"/>
          <w:highlight w:val="none"/>
          <w:lang w:val="en-US" w:eastAsia="zh-CN"/>
        </w:rPr>
        <w:t>实缴注册资本</w:t>
      </w:r>
      <w:r>
        <w:rPr>
          <w:rFonts w:hint="eastAsia" w:ascii="仿宋_GB2312" w:eastAsia="仿宋_GB2312" w:cs="仿宋_GB2312"/>
          <w:color w:val="auto"/>
          <w:kern w:val="0"/>
          <w:sz w:val="32"/>
          <w:szCs w:val="32"/>
          <w:highlight w:val="none"/>
        </w:rPr>
        <w:t>在一亿元以上的，给予五百万元一次性奖励</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全国性保险经纪、保险公估、保险代理和保险销售公司（含网络销售、</w:t>
      </w:r>
      <w:r>
        <w:rPr>
          <w:rFonts w:hint="eastAsia" w:ascii="仿宋_GB2312" w:eastAsia="仿宋_GB2312" w:cs="仿宋_GB2312"/>
          <w:color w:val="auto"/>
          <w:kern w:val="0"/>
          <w:sz w:val="32"/>
          <w:szCs w:val="32"/>
          <w:highlight w:val="none"/>
          <w:lang w:val="en-US" w:eastAsia="zh-CN"/>
        </w:rPr>
        <w:t>电话销售）奖励，实缴注册资本在五千万元以上的，给予一百万元一次性奖励；实缴注册资本在一亿元以上的，给予二百万元一次性奖励；实缴注册资本在二亿元以上的，给予五百万元一次性奖励。融资租赁、商业保理、融资担保、小额贷款等地方金融组织奖励，实缴注册资本在一亿元以上的，给予三十万元一次性奖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（二）金融企业办公用房资助。</w:t>
      </w:r>
      <w:r>
        <w:rPr>
          <w:rFonts w:hint="eastAsia" w:ascii="仿宋_GB2312" w:eastAsia="仿宋_GB2312" w:cs="仿宋_GB2312"/>
          <w:color w:val="auto"/>
          <w:kern w:val="0"/>
          <w:sz w:val="32"/>
          <w:szCs w:val="32"/>
          <w:highlight w:val="none"/>
          <w:lang w:val="en-US" w:eastAsia="zh-CN"/>
        </w:rPr>
        <w:t>对金融</w:t>
      </w:r>
      <w:r>
        <w:rPr>
          <w:rFonts w:hint="eastAsia" w:ascii="仿宋_GB2312" w:eastAsia="仿宋_GB2312" w:cs="仿宋_GB2312"/>
          <w:color w:val="auto"/>
          <w:kern w:val="0"/>
          <w:sz w:val="32"/>
          <w:szCs w:val="32"/>
          <w:highlight w:val="none"/>
        </w:rPr>
        <w:t>企业</w:t>
      </w:r>
      <w:r>
        <w:rPr>
          <w:rFonts w:hint="eastAsia" w:ascii="仿宋_GB2312" w:eastAsia="仿宋_GB2312" w:cs="仿宋_GB2312"/>
          <w:color w:val="auto"/>
          <w:kern w:val="0"/>
          <w:sz w:val="32"/>
          <w:szCs w:val="32"/>
          <w:highlight w:val="none"/>
          <w:lang w:val="en-US" w:eastAsia="zh-CN"/>
        </w:rPr>
        <w:t>总部、</w:t>
      </w:r>
      <w:r>
        <w:rPr>
          <w:rFonts w:hint="eastAsia" w:ascii="仿宋_GB2312" w:eastAsia="仿宋_GB2312" w:cs="仿宋_GB2312"/>
          <w:color w:val="auto"/>
          <w:kern w:val="0"/>
          <w:sz w:val="32"/>
          <w:szCs w:val="32"/>
          <w:highlight w:val="none"/>
        </w:rPr>
        <w:t>金融控股公司</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lang w:val="en-US" w:eastAsia="zh-CN"/>
        </w:rPr>
        <w:t>金融</w:t>
      </w:r>
      <w:r>
        <w:rPr>
          <w:rFonts w:hint="eastAsia" w:ascii="仿宋_GB2312" w:eastAsia="仿宋_GB2312" w:cs="仿宋_GB2312"/>
          <w:color w:val="auto"/>
          <w:kern w:val="0"/>
          <w:sz w:val="32"/>
          <w:szCs w:val="32"/>
          <w:highlight w:val="none"/>
        </w:rPr>
        <w:t>企业</w:t>
      </w:r>
      <w:r>
        <w:rPr>
          <w:rFonts w:hint="eastAsia" w:ascii="仿宋_GB2312" w:eastAsia="仿宋_GB2312" w:cs="仿宋_GB2312"/>
          <w:color w:val="auto"/>
          <w:kern w:val="0"/>
          <w:sz w:val="32"/>
          <w:szCs w:val="32"/>
          <w:highlight w:val="none"/>
          <w:lang w:val="en-US" w:eastAsia="zh-CN"/>
        </w:rPr>
        <w:t>总部的一级分支机构、持牌专营机构和专业子公司在盐田区购置自用办公用房的，并经区政府同意给</w:t>
      </w:r>
      <w:r>
        <w:rPr>
          <w:rFonts w:hint="eastAsia" w:ascii="仿宋_GB2312" w:eastAsia="仿宋_GB2312" w:cs="仿宋_GB2312"/>
          <w:color w:val="auto"/>
          <w:kern w:val="0"/>
          <w:sz w:val="32"/>
          <w:szCs w:val="32"/>
          <w:highlight w:val="none"/>
        </w:rPr>
        <w:t>予资助的，按购房总成交价的百分之十，分三年给予累计最高五千万元的资助，每年发放比例</w:t>
      </w:r>
      <w:r>
        <w:rPr>
          <w:rFonts w:hint="eastAsia" w:ascii="仿宋_GB2312" w:eastAsia="仿宋_GB2312" w:cs="仿宋_GB2312"/>
          <w:color w:val="auto"/>
          <w:kern w:val="0"/>
          <w:sz w:val="32"/>
          <w:szCs w:val="32"/>
          <w:highlight w:val="none"/>
          <w:lang w:eastAsia="zh-CN"/>
        </w:rPr>
        <w:t>依次</w:t>
      </w:r>
      <w:r>
        <w:rPr>
          <w:rFonts w:hint="eastAsia" w:ascii="仿宋_GB2312" w:eastAsia="仿宋_GB2312" w:cs="仿宋_GB2312"/>
          <w:color w:val="auto"/>
          <w:kern w:val="0"/>
          <w:sz w:val="32"/>
          <w:szCs w:val="32"/>
          <w:highlight w:val="none"/>
        </w:rPr>
        <w:t>为百分之四十、百分之三十、百分之三十。对金融企业在盐田区租赁自用办公用房的，按房屋租金市场指导价的百分之四十给予不超过三年的租金资助，每家机构每年不超过五百万元。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黑体" w:hAnsi="宋体" w:eastAsia="黑体" w:cs="黑体"/>
          <w:color w:val="auto"/>
          <w:sz w:val="32"/>
          <w:szCs w:val="32"/>
          <w:highlight w:val="none"/>
        </w:rPr>
        <w:t>第十</w:t>
      </w:r>
      <w:r>
        <w:rPr>
          <w:rFonts w:hint="eastAsia" w:ascii="黑体" w:hAnsi="宋体" w:eastAsia="黑体" w:cs="黑体"/>
          <w:color w:val="auto"/>
          <w:sz w:val="32"/>
          <w:szCs w:val="32"/>
          <w:highlight w:val="none"/>
          <w:lang w:eastAsia="zh-CN"/>
        </w:rPr>
        <w:t>四</w:t>
      </w:r>
      <w:r>
        <w:rPr>
          <w:rFonts w:hint="eastAsia" w:ascii="黑体" w:hAnsi="宋体" w:eastAsia="黑体" w:cs="黑体"/>
          <w:color w:val="auto"/>
          <w:sz w:val="32"/>
          <w:szCs w:val="32"/>
          <w:highlight w:val="none"/>
        </w:rPr>
        <w:t xml:space="preserve">条 </w:t>
      </w:r>
      <w:r>
        <w:rPr>
          <w:rFonts w:hint="eastAsia" w:ascii="仿宋_GB2312" w:hAnsi="宋体" w:eastAsia="仿宋_GB2312" w:cs="宋体"/>
          <w:color w:val="auto"/>
          <w:sz w:val="32"/>
          <w:szCs w:val="32"/>
          <w:highlight w:val="none"/>
          <w:lang w:eastAsia="zh-CN"/>
        </w:rPr>
        <w:t>区域性股权市场“</w:t>
      </w:r>
      <w:r>
        <w:rPr>
          <w:rFonts w:hint="eastAsia" w:ascii="仿宋_GB2312" w:hAnsi="宋体" w:eastAsia="仿宋_GB2312" w:cs="宋体"/>
          <w:color w:val="auto"/>
          <w:sz w:val="32"/>
          <w:szCs w:val="32"/>
          <w:highlight w:val="none"/>
          <w:lang w:val="en-US" w:eastAsia="zh-CN"/>
        </w:rPr>
        <w:t>专精特新”专板入板</w:t>
      </w:r>
      <w:r>
        <w:rPr>
          <w:rFonts w:hint="eastAsia" w:ascii="仿宋_GB2312" w:hAnsi="宋体" w:eastAsia="仿宋_GB2312" w:cs="宋体"/>
          <w:color w:val="auto"/>
          <w:sz w:val="32"/>
          <w:szCs w:val="32"/>
          <w:highlight w:val="none"/>
          <w:lang w:eastAsia="zh-CN"/>
        </w:rPr>
        <w:t>奖励。对</w:t>
      </w:r>
      <w:r>
        <w:rPr>
          <w:rFonts w:hint="eastAsia" w:ascii="仿宋_GB2312" w:hAnsi="宋体" w:eastAsia="仿宋_GB2312" w:cs="宋体"/>
          <w:color w:val="auto"/>
          <w:sz w:val="32"/>
          <w:szCs w:val="32"/>
          <w:highlight w:val="none"/>
          <w:lang w:val="en-US" w:eastAsia="zh-CN"/>
        </w:rPr>
        <w:t>首次进入深圳市</w:t>
      </w:r>
      <w:r>
        <w:rPr>
          <w:rFonts w:hint="eastAsia" w:ascii="仿宋_GB2312" w:hAnsi="宋体" w:eastAsia="仿宋_GB2312" w:cs="宋体"/>
          <w:color w:val="auto"/>
          <w:sz w:val="32"/>
          <w:szCs w:val="32"/>
          <w:highlight w:val="none"/>
          <w:lang w:eastAsia="zh-CN"/>
        </w:rPr>
        <w:t>区域性股权市场“</w:t>
      </w:r>
      <w:r>
        <w:rPr>
          <w:rFonts w:hint="eastAsia" w:ascii="仿宋_GB2312" w:hAnsi="宋体" w:eastAsia="仿宋_GB2312" w:cs="宋体"/>
          <w:color w:val="auto"/>
          <w:sz w:val="32"/>
          <w:szCs w:val="32"/>
          <w:highlight w:val="none"/>
          <w:lang w:val="en-US" w:eastAsia="zh-CN"/>
        </w:rPr>
        <w:t>专精特新”专板培育层、规范层的企业，</w:t>
      </w:r>
      <w:r>
        <w:rPr>
          <w:rFonts w:hint="eastAsia" w:ascii="仿宋_GB2312" w:hAnsi="宋体" w:eastAsia="仿宋_GB2312" w:cs="宋体"/>
          <w:color w:val="auto"/>
          <w:sz w:val="32"/>
          <w:szCs w:val="32"/>
          <w:highlight w:val="none"/>
          <w:lang w:eastAsia="zh-CN"/>
        </w:rPr>
        <w:t>按其获得市级相应奖励金额</w:t>
      </w:r>
      <w:r>
        <w:rPr>
          <w:rFonts w:hint="eastAsia" w:ascii="仿宋_GB2312" w:hAnsi="宋体" w:eastAsia="仿宋_GB2312" w:cs="宋体"/>
          <w:color w:val="auto"/>
          <w:sz w:val="32"/>
          <w:szCs w:val="32"/>
          <w:highlight w:val="none"/>
          <w:lang w:val="en-US" w:eastAsia="zh-CN"/>
        </w:rPr>
        <w:t>的百分之五十给予配套奖励</w:t>
      </w:r>
      <w:r>
        <w:rPr>
          <w:rFonts w:hint="eastAsia" w:ascii="仿宋_GB2312" w:hAnsi="宋体" w:eastAsia="仿宋_GB2312" w:cs="宋体"/>
          <w:color w:val="auto"/>
          <w:sz w:val="32"/>
          <w:szCs w:val="32"/>
          <w:highlight w:val="none"/>
          <w:lang w:val="en"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第十</w:t>
      </w:r>
      <w:r>
        <w:rPr>
          <w:rFonts w:hint="eastAsia" w:ascii="黑体" w:hAnsi="宋体" w:eastAsia="黑体" w:cs="黑体"/>
          <w:color w:val="auto"/>
          <w:kern w:val="0"/>
          <w:sz w:val="32"/>
          <w:szCs w:val="32"/>
          <w:highlight w:val="none"/>
          <w:lang w:eastAsia="zh-CN"/>
        </w:rPr>
        <w:t>五</w:t>
      </w:r>
      <w:r>
        <w:rPr>
          <w:rFonts w:hint="eastAsia" w:ascii="黑体" w:hAnsi="宋体" w:eastAsia="黑体" w:cs="黑体"/>
          <w:color w:val="auto"/>
          <w:kern w:val="0"/>
          <w:sz w:val="32"/>
          <w:szCs w:val="32"/>
          <w:highlight w:val="none"/>
        </w:rPr>
        <w:t xml:space="preserve">条 </w:t>
      </w:r>
      <w:r>
        <w:rPr>
          <w:rFonts w:hint="eastAsia" w:ascii="仿宋_GB2312" w:eastAsia="仿宋_GB2312" w:cs="仿宋_GB2312"/>
          <w:color w:val="auto"/>
          <w:kern w:val="0"/>
          <w:sz w:val="32"/>
          <w:szCs w:val="32"/>
          <w:highlight w:val="none"/>
        </w:rPr>
        <w:t>企业上市奖励。对计划在境内证券交易所上市的企业，按首次完成股份制改造、上市辅导和成功上市三个阶段分别给予五十万元、一百万元和三百五十万元奖励。对在境外主要证券交易所首次成功上市的企业，给予一次性三百五十万元奖励。对在多个证券市场上市的企业不重复奖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黑体" w:hAnsi="宋体" w:eastAsia="黑体" w:cs="黑体"/>
          <w:color w:val="auto"/>
          <w:sz w:val="32"/>
          <w:szCs w:val="32"/>
          <w:highlight w:val="none"/>
        </w:rPr>
        <w:t>第十</w:t>
      </w:r>
      <w:r>
        <w:rPr>
          <w:rFonts w:hint="eastAsia" w:ascii="黑体" w:hAnsi="宋体" w:eastAsia="黑体" w:cs="黑体"/>
          <w:color w:val="auto"/>
          <w:sz w:val="32"/>
          <w:szCs w:val="32"/>
          <w:highlight w:val="none"/>
          <w:lang w:eastAsia="zh-CN"/>
        </w:rPr>
        <w:t>六</w:t>
      </w:r>
      <w:r>
        <w:rPr>
          <w:rFonts w:hint="eastAsia" w:ascii="黑体" w:hAnsi="宋体" w:eastAsia="黑体" w:cs="黑体"/>
          <w:color w:val="auto"/>
          <w:sz w:val="32"/>
          <w:szCs w:val="32"/>
          <w:highlight w:val="none"/>
        </w:rPr>
        <w:t xml:space="preserve">条 </w:t>
      </w:r>
      <w:r>
        <w:rPr>
          <w:rFonts w:hint="eastAsia" w:ascii="仿宋_GB2312" w:eastAsia="仿宋_GB2312" w:cs="仿宋"/>
          <w:color w:val="auto"/>
          <w:kern w:val="0"/>
          <w:sz w:val="32"/>
          <w:szCs w:val="32"/>
          <w:highlight w:val="none"/>
        </w:rPr>
        <w:t>科技金融支持。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（一）知识产权证券化资助。企业通过政策性融资担保机构开展知识产权证券化融资，按照实际发生的综合融资成本的百分之五十，给予单个企业每年不超过当年所获融资额的百分之三点五、最高一百万元资助；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二）知识产权质押融资资助。企业通过知识产权质押获得贷款，按照开展知识产权质押担保和贷款的担保费、评估费和利息总额的百分之五十，给予单个企业每年不超过当年所获贷款额的百分之三点五、最高一百万元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黑体" w:hAnsi="宋体" w:eastAsia="黑体" w:cs="黑体"/>
          <w:color w:val="auto"/>
          <w:kern w:val="0"/>
          <w:sz w:val="32"/>
          <w:szCs w:val="32"/>
          <w:highlight w:val="none"/>
        </w:rPr>
        <w:t>第十</w:t>
      </w:r>
      <w:r>
        <w:rPr>
          <w:rFonts w:hint="eastAsia" w:ascii="黑体" w:hAnsi="宋体" w:eastAsia="黑体" w:cs="黑体"/>
          <w:color w:val="auto"/>
          <w:kern w:val="0"/>
          <w:sz w:val="32"/>
          <w:szCs w:val="32"/>
          <w:highlight w:val="none"/>
          <w:lang w:eastAsia="zh-CN"/>
        </w:rPr>
        <w:t>七</w:t>
      </w:r>
      <w:r>
        <w:rPr>
          <w:rFonts w:hint="eastAsia" w:ascii="黑体" w:hAnsi="宋体" w:eastAsia="黑体" w:cs="黑体"/>
          <w:color w:val="auto"/>
          <w:kern w:val="0"/>
          <w:sz w:val="32"/>
          <w:szCs w:val="32"/>
          <w:highlight w:val="none"/>
        </w:rPr>
        <w:t xml:space="preserve">条 </w:t>
      </w:r>
      <w:r>
        <w:rPr>
          <w:rFonts w:hint="eastAsia" w:ascii="仿宋_GB2312" w:eastAsia="仿宋_GB2312" w:cs="仿宋"/>
          <w:color w:val="auto"/>
          <w:kern w:val="0"/>
          <w:sz w:val="32"/>
          <w:szCs w:val="32"/>
          <w:highlight w:val="none"/>
        </w:rPr>
        <w:t>企业贷款贴息贴保资助。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（一）对于符合产业导向的中小微企业</w:t>
      </w:r>
      <w:r>
        <w:rPr>
          <w:rFonts w:hint="eastAsia" w:ascii="仿宋_GB2312" w:eastAsia="仿宋_GB2312" w:cs="仿宋"/>
          <w:color w:val="auto"/>
          <w:kern w:val="0"/>
          <w:sz w:val="32"/>
          <w:szCs w:val="32"/>
          <w:highlight w:val="none"/>
          <w:lang w:eastAsia="zh-CN"/>
        </w:rPr>
        <w:t>上一年度</w:t>
      </w:r>
      <w:r>
        <w:rPr>
          <w:rFonts w:hint="eastAsia" w:ascii="仿宋_GB2312" w:eastAsia="仿宋_GB2312" w:cs="仿宋"/>
          <w:color w:val="auto"/>
          <w:kern w:val="0"/>
          <w:sz w:val="32"/>
          <w:szCs w:val="32"/>
          <w:highlight w:val="none"/>
        </w:rPr>
        <w:t>从在盐田区实际从事经营活动的银行机构获得的单笔一百万元以上的一至三年期信用贷款，在贷款期满并还款后，按企业实际支付贷款利息的百分之四十给予资助；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（二）对于符合产业导向的中小微企业</w:t>
      </w:r>
      <w:r>
        <w:rPr>
          <w:rFonts w:hint="eastAsia" w:ascii="仿宋_GB2312" w:eastAsia="仿宋_GB2312" w:cs="仿宋"/>
          <w:color w:val="auto"/>
          <w:kern w:val="0"/>
          <w:sz w:val="32"/>
          <w:szCs w:val="32"/>
          <w:highlight w:val="none"/>
          <w:lang w:eastAsia="zh-CN"/>
        </w:rPr>
        <w:t>上一年度</w:t>
      </w:r>
      <w:r>
        <w:rPr>
          <w:rFonts w:hint="eastAsia" w:ascii="仿宋_GB2312" w:eastAsia="仿宋_GB2312" w:cs="仿宋"/>
          <w:color w:val="auto"/>
          <w:kern w:val="0"/>
          <w:sz w:val="32"/>
          <w:szCs w:val="32"/>
          <w:highlight w:val="none"/>
        </w:rPr>
        <w:t>通过政策性融资担保机构担保获得的单笔一百万元以上的一至三年期担保贷款，在贷款期满并还款后，按企业实际发生的综合融资成本的百分之四十给予资助，且年化不超过企业所获融资额的百分之二点五；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三）对于符合产业导向的中小微企业通过申请市属平稳基金的方式获得的单笔一百万元以上的一至三年期项目，在贷款期满并按期还款后，按企业实际发生的综合融资成本的百分之四十给予资助，且年化不超过企业所获融资额的百分之二点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同一笔贷款不能同时享受本条和第十</w:t>
      </w:r>
      <w:r>
        <w:rPr>
          <w:rFonts w:hint="eastAsia" w:ascii="仿宋_GB2312" w:eastAsia="仿宋_GB2312" w:cs="仿宋"/>
          <w:color w:val="auto"/>
          <w:kern w:val="0"/>
          <w:sz w:val="32"/>
          <w:szCs w:val="32"/>
          <w:highlight w:val="none"/>
          <w:lang w:eastAsia="zh-CN"/>
        </w:rPr>
        <w:t>六</w:t>
      </w:r>
      <w:r>
        <w:rPr>
          <w:rFonts w:hint="eastAsia" w:ascii="仿宋_GB2312" w:eastAsia="仿宋_GB2312" w:cs="仿宋"/>
          <w:color w:val="auto"/>
          <w:kern w:val="0"/>
          <w:sz w:val="32"/>
          <w:szCs w:val="32"/>
          <w:highlight w:val="none"/>
        </w:rPr>
        <w:t>条资助，单个企业通过本条款和第十</w:t>
      </w:r>
      <w:r>
        <w:rPr>
          <w:rFonts w:hint="eastAsia" w:ascii="仿宋_GB2312" w:eastAsia="仿宋_GB2312" w:cs="仿宋"/>
          <w:color w:val="auto"/>
          <w:kern w:val="0"/>
          <w:sz w:val="32"/>
          <w:szCs w:val="32"/>
          <w:highlight w:val="none"/>
          <w:lang w:eastAsia="zh-CN"/>
        </w:rPr>
        <w:t>六</w:t>
      </w:r>
      <w:r>
        <w:rPr>
          <w:rFonts w:hint="eastAsia" w:ascii="仿宋_GB2312" w:eastAsia="仿宋_GB2312" w:cs="仿宋"/>
          <w:color w:val="auto"/>
          <w:kern w:val="0"/>
          <w:sz w:val="32"/>
          <w:szCs w:val="32"/>
          <w:highlight w:val="none"/>
        </w:rPr>
        <w:t>条每年合计最高获得一百万元资助。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sz w:val="32"/>
          <w:szCs w:val="32"/>
          <w:highlight w:val="none"/>
          <w:shd w:val="clear" w:color="auto" w:fill="FFFFFF"/>
        </w:rPr>
      </w:pPr>
      <w:r>
        <w:rPr>
          <w:rFonts w:hint="eastAsia" w:ascii="黑体" w:hAnsi="宋体" w:eastAsia="黑体" w:cs="黑体"/>
          <w:color w:val="auto"/>
          <w:kern w:val="0"/>
          <w:sz w:val="32"/>
          <w:szCs w:val="32"/>
          <w:highlight w:val="none"/>
        </w:rPr>
        <w:t>第十</w:t>
      </w:r>
      <w:r>
        <w:rPr>
          <w:rFonts w:hint="eastAsia" w:ascii="黑体" w:hAnsi="宋体" w:eastAsia="黑体" w:cs="黑体"/>
          <w:color w:val="auto"/>
          <w:kern w:val="0"/>
          <w:sz w:val="32"/>
          <w:szCs w:val="32"/>
          <w:highlight w:val="none"/>
          <w:lang w:eastAsia="zh-CN"/>
        </w:rPr>
        <w:t>八</w:t>
      </w:r>
      <w:r>
        <w:rPr>
          <w:rFonts w:hint="eastAsia" w:ascii="黑体" w:hAnsi="宋体" w:eastAsia="黑体" w:cs="黑体"/>
          <w:color w:val="auto"/>
          <w:kern w:val="0"/>
          <w:sz w:val="32"/>
          <w:szCs w:val="32"/>
          <w:highlight w:val="none"/>
        </w:rPr>
        <w:t xml:space="preserve">条 </w:t>
      </w:r>
      <w:r>
        <w:rPr>
          <w:rFonts w:hint="eastAsia" w:ascii="仿宋_GB2312" w:eastAsia="仿宋_GB2312" w:cs="仿宋_GB2312"/>
          <w:color w:val="auto"/>
          <w:sz w:val="32"/>
          <w:szCs w:val="32"/>
          <w:highlight w:val="none"/>
          <w:shd w:val="clear" w:color="auto" w:fill="FFFFFF"/>
        </w:rPr>
        <w:t>金融机构贷款风险补偿性资助。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sz w:val="32"/>
          <w:szCs w:val="32"/>
          <w:highlight w:val="none"/>
          <w:shd w:val="clear" w:color="auto" w:fill="FFFFFF"/>
        </w:rPr>
      </w:pPr>
      <w:r>
        <w:rPr>
          <w:rFonts w:hint="eastAsia" w:ascii="仿宋_GB2312" w:eastAsia="仿宋_GB2312" w:cs="仿宋_GB2312"/>
          <w:color w:val="auto"/>
          <w:sz w:val="32"/>
          <w:szCs w:val="32"/>
          <w:highlight w:val="none"/>
          <w:shd w:val="clear" w:color="auto" w:fill="FFFFFF"/>
        </w:rPr>
        <w:t>（一）对在盐田区实际从事经营活动的银行机构为在盐田区从事经营活动的企业发放的三千万元以下规模贷款形成的不良贷款（中小微贷款评定为“次级”）获得市级风险补偿的，按所获市级风险补偿金额给予等额配套风险补偿性资助。市区两级合计最高不超过不良贷款（本金）的百分之六十。在盐田区从事经营活动的银行支行每年获得的资助额不超过一百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auto"/>
          <w:sz w:val="32"/>
          <w:szCs w:val="32"/>
          <w:highlight w:val="none"/>
          <w:shd w:val="clear" w:color="auto" w:fill="FFFFFF"/>
        </w:rPr>
      </w:pPr>
      <w:r>
        <w:rPr>
          <w:rFonts w:hint="eastAsia" w:ascii="仿宋_GB2312" w:eastAsia="仿宋_GB2312" w:cs="仿宋_GB2312"/>
          <w:color w:val="auto"/>
          <w:sz w:val="32"/>
          <w:szCs w:val="32"/>
          <w:highlight w:val="none"/>
          <w:shd w:val="clear" w:color="auto" w:fill="FFFFFF"/>
        </w:rPr>
        <w:t>（二）对政策性融资担保机构为在盐田区从事经营活动的企业发放的三千万元以下规模贷款每年形成的不良贷款（中小微贷款评定为“次级”），按照政策性融资担保机构实际承担坏账损失的百分之二十给予风险补偿性资助。每家政策性融资担保机构每年获得的资助额不超过一百万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黑体" w:hAnsi="宋体" w:eastAsia="黑体" w:cs="黑体"/>
          <w:color w:val="auto"/>
          <w:kern w:val="0"/>
          <w:sz w:val="32"/>
          <w:szCs w:val="32"/>
          <w:highlight w:val="none"/>
        </w:rPr>
        <w:t>第十</w:t>
      </w:r>
      <w:r>
        <w:rPr>
          <w:rFonts w:hint="eastAsia" w:ascii="黑体" w:hAnsi="宋体" w:eastAsia="黑体" w:cs="黑体"/>
          <w:color w:val="auto"/>
          <w:kern w:val="0"/>
          <w:sz w:val="32"/>
          <w:szCs w:val="32"/>
          <w:highlight w:val="none"/>
          <w:lang w:eastAsia="zh-CN"/>
        </w:rPr>
        <w:t>九</w:t>
      </w:r>
      <w:r>
        <w:rPr>
          <w:rFonts w:hint="eastAsia" w:ascii="黑体" w:hAnsi="宋体" w:eastAsia="黑体" w:cs="黑体"/>
          <w:color w:val="auto"/>
          <w:kern w:val="0"/>
          <w:sz w:val="32"/>
          <w:szCs w:val="32"/>
          <w:highlight w:val="none"/>
        </w:rPr>
        <w:t xml:space="preserve">条 </w:t>
      </w:r>
      <w:r>
        <w:rPr>
          <w:rFonts w:hint="eastAsia" w:ascii="仿宋_GB2312" w:eastAsia="仿宋_GB2312" w:cs="仿宋"/>
          <w:color w:val="auto"/>
          <w:kern w:val="0"/>
          <w:sz w:val="32"/>
          <w:szCs w:val="32"/>
          <w:highlight w:val="none"/>
        </w:rPr>
        <w:t>特色金融发展资助。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一）地方金融组织提供融资服务资助。对上一年度小额贷款、融资租赁、商业保理等地方金融组织为在盐田区从事经营活动的企业提供融资服务，且年度融资金额达到五百万元以上的，按每年度为在盐田区内从事经营活动的企业融资金额的百分之一，给予每家地方金融组织每年不超过一百万元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二）供应链金融服务平台发展资助。鼓励商业银行、核心企业和供应链配套服务机构在盐田区运营供应链金融服务平台，其服务企业首次达到二十家及以上且融资规模达到二千万元及以上的，每年按平台为在盐田区从事经营活动的企业融资额的百分之一，给予平台运营主体不超过一百万元资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二十</w:t>
      </w:r>
      <w:r>
        <w:rPr>
          <w:rFonts w:hint="eastAsia" w:ascii="黑体" w:hAnsi="宋体" w:eastAsia="黑体" w:cs="黑体"/>
          <w:color w:val="auto"/>
          <w:kern w:val="0"/>
          <w:sz w:val="32"/>
          <w:szCs w:val="32"/>
          <w:highlight w:val="none"/>
        </w:rPr>
        <w:t xml:space="preserve">条 </w:t>
      </w:r>
      <w:r>
        <w:rPr>
          <w:rFonts w:hint="eastAsia" w:ascii="仿宋_GB2312" w:eastAsia="仿宋_GB2312" w:cs="仿宋"/>
          <w:color w:val="auto"/>
          <w:kern w:val="0"/>
          <w:sz w:val="32"/>
          <w:szCs w:val="32"/>
          <w:highlight w:val="none"/>
        </w:rPr>
        <w:t>产业投资基金奖励。对新在盐田区实际从事经营活动的符合“5+3+1”现代产业体系发展方向的产业投资基金，实际募集资金在五亿元以上的，给予该基金一定奖励：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（一）给予五十万元一次性奖励，可用于对基金发展</w:t>
      </w:r>
      <w:r>
        <w:rPr>
          <w:rFonts w:hint="eastAsia" w:ascii="仿宋_GB2312" w:eastAsia="仿宋_GB2312" w:cs="仿宋"/>
          <w:color w:val="auto"/>
          <w:kern w:val="0"/>
          <w:sz w:val="32"/>
          <w:szCs w:val="32"/>
          <w:highlight w:val="none"/>
          <w:lang w:eastAsia="zh-CN"/>
        </w:rPr>
        <w:t>发挥重要作用</w:t>
      </w:r>
      <w:r>
        <w:rPr>
          <w:rFonts w:hint="eastAsia" w:ascii="仿宋_GB2312" w:eastAsia="仿宋_GB2312" w:cs="仿宋"/>
          <w:color w:val="auto"/>
          <w:kern w:val="0"/>
          <w:sz w:val="32"/>
          <w:szCs w:val="32"/>
          <w:highlight w:val="none"/>
        </w:rPr>
        <w:t>的基金管理公司高管及</w:t>
      </w:r>
      <w:r>
        <w:rPr>
          <w:rFonts w:hint="eastAsia" w:ascii="仿宋_GB2312" w:eastAsia="仿宋_GB2312" w:cs="仿宋"/>
          <w:color w:val="auto"/>
          <w:kern w:val="0"/>
          <w:sz w:val="32"/>
          <w:szCs w:val="32"/>
          <w:highlight w:val="none"/>
          <w:lang w:eastAsia="zh-CN"/>
        </w:rPr>
        <w:t>主要</w:t>
      </w:r>
      <w:r>
        <w:rPr>
          <w:rFonts w:hint="eastAsia" w:ascii="仿宋_GB2312" w:eastAsia="仿宋_GB2312" w:cs="仿宋"/>
          <w:color w:val="auto"/>
          <w:kern w:val="0"/>
          <w:sz w:val="32"/>
          <w:szCs w:val="32"/>
          <w:highlight w:val="none"/>
        </w:rPr>
        <w:t>团队奖励；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仿宋_GB2312" w:eastAsia="仿宋_GB2312" w:cs="仿宋"/>
          <w:color w:val="auto"/>
          <w:kern w:val="0"/>
          <w:sz w:val="32"/>
          <w:szCs w:val="32"/>
          <w:highlight w:val="none"/>
        </w:rPr>
        <w:t>（二）投资引荐“5+3+1”现代产业体系企业来盐田区发展，且实际投资额在五百万元以上，被投资企业在盐田区实际从事经营活动满一年并正常经营的，每引荐一家企业奖励十万元，每家基金每年奖励不超过五十万元，可用于对基金发展</w:t>
      </w:r>
      <w:r>
        <w:rPr>
          <w:rFonts w:hint="eastAsia" w:ascii="仿宋_GB2312" w:eastAsia="仿宋_GB2312" w:cs="仿宋"/>
          <w:color w:val="auto"/>
          <w:kern w:val="0"/>
          <w:sz w:val="32"/>
          <w:szCs w:val="32"/>
          <w:highlight w:val="none"/>
          <w:lang w:eastAsia="zh-CN"/>
        </w:rPr>
        <w:t>发挥重要作用</w:t>
      </w:r>
      <w:r>
        <w:rPr>
          <w:rFonts w:hint="eastAsia" w:ascii="仿宋_GB2312" w:eastAsia="仿宋_GB2312" w:cs="仿宋"/>
          <w:color w:val="auto"/>
          <w:kern w:val="0"/>
          <w:sz w:val="32"/>
          <w:szCs w:val="32"/>
          <w:highlight w:val="none"/>
        </w:rPr>
        <w:t>的基金管理公司高管及</w:t>
      </w:r>
      <w:r>
        <w:rPr>
          <w:rFonts w:hint="eastAsia" w:ascii="仿宋_GB2312" w:eastAsia="仿宋_GB2312" w:cs="仿宋"/>
          <w:color w:val="auto"/>
          <w:kern w:val="0"/>
          <w:sz w:val="32"/>
          <w:szCs w:val="32"/>
          <w:highlight w:val="none"/>
          <w:lang w:eastAsia="zh-CN"/>
        </w:rPr>
        <w:t>主要</w:t>
      </w:r>
      <w:r>
        <w:rPr>
          <w:rFonts w:hint="eastAsia" w:ascii="仿宋_GB2312" w:eastAsia="仿宋_GB2312" w:cs="仿宋"/>
          <w:color w:val="auto"/>
          <w:kern w:val="0"/>
          <w:sz w:val="32"/>
          <w:szCs w:val="32"/>
          <w:highlight w:val="none"/>
        </w:rPr>
        <w:t>团队奖励。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eastAsia="仿宋_GB2312" w:cs="仿宋"/>
          <w:color w:val="auto"/>
          <w:kern w:val="0"/>
          <w:sz w:val="32"/>
          <w:szCs w:val="32"/>
          <w:highlight w:val="none"/>
        </w:rPr>
      </w:pPr>
    </w:p>
    <w:p>
      <w:pPr>
        <w:keepNext w:val="0"/>
        <w:keepLines w:val="0"/>
        <w:pageBreakBefore w:val="0"/>
        <w:widowControl w:val="0"/>
        <w:numPr>
          <w:ilvl w:val="255"/>
          <w:numId w:val="0"/>
        </w:numPr>
        <w:kinsoku/>
        <w:wordWrap/>
        <w:overflowPunct w:val="0"/>
        <w:topLinePunct w:val="0"/>
        <w:autoSpaceDE w:val="0"/>
        <w:autoSpaceDN w:val="0"/>
        <w:bidi w:val="0"/>
        <w:adjustRightInd w:val="0"/>
        <w:snapToGrid w:val="0"/>
        <w:spacing w:after="313" w:afterLines="100" w:line="560" w:lineRule="exact"/>
        <w:jc w:val="center"/>
        <w:textAlignment w:val="auto"/>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第五章 促进低碳绿色转型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二十一</w:t>
      </w:r>
      <w:r>
        <w:rPr>
          <w:rFonts w:hint="eastAsia" w:ascii="黑体" w:hAnsi="宋体" w:eastAsia="黑体" w:cs="黑体"/>
          <w:color w:val="auto"/>
          <w:kern w:val="0"/>
          <w:sz w:val="32"/>
          <w:szCs w:val="32"/>
          <w:highlight w:val="none"/>
        </w:rPr>
        <w:t xml:space="preserve">条 </w:t>
      </w:r>
      <w:r>
        <w:rPr>
          <w:rFonts w:hint="eastAsia" w:ascii="仿宋_GB2312" w:eastAsia="仿宋_GB2312" w:cs="仿宋"/>
          <w:color w:val="auto"/>
          <w:kern w:val="0"/>
          <w:sz w:val="32"/>
          <w:szCs w:val="32"/>
          <w:highlight w:val="none"/>
        </w:rPr>
        <w:t>企业绿色低碳发展扶持。鼓励在盐田区内应用符合市节能低碳发展方向的技术、工艺、设备、材料、产品，包括但不限于太阳能、氢能等清洁能源推广应用等项目。按照项目节能低碳效果与实际投资情况，给予项目已投入资金百分之三十以下，总额不超过</w:t>
      </w:r>
      <w:r>
        <w:rPr>
          <w:rFonts w:hint="eastAsia" w:ascii="仿宋_GB2312" w:eastAsia="仿宋_GB2312" w:cs="仿宋"/>
          <w:color w:val="auto"/>
          <w:kern w:val="0"/>
          <w:sz w:val="32"/>
          <w:szCs w:val="32"/>
          <w:highlight w:val="none"/>
          <w:lang w:eastAsia="zh-CN"/>
        </w:rPr>
        <w:t>二</w:t>
      </w:r>
      <w:r>
        <w:rPr>
          <w:rFonts w:hint="eastAsia" w:ascii="仿宋_GB2312" w:eastAsia="仿宋_GB2312" w:cs="仿宋"/>
          <w:color w:val="auto"/>
          <w:kern w:val="0"/>
          <w:sz w:val="32"/>
          <w:szCs w:val="32"/>
          <w:highlight w:val="none"/>
        </w:rPr>
        <w:t>百万元的扶持。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二十二</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市级以上节能低碳类项目扶持。鼓励盐田区内项目申报市级以上节能低碳类示范创建项目和扶持资金，盐田区给予奖励和配套扶持。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（一）对示范创建项目，包括但不限于绿色制造、近零碳等示范项目，按照评定级别分别给予国家级二十万元、省级十万元、市级五万元奖励；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（二）对获得市级以上节能低碳类资金扶持的项目，包括但不限于岸电、船舶三废处理等绿色低碳港口项目等，按照不高于市级扶持资金的标准进行配套，总额不超过项目</w:t>
      </w:r>
      <w:r>
        <w:rPr>
          <w:rFonts w:hint="eastAsia" w:ascii="仿宋_GB2312" w:eastAsia="仿宋_GB2312"/>
          <w:color w:val="auto"/>
          <w:kern w:val="0"/>
          <w:sz w:val="32"/>
          <w:szCs w:val="32"/>
          <w:highlight w:val="none"/>
          <w:lang w:eastAsia="zh-CN"/>
        </w:rPr>
        <w:t>实际</w:t>
      </w:r>
      <w:r>
        <w:rPr>
          <w:rFonts w:hint="eastAsia" w:ascii="仿宋_GB2312" w:eastAsia="仿宋_GB2312"/>
          <w:color w:val="auto"/>
          <w:kern w:val="0"/>
          <w:sz w:val="32"/>
          <w:szCs w:val="32"/>
          <w:highlight w:val="none"/>
        </w:rPr>
        <w:t>投入资金。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eastAsia="仿宋_GB2312"/>
          <w:color w:val="auto"/>
          <w:kern w:val="0"/>
          <w:sz w:val="32"/>
          <w:szCs w:val="32"/>
          <w:highlight w:val="none"/>
        </w:rPr>
      </w:pPr>
    </w:p>
    <w:p>
      <w:pPr>
        <w:keepNext w:val="0"/>
        <w:keepLines w:val="0"/>
        <w:pageBreakBefore w:val="0"/>
        <w:widowControl w:val="0"/>
        <w:numPr>
          <w:ilvl w:val="255"/>
          <w:numId w:val="0"/>
        </w:numPr>
        <w:kinsoku/>
        <w:wordWrap/>
        <w:overflowPunct w:val="0"/>
        <w:topLinePunct w:val="0"/>
        <w:autoSpaceDE w:val="0"/>
        <w:autoSpaceDN w:val="0"/>
        <w:bidi w:val="0"/>
        <w:adjustRightInd w:val="0"/>
        <w:snapToGrid w:val="0"/>
        <w:spacing w:after="313" w:afterLines="100" w:line="560" w:lineRule="exact"/>
        <w:jc w:val="center"/>
        <w:textAlignment w:val="auto"/>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第六章 引导产业集聚发展</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s="仿宋"/>
          <w:color w:val="auto"/>
          <w:kern w:val="0"/>
          <w:sz w:val="32"/>
          <w:szCs w:val="32"/>
          <w:highlight w:val="none"/>
        </w:rPr>
      </w:pPr>
      <w:r>
        <w:rPr>
          <w:rFonts w:hint="eastAsia" w:ascii="黑体" w:hAnsi="宋体" w:eastAsia="黑体" w:cs="黑体"/>
          <w:color w:val="auto"/>
          <w:kern w:val="0"/>
          <w:sz w:val="32"/>
          <w:szCs w:val="32"/>
          <w:highlight w:val="none"/>
        </w:rPr>
        <w:t>第二十</w:t>
      </w:r>
      <w:r>
        <w:rPr>
          <w:rFonts w:hint="eastAsia" w:ascii="黑体" w:hAnsi="宋体" w:eastAsia="黑体" w:cs="黑体"/>
          <w:color w:val="auto"/>
          <w:kern w:val="0"/>
          <w:sz w:val="32"/>
          <w:szCs w:val="32"/>
          <w:highlight w:val="none"/>
          <w:lang w:eastAsia="zh-CN"/>
        </w:rPr>
        <w:t>三</w:t>
      </w:r>
      <w:r>
        <w:rPr>
          <w:rFonts w:hint="eastAsia" w:ascii="黑体" w:hAnsi="宋体" w:eastAsia="黑体" w:cs="黑体"/>
          <w:color w:val="auto"/>
          <w:kern w:val="0"/>
          <w:sz w:val="32"/>
          <w:szCs w:val="32"/>
          <w:highlight w:val="none"/>
        </w:rPr>
        <w:t xml:space="preserve">条 </w:t>
      </w:r>
      <w:r>
        <w:rPr>
          <w:rFonts w:hint="eastAsia" w:ascii="仿宋_GB2312" w:eastAsia="仿宋_GB2312" w:cs="仿宋"/>
          <w:color w:val="auto"/>
          <w:kern w:val="0"/>
          <w:sz w:val="32"/>
          <w:szCs w:val="32"/>
          <w:highlight w:val="none"/>
        </w:rPr>
        <w:t>企业经营增长奖励。支持批发、零售、互联网软件、科技、住宿、餐饮、文化、体育、娱乐等企业做大做强。经营状况良好的，按一定标准给予企业</w:t>
      </w:r>
      <w:r>
        <w:rPr>
          <w:rFonts w:hint="eastAsia" w:ascii="仿宋_GB2312" w:eastAsia="仿宋_GB2312" w:cs="仿宋"/>
          <w:color w:val="auto"/>
          <w:kern w:val="0"/>
          <w:sz w:val="32"/>
          <w:szCs w:val="32"/>
          <w:highlight w:val="none"/>
          <w:lang w:eastAsia="zh-CN"/>
        </w:rPr>
        <w:t>奖励</w:t>
      </w:r>
      <w:r>
        <w:rPr>
          <w:rFonts w:hint="eastAsia" w:ascii="仿宋_GB2312" w:eastAsia="仿宋_GB2312" w:cs="仿宋"/>
          <w:color w:val="auto"/>
          <w:kern w:val="0"/>
          <w:sz w:val="32"/>
          <w:szCs w:val="32"/>
          <w:highlight w:val="none"/>
        </w:rPr>
        <w:t>，最高不超过二百万元。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第二十</w:t>
      </w:r>
      <w:r>
        <w:rPr>
          <w:rFonts w:hint="eastAsia" w:ascii="黑体" w:hAnsi="宋体" w:eastAsia="黑体" w:cs="黑体"/>
          <w:color w:val="auto"/>
          <w:kern w:val="0"/>
          <w:sz w:val="32"/>
          <w:szCs w:val="32"/>
          <w:highlight w:val="none"/>
          <w:lang w:eastAsia="zh-CN"/>
        </w:rPr>
        <w:t>四</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工业增加值增速达标企业奖励。支持工业企业做大做强。经营状况良好的，按一定标准给予企业</w:t>
      </w:r>
      <w:r>
        <w:rPr>
          <w:rFonts w:hint="eastAsia" w:ascii="仿宋_GB2312" w:eastAsia="仿宋_GB2312"/>
          <w:color w:val="auto"/>
          <w:kern w:val="0"/>
          <w:sz w:val="32"/>
          <w:szCs w:val="32"/>
          <w:highlight w:val="none"/>
          <w:lang w:eastAsia="zh-CN"/>
        </w:rPr>
        <w:t>奖励</w:t>
      </w:r>
      <w:r>
        <w:rPr>
          <w:rFonts w:hint="eastAsia" w:ascii="仿宋_GB2312" w:eastAsia="仿宋_GB2312"/>
          <w:color w:val="auto"/>
          <w:kern w:val="0"/>
          <w:sz w:val="32"/>
          <w:szCs w:val="32"/>
          <w:highlight w:val="none"/>
        </w:rPr>
        <w:t>，最高不超过一千万元。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黑体" w:hAnsi="宋体" w:eastAsia="黑体" w:cs="黑体"/>
          <w:color w:val="auto"/>
          <w:kern w:val="0"/>
          <w:sz w:val="32"/>
          <w:szCs w:val="32"/>
          <w:highlight w:val="none"/>
        </w:rPr>
        <w:t>第二十</w:t>
      </w:r>
      <w:r>
        <w:rPr>
          <w:rFonts w:hint="eastAsia" w:ascii="黑体" w:hAnsi="宋体" w:eastAsia="黑体" w:cs="黑体"/>
          <w:color w:val="auto"/>
          <w:kern w:val="0"/>
          <w:sz w:val="32"/>
          <w:szCs w:val="32"/>
          <w:highlight w:val="none"/>
          <w:lang w:eastAsia="zh-CN"/>
        </w:rPr>
        <w:t>五</w:t>
      </w:r>
      <w:r>
        <w:rPr>
          <w:rFonts w:hint="eastAsia" w:ascii="黑体" w:hAnsi="宋体" w:eastAsia="黑体" w:cs="黑体"/>
          <w:color w:val="auto"/>
          <w:kern w:val="0"/>
          <w:sz w:val="32"/>
          <w:szCs w:val="32"/>
          <w:highlight w:val="none"/>
        </w:rPr>
        <w:t xml:space="preserve">条 </w:t>
      </w:r>
      <w:r>
        <w:rPr>
          <w:rFonts w:hint="eastAsia" w:ascii="仿宋_GB2312" w:hAnsi="Times New Roman" w:eastAsia="仿宋_GB2312" w:cs="Times New Roman"/>
          <w:color w:val="auto"/>
          <w:kern w:val="0"/>
          <w:sz w:val="32"/>
          <w:szCs w:val="32"/>
          <w:highlight w:val="none"/>
        </w:rPr>
        <w:t>建筑业企业达产扩产奖励。支持建筑业企业做大做强。经营状况良好的，按一定标准给予企业奖励，最高不超过八十万元</w:t>
      </w:r>
      <w:r>
        <w:rPr>
          <w:rFonts w:hint="eastAsia" w:ascii="仿宋_GB2312" w:eastAsia="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第二十</w:t>
      </w:r>
      <w:r>
        <w:rPr>
          <w:rFonts w:hint="eastAsia" w:ascii="黑体" w:hAnsi="宋体" w:eastAsia="黑体" w:cs="黑体"/>
          <w:color w:val="auto"/>
          <w:kern w:val="0"/>
          <w:sz w:val="32"/>
          <w:szCs w:val="32"/>
          <w:highlight w:val="none"/>
          <w:lang w:eastAsia="zh-CN"/>
        </w:rPr>
        <w:t>六</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重点活动资助。鼓励企业、协会、机构等在盐田区承办或主办对“5+3+1”现代产业体系有较大推动作用重点展会、论坛等活动，经向区产业主管部门提前申请，并经区政府认定给予资助的，按不超过承办方实际支出总费用的百分之二十给予不超过一百万元资助。</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第二十</w:t>
      </w:r>
      <w:r>
        <w:rPr>
          <w:rFonts w:hint="eastAsia" w:ascii="黑体" w:hAnsi="宋体" w:eastAsia="黑体" w:cs="黑体"/>
          <w:color w:val="auto"/>
          <w:kern w:val="0"/>
          <w:sz w:val="32"/>
          <w:szCs w:val="32"/>
          <w:highlight w:val="none"/>
          <w:lang w:eastAsia="zh-CN"/>
        </w:rPr>
        <w:t>七</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鼓励打造专业化产业园区。</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对产业定位符合盐田区重点发展的盐田区“5+3+1”现代产业体系发展方向的专业化产业园区，由园区运营管理主体向区相关产业主管部门申请备案，备案后专业化产业园区须接受监督和指导。专业化产业园区实际可投入用于招商的产业空间建筑面积（指厂房、研发和办公用房，不含宿舍、商业等配套用房，不包括业主及其控股企业使用的建筑面积）不低于</w:t>
      </w:r>
      <w:r>
        <w:rPr>
          <w:rFonts w:hint="eastAsia" w:ascii="仿宋_GB2312" w:eastAsia="仿宋_GB2312"/>
          <w:color w:val="auto"/>
          <w:kern w:val="0"/>
          <w:sz w:val="32"/>
          <w:szCs w:val="32"/>
          <w:highlight w:val="none"/>
          <w:lang w:eastAsia="zh-CN"/>
        </w:rPr>
        <w:t>二</w:t>
      </w:r>
      <w:r>
        <w:rPr>
          <w:rFonts w:hint="eastAsia" w:ascii="仿宋_GB2312" w:eastAsia="仿宋_GB2312"/>
          <w:color w:val="auto"/>
          <w:kern w:val="0"/>
          <w:sz w:val="32"/>
          <w:szCs w:val="32"/>
          <w:highlight w:val="none"/>
        </w:rPr>
        <w:t>万平方米。（一）改造建设资助。支持业主或运营主体对旧村屋、旧工业区、旧商住区等实施升级改造并建设打造专业化产业园区，改造的建筑面积符合上述标准的，改造完成后一次性给予业主或运营主体不超过实际建设费用投入百分之二十的资助，单个项目最高不超过</w:t>
      </w:r>
      <w:r>
        <w:rPr>
          <w:rFonts w:hint="default" w:ascii="仿宋_GB2312" w:eastAsia="仿宋_GB2312"/>
          <w:color w:val="auto"/>
          <w:kern w:val="0"/>
          <w:sz w:val="32"/>
          <w:szCs w:val="32"/>
          <w:highlight w:val="none"/>
          <w:lang w:val="en"/>
        </w:rPr>
        <w:t>二百万元</w:t>
      </w:r>
      <w:r>
        <w:rPr>
          <w:rFonts w:hint="eastAsia" w:ascii="仿宋_GB2312" w:eastAsia="仿宋_GB2312"/>
          <w:color w:val="auto"/>
          <w:kern w:val="0"/>
          <w:sz w:val="32"/>
          <w:szCs w:val="32"/>
          <w:highlight w:val="none"/>
        </w:rPr>
        <w:t>；（二）经营奖励。对产业集聚度达到百分之六十以上的专业化产业园区，在园区达到上述集聚度的次年起，按一定标准给予园区运营管理主体奖励，最高不超过一千万元，奖励期限不超过三年。本项所称产业集聚度，指已使用三分之二以上生产经营型建筑面积的园区内从事专业化园区产业方向的企业上一年主营业务收入总额占园区内所有企业上一年度主营业务收入的比重，或园区内从事专业化园区产业方向的企业所使用的生产经营性建筑面积占园区生产经营性总建筑面积的比重；（三）企业租金资助。对入驻专业化园区内且满足特定条件的企业给予租金资助支持，按房屋租金市场指导价的百分之四十，且最高不超过三十元/平方米/月的标准，给予不超过三年的房租资助。每个企业年度资助金额最高不超过五十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专业化园区内可享受租金资助企业的特定条件，由相关产业主管部门结合实际另行确定。</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第二十</w:t>
      </w:r>
      <w:r>
        <w:rPr>
          <w:rFonts w:hint="eastAsia" w:ascii="黑体" w:hAnsi="宋体" w:eastAsia="黑体" w:cs="黑体"/>
          <w:color w:val="auto"/>
          <w:kern w:val="0"/>
          <w:sz w:val="32"/>
          <w:szCs w:val="32"/>
          <w:highlight w:val="none"/>
          <w:lang w:eastAsia="zh-CN"/>
        </w:rPr>
        <w:t>八</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保税高端产业聚集发展资助。经核准在盐田综合保税区内开展检测维修、保税研发、保税货物租赁、进口汽车保税存储展示、文物存储展示等业务的企业，租用盐田综合保税区内产业载体开展上述业务的，按房屋租金市场指导价的百分之四十，且最高不超过三十元/平方米/月的标准，给予不超过三年的租金资助；对依托盐田综合保税区内自有物业首次开展上述业务的，按业务相关设备投资额的百分之二十给予一次性资助。对同一企业每年资助不超过一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黑体" w:hAnsi="黑体" w:eastAsia="黑体" w:cs="黑体"/>
          <w:color w:val="auto"/>
          <w:kern w:val="0"/>
          <w:sz w:val="32"/>
          <w:szCs w:val="32"/>
          <w:highlight w:val="none"/>
        </w:rPr>
      </w:pPr>
    </w:p>
    <w:p>
      <w:pPr>
        <w:keepNext w:val="0"/>
        <w:keepLines w:val="0"/>
        <w:pageBreakBefore w:val="0"/>
        <w:widowControl w:val="0"/>
        <w:numPr>
          <w:ilvl w:val="255"/>
          <w:numId w:val="0"/>
        </w:numPr>
        <w:kinsoku/>
        <w:wordWrap/>
        <w:overflowPunct w:val="0"/>
        <w:topLinePunct w:val="0"/>
        <w:autoSpaceDE w:val="0"/>
        <w:autoSpaceDN w:val="0"/>
        <w:bidi w:val="0"/>
        <w:adjustRightInd w:val="0"/>
        <w:snapToGrid w:val="0"/>
        <w:spacing w:after="313" w:afterLines="100" w:line="560" w:lineRule="exact"/>
        <w:jc w:val="center"/>
        <w:textAlignment w:val="auto"/>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第七章 培育壮大重点产业</w:t>
      </w: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楷体_GB2312" w:hAnsi="宋体" w:eastAsia="楷体_GB2312" w:cs="黑体"/>
          <w:color w:val="auto"/>
          <w:kern w:val="0"/>
          <w:sz w:val="32"/>
          <w:szCs w:val="32"/>
          <w:highlight w:val="none"/>
        </w:rPr>
      </w:pPr>
      <w:r>
        <w:rPr>
          <w:rFonts w:hint="eastAsia" w:ascii="楷体_GB2312" w:eastAsia="楷体_GB2312"/>
          <w:color w:val="auto"/>
          <w:kern w:val="0"/>
          <w:sz w:val="32"/>
          <w:szCs w:val="32"/>
          <w:highlight w:val="none"/>
        </w:rPr>
        <w:t>第一节 支持航运物流引领海洋经济产业发展</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第二十</w:t>
      </w:r>
      <w:r>
        <w:rPr>
          <w:rFonts w:hint="eastAsia" w:ascii="黑体" w:hAnsi="宋体" w:eastAsia="黑体" w:cs="黑体"/>
          <w:color w:val="auto"/>
          <w:kern w:val="0"/>
          <w:sz w:val="32"/>
          <w:szCs w:val="32"/>
          <w:highlight w:val="none"/>
          <w:lang w:eastAsia="zh-CN"/>
        </w:rPr>
        <w:t>九</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航运金融奖励。对在盐田区实际从事航运保险、航运融资租赁、运费期货交易等一年以上且符合一定条件的企业，给予一百万元一次性奖励，对经营状况良好且符合条件的企业给予一定经营</w:t>
      </w:r>
      <w:r>
        <w:rPr>
          <w:rFonts w:hint="eastAsia" w:ascii="仿宋_GB2312" w:eastAsia="仿宋_GB2312"/>
          <w:color w:val="auto"/>
          <w:kern w:val="0"/>
          <w:sz w:val="32"/>
          <w:szCs w:val="32"/>
          <w:highlight w:val="none"/>
          <w:lang w:eastAsia="zh-CN"/>
        </w:rPr>
        <w:t>奖励</w:t>
      </w:r>
      <w:r>
        <w:rPr>
          <w:rFonts w:hint="eastAsia" w:ascii="仿宋_GB2312" w:eastAsia="仿宋_GB2312"/>
          <w:color w:val="auto"/>
          <w:kern w:val="0"/>
          <w:sz w:val="32"/>
          <w:szCs w:val="32"/>
          <w:highlight w:val="none"/>
        </w:rPr>
        <w:t>，单个企业每年资助不超过</w:t>
      </w:r>
      <w:r>
        <w:rPr>
          <w:rFonts w:hint="default" w:ascii="仿宋_GB2312" w:eastAsia="仿宋_GB2312"/>
          <w:color w:val="auto"/>
          <w:kern w:val="0"/>
          <w:sz w:val="32"/>
          <w:szCs w:val="32"/>
          <w:highlight w:val="none"/>
          <w:lang w:val="en"/>
        </w:rPr>
        <w:t>二百万元</w:t>
      </w:r>
      <w:r>
        <w:rPr>
          <w:rFonts w:hint="eastAsia" w:ascii="仿宋_GB2312" w:eastAsia="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三十</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航运服务业奖励。对上一年度在盐田区实际从事船舶交易、船舶检验、船舶管理、货船运输、邮轮管理、海洋工程、海洋电子信息、海事法律、海员培训和外派、船舶物料供应等一年以上且符合条件的企业或单位，给予五十万元一次性奖励，对经营状况良好且符合条件的企业给予一定经营</w:t>
      </w:r>
      <w:r>
        <w:rPr>
          <w:rFonts w:hint="eastAsia" w:ascii="仿宋_GB2312" w:eastAsia="仿宋_GB2312"/>
          <w:color w:val="auto"/>
          <w:kern w:val="0"/>
          <w:sz w:val="32"/>
          <w:szCs w:val="32"/>
          <w:highlight w:val="none"/>
          <w:lang w:eastAsia="zh-CN"/>
        </w:rPr>
        <w:t>奖励</w:t>
      </w:r>
      <w:r>
        <w:rPr>
          <w:rFonts w:hint="eastAsia" w:ascii="仿宋_GB2312" w:eastAsia="仿宋_GB2312"/>
          <w:color w:val="auto"/>
          <w:kern w:val="0"/>
          <w:sz w:val="32"/>
          <w:szCs w:val="32"/>
          <w:highlight w:val="none"/>
        </w:rPr>
        <w:t>，单个企业每年资助不超过</w:t>
      </w:r>
      <w:r>
        <w:rPr>
          <w:rFonts w:hint="default" w:ascii="仿宋_GB2312" w:eastAsia="仿宋_GB2312"/>
          <w:color w:val="auto"/>
          <w:kern w:val="0"/>
          <w:sz w:val="32"/>
          <w:szCs w:val="32"/>
          <w:highlight w:val="none"/>
          <w:lang w:val="en"/>
        </w:rPr>
        <w:t>二百万元</w:t>
      </w:r>
      <w:r>
        <w:rPr>
          <w:rFonts w:hint="eastAsia" w:ascii="仿宋_GB2312" w:eastAsia="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三十一</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国际航行船舶保税燃料加注业务奖励。对上一年度在盐田区实际从事国际航行船舶保税燃料供应业务且符合条件的企业给予一次性五十万元奖励。对从事国际航行船舶保税燃料油加注业务、保税液化天然气加注业务和</w:t>
      </w:r>
      <w:r>
        <w:rPr>
          <w:rFonts w:hint="eastAsia" w:ascii="仿宋_GB2312" w:eastAsia="仿宋_GB2312"/>
          <w:color w:val="auto"/>
          <w:kern w:val="0"/>
          <w:sz w:val="32"/>
          <w:szCs w:val="32"/>
          <w:highlight w:val="none"/>
          <w:lang w:eastAsia="zh-CN"/>
        </w:rPr>
        <w:t>绿色</w:t>
      </w:r>
      <w:r>
        <w:rPr>
          <w:rFonts w:hint="eastAsia" w:ascii="仿宋_GB2312" w:eastAsia="仿宋_GB2312"/>
          <w:color w:val="auto"/>
          <w:kern w:val="0"/>
          <w:sz w:val="32"/>
          <w:szCs w:val="32"/>
          <w:highlight w:val="none"/>
        </w:rPr>
        <w:t>甲醇加注业务且符合一定条件的企业给予一定奖励，单个企业每年资助分别不超过二百万元、三百万元。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三</w:t>
      </w:r>
      <w:r>
        <w:rPr>
          <w:rFonts w:hint="eastAsia" w:ascii="黑体" w:hAnsi="宋体" w:eastAsia="黑体" w:cs="黑体"/>
          <w:color w:val="auto"/>
          <w:kern w:val="0"/>
          <w:sz w:val="32"/>
          <w:szCs w:val="32"/>
          <w:highlight w:val="none"/>
        </w:rPr>
        <w:t>十</w:t>
      </w:r>
      <w:r>
        <w:rPr>
          <w:rFonts w:hint="eastAsia" w:ascii="黑体" w:hAnsi="宋体" w:eastAsia="黑体" w:cs="黑体"/>
          <w:color w:val="auto"/>
          <w:kern w:val="0"/>
          <w:sz w:val="32"/>
          <w:szCs w:val="32"/>
          <w:highlight w:val="none"/>
          <w:lang w:eastAsia="zh-CN"/>
        </w:rPr>
        <w:t>二</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国际航运公司经营奖励。对集装箱船舶运力全球排名在前二十以内（以国际航运咨询机构Alphaliner公布的运力排行榜为准）的航运企业或其</w:t>
      </w:r>
      <w:r>
        <w:rPr>
          <w:rFonts w:hint="eastAsia" w:ascii="仿宋_GB2312" w:eastAsia="仿宋_GB2312"/>
          <w:color w:val="auto"/>
          <w:kern w:val="0"/>
          <w:sz w:val="32"/>
          <w:szCs w:val="32"/>
          <w:highlight w:val="none"/>
          <w:lang w:eastAsia="zh-CN"/>
        </w:rPr>
        <w:t>绝对</w:t>
      </w:r>
      <w:r>
        <w:rPr>
          <w:rFonts w:hint="eastAsia" w:ascii="仿宋_GB2312" w:eastAsia="仿宋_GB2312"/>
          <w:color w:val="auto"/>
          <w:kern w:val="0"/>
          <w:sz w:val="32"/>
          <w:szCs w:val="32"/>
          <w:highlight w:val="none"/>
        </w:rPr>
        <w:t>控股</w:t>
      </w:r>
      <w:r>
        <w:rPr>
          <w:rFonts w:hint="eastAsia" w:ascii="仿宋_GB2312" w:eastAsia="仿宋_GB2312"/>
          <w:color w:val="auto"/>
          <w:kern w:val="0"/>
          <w:sz w:val="32"/>
          <w:szCs w:val="32"/>
          <w:highlight w:val="none"/>
          <w:lang w:eastAsia="zh-CN"/>
        </w:rPr>
        <w:t>的</w:t>
      </w:r>
      <w:r>
        <w:rPr>
          <w:rFonts w:hint="eastAsia" w:ascii="仿宋_GB2312" w:eastAsia="仿宋_GB2312"/>
          <w:color w:val="auto"/>
          <w:kern w:val="0"/>
          <w:sz w:val="32"/>
          <w:szCs w:val="32"/>
          <w:highlight w:val="none"/>
        </w:rPr>
        <w:t>公司，在盐田区实际从事经营活动，且符合一定条件的</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按一定标准给予一次性不超过一百万元的奖励。经营状况良好的，按一定标准给予企业运营奖励，最高不超过</w:t>
      </w:r>
      <w:r>
        <w:rPr>
          <w:rFonts w:hint="default" w:ascii="仿宋_GB2312" w:eastAsia="仿宋_GB2312"/>
          <w:color w:val="auto"/>
          <w:kern w:val="0"/>
          <w:sz w:val="32"/>
          <w:szCs w:val="32"/>
          <w:highlight w:val="none"/>
          <w:lang w:val="en"/>
        </w:rPr>
        <w:t>二百万元</w:t>
      </w:r>
      <w:r>
        <w:rPr>
          <w:rFonts w:hint="eastAsia" w:ascii="仿宋_GB2312" w:eastAsia="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三十三</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开通国际集装箱航线奖励。对在盐田港区增开直航至RCEP成员国、南美、中东、印巴等班轮航线（以下简称新兴市场航线）并稳定运营一年以上的航运企业，按最高</w:t>
      </w:r>
      <w:r>
        <w:rPr>
          <w:rFonts w:hint="eastAsia" w:ascii="仿宋_GB2312" w:eastAsia="仿宋_GB2312"/>
          <w:color w:val="auto"/>
          <w:kern w:val="0"/>
          <w:sz w:val="32"/>
          <w:szCs w:val="32"/>
          <w:highlight w:val="none"/>
          <w:lang w:eastAsia="zh-CN"/>
        </w:rPr>
        <w:t>二百</w:t>
      </w:r>
      <w:r>
        <w:rPr>
          <w:rFonts w:hint="eastAsia" w:ascii="仿宋_GB2312" w:eastAsia="仿宋_GB2312"/>
          <w:color w:val="auto"/>
          <w:kern w:val="0"/>
          <w:sz w:val="32"/>
          <w:szCs w:val="32"/>
          <w:highlight w:val="none"/>
        </w:rPr>
        <w:t>万元/航线分档给予一次性奖励。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黑体" w:hAnsi="宋体" w:eastAsia="黑体" w:cs="黑体"/>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三十四</w:t>
      </w:r>
      <w:r>
        <w:rPr>
          <w:rFonts w:hint="eastAsia" w:ascii="黑体" w:hAnsi="宋体" w:eastAsia="黑体" w:cs="黑体"/>
          <w:color w:val="auto"/>
          <w:kern w:val="0"/>
          <w:sz w:val="32"/>
          <w:szCs w:val="32"/>
          <w:highlight w:val="none"/>
        </w:rPr>
        <w:t xml:space="preserve">条 </w:t>
      </w:r>
      <w:r>
        <w:rPr>
          <w:rFonts w:hint="eastAsia" w:ascii="仿宋_GB2312" w:hAnsi="Times New Roman" w:eastAsia="仿宋_GB2312" w:cs="Times New Roman"/>
          <w:color w:val="auto"/>
          <w:kern w:val="0"/>
          <w:sz w:val="32"/>
          <w:szCs w:val="32"/>
          <w:highlight w:val="none"/>
        </w:rPr>
        <w:t>海铁联运资助。对上一年铁路运输的箱量达到</w:t>
      </w:r>
      <w:r>
        <w:rPr>
          <w:rFonts w:hint="eastAsia" w:ascii="仿宋_GB2312" w:eastAsia="仿宋_GB2312" w:cs="Times New Roman"/>
          <w:color w:val="auto"/>
          <w:kern w:val="0"/>
          <w:sz w:val="32"/>
          <w:szCs w:val="32"/>
          <w:highlight w:val="none"/>
          <w:lang w:eastAsia="zh-CN"/>
        </w:rPr>
        <w:t>二十</w:t>
      </w:r>
      <w:r>
        <w:rPr>
          <w:rFonts w:hint="eastAsia" w:ascii="仿宋_GB2312" w:hAnsi="Times New Roman" w:eastAsia="仿宋_GB2312" w:cs="Times New Roman"/>
          <w:color w:val="auto"/>
          <w:kern w:val="0"/>
          <w:sz w:val="32"/>
          <w:szCs w:val="32"/>
          <w:highlight w:val="none"/>
        </w:rPr>
        <w:t>万的企业，根据上一年完成箱量较前一年的增量，分别按省内</w:t>
      </w:r>
      <w:r>
        <w:rPr>
          <w:rFonts w:hint="eastAsia" w:ascii="仿宋_GB2312" w:eastAsia="仿宋_GB2312" w:cs="Times New Roman"/>
          <w:color w:val="auto"/>
          <w:kern w:val="0"/>
          <w:sz w:val="32"/>
          <w:szCs w:val="32"/>
          <w:highlight w:val="none"/>
          <w:lang w:eastAsia="zh-CN"/>
        </w:rPr>
        <w:t>一百</w:t>
      </w:r>
      <w:r>
        <w:rPr>
          <w:rFonts w:hint="eastAsia" w:ascii="仿宋_GB2312" w:hAnsi="Times New Roman" w:eastAsia="仿宋_GB2312" w:cs="Times New Roman"/>
          <w:color w:val="auto"/>
          <w:kern w:val="0"/>
          <w:sz w:val="32"/>
          <w:szCs w:val="32"/>
          <w:highlight w:val="none"/>
        </w:rPr>
        <w:t>元每标箱、省际</w:t>
      </w:r>
      <w:r>
        <w:rPr>
          <w:rFonts w:hint="eastAsia" w:ascii="仿宋_GB2312" w:eastAsia="仿宋_GB2312" w:cs="Times New Roman"/>
          <w:color w:val="auto"/>
          <w:kern w:val="0"/>
          <w:sz w:val="32"/>
          <w:szCs w:val="32"/>
          <w:highlight w:val="none"/>
          <w:lang w:eastAsia="zh-CN"/>
        </w:rPr>
        <w:t>一百五十</w:t>
      </w:r>
      <w:r>
        <w:rPr>
          <w:rFonts w:hint="eastAsia" w:ascii="仿宋_GB2312" w:hAnsi="Times New Roman" w:eastAsia="仿宋_GB2312" w:cs="Times New Roman"/>
          <w:color w:val="auto"/>
          <w:kern w:val="0"/>
          <w:sz w:val="32"/>
          <w:szCs w:val="32"/>
          <w:highlight w:val="none"/>
        </w:rPr>
        <w:t>元每标箱给予单个运输业务运营企业每年不超过</w:t>
      </w:r>
      <w:r>
        <w:rPr>
          <w:rFonts w:hint="eastAsia" w:ascii="仿宋_GB2312" w:eastAsia="仿宋_GB2312" w:cs="Times New Roman"/>
          <w:color w:val="auto"/>
          <w:kern w:val="0"/>
          <w:sz w:val="32"/>
          <w:szCs w:val="32"/>
          <w:highlight w:val="none"/>
          <w:lang w:eastAsia="zh-CN"/>
        </w:rPr>
        <w:t>四百</w:t>
      </w:r>
      <w:r>
        <w:rPr>
          <w:rFonts w:hint="eastAsia" w:ascii="仿宋_GB2312" w:hAnsi="Times New Roman" w:eastAsia="仿宋_GB2312" w:cs="Times New Roman"/>
          <w:color w:val="auto"/>
          <w:kern w:val="0"/>
          <w:sz w:val="32"/>
          <w:szCs w:val="32"/>
          <w:highlight w:val="none"/>
        </w:rPr>
        <w:t>万元资助。</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黑体" w:hAnsi="宋体" w:eastAsia="黑体" w:cs="黑体"/>
          <w:color w:val="auto"/>
          <w:kern w:val="0"/>
          <w:sz w:val="32"/>
          <w:szCs w:val="32"/>
          <w:highlight w:val="none"/>
        </w:rPr>
        <w:t>第三十</w:t>
      </w:r>
      <w:r>
        <w:rPr>
          <w:rFonts w:hint="eastAsia" w:ascii="黑体" w:hAnsi="宋体" w:eastAsia="黑体" w:cs="黑体"/>
          <w:color w:val="auto"/>
          <w:kern w:val="0"/>
          <w:sz w:val="32"/>
          <w:szCs w:val="32"/>
          <w:highlight w:val="none"/>
          <w:lang w:eastAsia="zh-CN"/>
        </w:rPr>
        <w:t>五</w:t>
      </w:r>
      <w:r>
        <w:rPr>
          <w:rFonts w:hint="eastAsia" w:ascii="黑体" w:hAnsi="宋体" w:eastAsia="黑体" w:cs="黑体"/>
          <w:color w:val="auto"/>
          <w:kern w:val="0"/>
          <w:sz w:val="32"/>
          <w:szCs w:val="32"/>
          <w:highlight w:val="none"/>
        </w:rPr>
        <w:t xml:space="preserve">条 </w:t>
      </w:r>
      <w:r>
        <w:rPr>
          <w:rFonts w:hint="eastAsia" w:ascii="仿宋_GB2312" w:hAnsi="Times New Roman" w:eastAsia="仿宋_GB2312" w:cs="Times New Roman"/>
          <w:color w:val="auto"/>
          <w:kern w:val="0"/>
          <w:sz w:val="32"/>
          <w:szCs w:val="32"/>
          <w:highlight w:val="none"/>
        </w:rPr>
        <w:t>海关货物查验监管场所建设资助。企业在上一年度建成满足海关查验货物并经海关验收的监管场所，其固定资产投资总额超五百万元的，按企业实际投入的百分之二十五给予一次性资助，单个项目资助不超过五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第三十</w:t>
      </w:r>
      <w:r>
        <w:rPr>
          <w:rFonts w:hint="eastAsia" w:ascii="黑体" w:hAnsi="宋体" w:eastAsia="黑体" w:cs="黑体"/>
          <w:color w:val="auto"/>
          <w:kern w:val="0"/>
          <w:sz w:val="32"/>
          <w:szCs w:val="32"/>
          <w:highlight w:val="none"/>
          <w:lang w:eastAsia="zh-CN"/>
        </w:rPr>
        <w:t>六</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企业开展物流领域升级改造项目资助。对企业上一年度开展码头智能化改造提升效率或对冷库实施制冷技术改造提高安全生产水平，其固定资产投资总额超五百万元的，按企业实际投入的百分之十给予资助</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单个项目</w:t>
      </w:r>
      <w:r>
        <w:rPr>
          <w:rFonts w:hint="eastAsia" w:ascii="仿宋_GB2312" w:eastAsia="仿宋_GB2312"/>
          <w:color w:val="auto"/>
          <w:kern w:val="0"/>
          <w:sz w:val="32"/>
          <w:szCs w:val="32"/>
          <w:highlight w:val="none"/>
          <w:lang w:eastAsia="zh-CN"/>
        </w:rPr>
        <w:t>资助</w:t>
      </w:r>
      <w:r>
        <w:rPr>
          <w:rFonts w:hint="eastAsia" w:ascii="仿宋_GB2312" w:eastAsia="仿宋_GB2312"/>
          <w:color w:val="auto"/>
          <w:kern w:val="0"/>
          <w:sz w:val="32"/>
          <w:szCs w:val="32"/>
          <w:highlight w:val="none"/>
        </w:rPr>
        <w:t>不超过</w:t>
      </w:r>
      <w:r>
        <w:rPr>
          <w:rFonts w:hint="default" w:ascii="仿宋_GB2312" w:eastAsia="仿宋_GB2312"/>
          <w:color w:val="auto"/>
          <w:kern w:val="0"/>
          <w:sz w:val="32"/>
          <w:szCs w:val="32"/>
          <w:highlight w:val="none"/>
          <w:lang w:val="en"/>
        </w:rPr>
        <w:t>二百万元</w:t>
      </w:r>
      <w:r>
        <w:rPr>
          <w:rFonts w:hint="eastAsia" w:ascii="仿宋_GB2312" w:eastAsia="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黑体" w:hAnsi="宋体" w:eastAsia="黑体" w:cs="黑体"/>
          <w:color w:val="auto"/>
          <w:kern w:val="0"/>
          <w:sz w:val="32"/>
          <w:szCs w:val="32"/>
          <w:highlight w:val="none"/>
        </w:rPr>
        <w:t>第三十</w:t>
      </w:r>
      <w:r>
        <w:rPr>
          <w:rFonts w:hint="eastAsia" w:ascii="黑体" w:hAnsi="宋体" w:eastAsia="黑体" w:cs="黑体"/>
          <w:color w:val="auto"/>
          <w:kern w:val="0"/>
          <w:sz w:val="32"/>
          <w:szCs w:val="32"/>
          <w:highlight w:val="none"/>
          <w:lang w:eastAsia="zh-CN"/>
        </w:rPr>
        <w:t>七</w:t>
      </w:r>
      <w:r>
        <w:rPr>
          <w:rFonts w:hint="eastAsia" w:ascii="黑体" w:hAnsi="宋体" w:eastAsia="黑体" w:cs="黑体"/>
          <w:color w:val="auto"/>
          <w:kern w:val="0"/>
          <w:sz w:val="32"/>
          <w:szCs w:val="32"/>
          <w:highlight w:val="none"/>
        </w:rPr>
        <w:t xml:space="preserve">条 </w:t>
      </w:r>
      <w:r>
        <w:rPr>
          <w:rFonts w:hint="eastAsia" w:ascii="仿宋_GB2312" w:eastAsia="仿宋_GB2312"/>
          <w:color w:val="auto"/>
          <w:kern w:val="0"/>
          <w:sz w:val="32"/>
          <w:szCs w:val="32"/>
          <w:highlight w:val="none"/>
        </w:rPr>
        <w:t>A级物流企业认证和AEO高级认证奖励。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一）对按照《物流企业分类与评估指标》（中华人民共和国国家标准GB/T19680—2005）新获得中国物流与采购联合会评估认证为“AAAA”“AAAAA”级且从未获得资助的物流企业，分别给予三十万元、五十万元奖励。已享受过认证奖励的企业，认证升级的按差额给予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（二）鼓励企业开展AEO海关高级认证。对获得深圳海关认定为AEO高级认证的企业，给予三十万元一次性奖励。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olor w:val="auto"/>
          <w:kern w:val="0"/>
          <w:sz w:val="32"/>
          <w:szCs w:val="32"/>
          <w:highlight w:val="none"/>
        </w:rPr>
      </w:pP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楷体_GB2312" w:eastAsia="楷体_GB2312"/>
          <w:color w:val="auto"/>
          <w:kern w:val="0"/>
          <w:sz w:val="32"/>
          <w:szCs w:val="32"/>
          <w:highlight w:val="none"/>
        </w:rPr>
      </w:pPr>
      <w:r>
        <w:rPr>
          <w:rFonts w:hint="eastAsia" w:ascii="楷体_GB2312" w:eastAsia="楷体_GB2312"/>
          <w:color w:val="auto"/>
          <w:kern w:val="0"/>
          <w:sz w:val="32"/>
          <w:szCs w:val="32"/>
          <w:highlight w:val="none"/>
        </w:rPr>
        <w:t>第二节 支持电子商务和现代时尚产业发展</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ascii="黑体" w:eastAsia="黑体" w:cs="黑体"/>
          <w:color w:val="auto"/>
          <w:sz w:val="32"/>
          <w:szCs w:val="32"/>
          <w:highlight w:val="none"/>
        </w:rPr>
        <w:t>第</w:t>
      </w:r>
      <w:r>
        <w:rPr>
          <w:rFonts w:hint="eastAsia" w:ascii="黑体" w:eastAsia="黑体" w:cs="黑体"/>
          <w:color w:val="auto"/>
          <w:sz w:val="32"/>
          <w:szCs w:val="32"/>
          <w:highlight w:val="none"/>
        </w:rPr>
        <w:t>三十</w:t>
      </w:r>
      <w:r>
        <w:rPr>
          <w:rFonts w:hint="eastAsia" w:ascii="黑体" w:eastAsia="黑体" w:cs="黑体"/>
          <w:color w:val="auto"/>
          <w:sz w:val="32"/>
          <w:szCs w:val="32"/>
          <w:highlight w:val="none"/>
          <w:lang w:eastAsia="zh-CN"/>
        </w:rPr>
        <w:t>八</w:t>
      </w:r>
      <w:r>
        <w:rPr>
          <w:rFonts w:ascii="黑体" w:eastAsia="黑体" w:cs="黑体"/>
          <w:color w:val="auto"/>
          <w:sz w:val="32"/>
          <w:szCs w:val="32"/>
          <w:highlight w:val="none"/>
        </w:rPr>
        <w:t>条</w:t>
      </w:r>
      <w:r>
        <w:rPr>
          <w:rFonts w:hint="eastAsia" w:ascii="黑体" w:eastAsia="黑体" w:cs="黑体"/>
          <w:color w:val="auto"/>
          <w:sz w:val="32"/>
          <w:szCs w:val="32"/>
          <w:highlight w:val="none"/>
        </w:rPr>
        <w:t xml:space="preserve"> </w:t>
      </w:r>
      <w:r>
        <w:rPr>
          <w:rFonts w:hint="eastAsia" w:ascii="仿宋_GB2312" w:hAnsi="仿宋_GB2312" w:eastAsia="仿宋_GB2312" w:cs="仿宋_GB2312"/>
          <w:color w:val="auto"/>
          <w:sz w:val="32"/>
          <w:szCs w:val="32"/>
          <w:highlight w:val="none"/>
        </w:rPr>
        <w:t>保税展示交易发展奖励。鼓励应用综合保税区保税展示交易政策，在盐田区打造保税展示交易中心，自首笔保税展示交易商品申报进口之日起持续经营且经营状况良好的，按一定标准给予企业奖励，最高不超过二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ascii="黑体" w:eastAsia="黑体" w:cs="黑体"/>
          <w:color w:val="auto"/>
          <w:sz w:val="32"/>
          <w:szCs w:val="32"/>
          <w:highlight w:val="none"/>
        </w:rPr>
        <w:t>第</w:t>
      </w:r>
      <w:r>
        <w:rPr>
          <w:rFonts w:hint="eastAsia" w:ascii="黑体" w:eastAsia="黑体" w:cs="黑体"/>
          <w:color w:val="auto"/>
          <w:sz w:val="32"/>
          <w:szCs w:val="32"/>
          <w:highlight w:val="none"/>
        </w:rPr>
        <w:t>三十</w:t>
      </w:r>
      <w:r>
        <w:rPr>
          <w:rFonts w:hint="eastAsia" w:ascii="黑体" w:eastAsia="黑体" w:cs="黑体"/>
          <w:color w:val="auto"/>
          <w:sz w:val="32"/>
          <w:szCs w:val="32"/>
          <w:highlight w:val="none"/>
          <w:lang w:eastAsia="zh-CN"/>
        </w:rPr>
        <w:t>九</w:t>
      </w:r>
      <w:r>
        <w:rPr>
          <w:rFonts w:ascii="黑体" w:eastAsia="黑体" w:cs="黑体"/>
          <w:color w:val="auto"/>
          <w:sz w:val="32"/>
          <w:szCs w:val="32"/>
          <w:highlight w:val="none"/>
        </w:rPr>
        <w:t>条</w:t>
      </w:r>
      <w:r>
        <w:rPr>
          <w:rFonts w:hint="eastAsia" w:ascii="黑体" w:eastAsia="黑体" w:cs="黑体"/>
          <w:color w:val="auto"/>
          <w:sz w:val="32"/>
          <w:szCs w:val="32"/>
          <w:highlight w:val="none"/>
        </w:rPr>
        <w:t xml:space="preserve"> </w:t>
      </w:r>
      <w:r>
        <w:rPr>
          <w:rFonts w:hint="eastAsia" w:ascii="仿宋_GB2312" w:hAnsi="仿宋_GB2312" w:eastAsia="仿宋_GB2312" w:cs="仿宋_GB2312"/>
          <w:color w:val="auto"/>
          <w:sz w:val="32"/>
          <w:szCs w:val="32"/>
          <w:highlight w:val="none"/>
        </w:rPr>
        <w:t>现代时尚产业发展</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现代时尚企业版权交易资助。鼓励黄金珠宝等现代时尚企业通过版权交易提升产品竞争力，对上一年度IP授权、品牌授权等版权交易支出一百万元以上的，按照支出总额的百分之十给予资助，最高不超过一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（二）现代时尚制造业企业销售公司</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对新在盐田区实际开展经营活动的</w:t>
      </w:r>
      <w:r>
        <w:rPr>
          <w:rFonts w:hint="eastAsia" w:ascii="仿宋_GB2312" w:hAnsi="仿宋_GB2312" w:eastAsia="仿宋_GB2312" w:cs="仿宋_GB2312"/>
          <w:color w:val="auto"/>
          <w:sz w:val="32"/>
          <w:szCs w:val="32"/>
          <w:highlight w:val="none"/>
        </w:rPr>
        <w:t>现代时尚制造业销售公司，</w:t>
      </w:r>
      <w:r>
        <w:rPr>
          <w:rFonts w:hint="eastAsia" w:ascii="仿宋_GB2312" w:hAnsi="仿宋_GB2312" w:eastAsia="仿宋_GB2312" w:cs="仿宋_GB2312"/>
          <w:color w:val="auto"/>
          <w:sz w:val="32"/>
          <w:szCs w:val="32"/>
          <w:highlight w:val="none"/>
          <w:lang w:eastAsia="zh-CN"/>
        </w:rPr>
        <w:t>其</w:t>
      </w:r>
      <w:r>
        <w:rPr>
          <w:rFonts w:hint="eastAsia" w:ascii="仿宋_GB2312" w:hAnsi="仿宋_GB2312" w:eastAsia="仿宋_GB2312" w:cs="仿宋_GB2312"/>
          <w:color w:val="auto"/>
          <w:sz w:val="32"/>
          <w:szCs w:val="32"/>
          <w:highlight w:val="none"/>
        </w:rPr>
        <w:t>当年度经营状况良好的，按照一定标准给予</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，单个企业资助上限为</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百万元。</w:t>
      </w: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楷体_GB2312" w:eastAsia="楷体_GB2312"/>
          <w:color w:val="auto"/>
          <w:kern w:val="0"/>
          <w:sz w:val="32"/>
          <w:szCs w:val="32"/>
          <w:highlight w:val="none"/>
        </w:rPr>
      </w:pP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楷体_GB2312" w:eastAsia="楷体_GB2312"/>
          <w:color w:val="auto"/>
          <w:kern w:val="0"/>
          <w:sz w:val="32"/>
          <w:szCs w:val="32"/>
          <w:highlight w:val="none"/>
        </w:rPr>
      </w:pPr>
      <w:r>
        <w:rPr>
          <w:rFonts w:hint="eastAsia" w:ascii="楷体_GB2312" w:eastAsia="楷体_GB2312"/>
          <w:color w:val="auto"/>
          <w:kern w:val="0"/>
          <w:sz w:val="32"/>
          <w:szCs w:val="32"/>
          <w:highlight w:val="none"/>
        </w:rPr>
        <w:t>第三节 支持</w:t>
      </w:r>
      <w:r>
        <w:rPr>
          <w:rFonts w:hint="eastAsia" w:ascii="楷体_GB2312" w:eastAsia="楷体_GB2312"/>
          <w:color w:val="auto"/>
          <w:kern w:val="0"/>
          <w:sz w:val="32"/>
          <w:szCs w:val="32"/>
          <w:highlight w:val="none"/>
          <w:lang w:eastAsia="zh-CN"/>
        </w:rPr>
        <w:t>深港</w:t>
      </w:r>
      <w:r>
        <w:rPr>
          <w:rFonts w:hint="eastAsia" w:ascii="楷体_GB2312" w:eastAsia="楷体_GB2312"/>
          <w:color w:val="auto"/>
          <w:kern w:val="0"/>
          <w:sz w:val="32"/>
          <w:szCs w:val="32"/>
          <w:highlight w:val="none"/>
        </w:rPr>
        <w:t>消费和</w:t>
      </w:r>
      <w:r>
        <w:rPr>
          <w:rFonts w:hint="eastAsia" w:ascii="楷体_GB2312" w:eastAsia="楷体_GB2312"/>
          <w:color w:val="auto"/>
          <w:kern w:val="0"/>
          <w:sz w:val="32"/>
          <w:szCs w:val="32"/>
          <w:highlight w:val="none"/>
          <w:lang w:eastAsia="zh-CN"/>
        </w:rPr>
        <w:t>商业高端化</w:t>
      </w:r>
      <w:r>
        <w:rPr>
          <w:rFonts w:hint="eastAsia" w:ascii="楷体_GB2312" w:eastAsia="楷体_GB2312"/>
          <w:color w:val="auto"/>
          <w:kern w:val="0"/>
          <w:sz w:val="32"/>
          <w:szCs w:val="32"/>
          <w:highlight w:val="none"/>
        </w:rPr>
        <w:t>发展</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eastAsia="黑体" w:cs="黑体"/>
          <w:color w:val="auto"/>
          <w:sz w:val="32"/>
          <w:szCs w:val="32"/>
          <w:highlight w:val="none"/>
        </w:rPr>
        <w:t>第</w:t>
      </w:r>
      <w:r>
        <w:rPr>
          <w:rFonts w:hint="eastAsia" w:ascii="黑体" w:eastAsia="黑体" w:cs="黑体"/>
          <w:color w:val="auto"/>
          <w:sz w:val="32"/>
          <w:szCs w:val="32"/>
          <w:highlight w:val="none"/>
          <w:lang w:eastAsia="zh-CN"/>
        </w:rPr>
        <w:t>四十</w:t>
      </w:r>
      <w:r>
        <w:rPr>
          <w:rFonts w:hint="eastAsia" w:ascii="黑体" w:eastAsia="黑体" w:cs="黑体"/>
          <w:color w:val="auto"/>
          <w:sz w:val="32"/>
          <w:szCs w:val="32"/>
          <w:highlight w:val="none"/>
        </w:rPr>
        <w:t xml:space="preserve">条 </w:t>
      </w:r>
      <w:r>
        <w:rPr>
          <w:rFonts w:hint="eastAsia" w:ascii="仿宋_GB2312" w:hAnsi="仿宋_GB2312" w:eastAsia="仿宋_GB2312" w:cs="仿宋_GB2312"/>
          <w:color w:val="auto"/>
          <w:sz w:val="32"/>
          <w:szCs w:val="32"/>
          <w:highlight w:val="none"/>
        </w:rPr>
        <w:t>港人港企</w:t>
      </w:r>
      <w:r>
        <w:rPr>
          <w:rFonts w:hint="eastAsia" w:ascii="仿宋_GB2312" w:hAnsi="仿宋_GB2312" w:eastAsia="仿宋_GB2312" w:cs="仿宋_GB2312"/>
          <w:b w:val="0"/>
          <w:bCs w:val="0"/>
          <w:color w:val="auto"/>
          <w:sz w:val="32"/>
          <w:szCs w:val="32"/>
          <w:highlight w:val="none"/>
        </w:rPr>
        <w:t>支持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支持中华老字号</w:t>
      </w:r>
      <w:r>
        <w:rPr>
          <w:rFonts w:hint="eastAsia" w:ascii="仿宋_GB2312" w:hAnsi="仿宋_GB2312" w:eastAsia="仿宋_GB2312" w:cs="仿宋_GB2312"/>
          <w:color w:val="auto"/>
          <w:sz w:val="32"/>
          <w:szCs w:val="32"/>
          <w:highlight w:val="none"/>
        </w:rPr>
        <w:t>、香港本土老字号、米其林、黑珍珠等餐饮品牌和</w:t>
      </w:r>
      <w:r>
        <w:rPr>
          <w:rFonts w:hint="eastAsia" w:ascii="仿宋_GB2312" w:hAnsi="仿宋_GB2312" w:eastAsia="仿宋_GB2312" w:cs="仿宋_GB2312"/>
          <w:color w:val="auto"/>
          <w:sz w:val="32"/>
          <w:szCs w:val="32"/>
          <w:highlight w:val="none"/>
          <w:lang w:eastAsia="zh-CN"/>
        </w:rPr>
        <w:t>国内外</w:t>
      </w:r>
      <w:r>
        <w:rPr>
          <w:rFonts w:hint="eastAsia" w:ascii="仿宋_GB2312" w:hAnsi="仿宋_GB2312" w:eastAsia="仿宋_GB2312" w:cs="仿宋_GB2312"/>
          <w:color w:val="auto"/>
          <w:sz w:val="32"/>
          <w:szCs w:val="32"/>
          <w:highlight w:val="none"/>
        </w:rPr>
        <w:t>知名零售品牌</w:t>
      </w:r>
      <w:r>
        <w:rPr>
          <w:rFonts w:hint="eastAsia" w:ascii="仿宋_GB2312" w:hAnsi="仿宋_GB2312" w:eastAsia="仿宋_GB2312" w:cs="仿宋_GB2312"/>
          <w:color w:val="auto"/>
          <w:sz w:val="32"/>
          <w:szCs w:val="32"/>
          <w:highlight w:val="none"/>
          <w:lang w:eastAsia="zh-CN"/>
        </w:rPr>
        <w:t>在盐田区布局</w:t>
      </w:r>
      <w:r>
        <w:rPr>
          <w:rFonts w:hint="eastAsia" w:ascii="仿宋_GB2312" w:hAnsi="仿宋_GB2312" w:eastAsia="仿宋_GB2312" w:cs="仿宋_GB2312"/>
          <w:color w:val="auto"/>
          <w:sz w:val="32"/>
          <w:szCs w:val="32"/>
          <w:highlight w:val="none"/>
        </w:rPr>
        <w:t>，给予最高</w:t>
      </w:r>
      <w:r>
        <w:rPr>
          <w:rFonts w:hint="eastAsia" w:ascii="仿宋_GB2312" w:hAnsi="仿宋_GB2312" w:eastAsia="仿宋_GB2312" w:cs="仿宋_GB2312"/>
          <w:color w:val="auto"/>
          <w:sz w:val="32"/>
          <w:szCs w:val="32"/>
          <w:highlight w:val="none"/>
          <w:lang w:eastAsia="zh-CN"/>
        </w:rPr>
        <w:t>一千</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扶持。</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四</w:t>
      </w:r>
      <w:r>
        <w:rPr>
          <w:rFonts w:hint="eastAsia" w:ascii="黑体" w:hAnsi="宋体" w:eastAsia="黑体" w:cs="黑体"/>
          <w:color w:val="auto"/>
          <w:kern w:val="0"/>
          <w:sz w:val="32"/>
          <w:szCs w:val="32"/>
          <w:highlight w:val="none"/>
        </w:rPr>
        <w:t>十</w:t>
      </w:r>
      <w:r>
        <w:rPr>
          <w:rFonts w:hint="eastAsia" w:ascii="黑体" w:hAnsi="宋体" w:eastAsia="黑体" w:cs="黑体"/>
          <w:color w:val="auto"/>
          <w:kern w:val="0"/>
          <w:sz w:val="32"/>
          <w:szCs w:val="32"/>
          <w:highlight w:val="none"/>
          <w:lang w:eastAsia="zh-CN"/>
        </w:rPr>
        <w:t>一</w:t>
      </w:r>
      <w:r>
        <w:rPr>
          <w:rFonts w:hint="eastAsia" w:ascii="黑体" w:hAnsi="宋体" w:eastAsia="黑体" w:cs="黑体"/>
          <w:color w:val="auto"/>
          <w:kern w:val="0"/>
          <w:sz w:val="32"/>
          <w:szCs w:val="32"/>
          <w:highlight w:val="none"/>
        </w:rPr>
        <w:t xml:space="preserve">条 </w:t>
      </w:r>
      <w:r>
        <w:rPr>
          <w:rFonts w:hint="eastAsia" w:ascii="仿宋_GB2312" w:eastAsia="仿宋_GB2312" w:cs="仿宋_GB2312"/>
          <w:color w:val="auto"/>
          <w:kern w:val="0"/>
          <w:sz w:val="32"/>
          <w:szCs w:val="32"/>
          <w:highlight w:val="none"/>
        </w:rPr>
        <w:t>“首店（发）经济”支持。</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eastAsia="仿宋_GB2312" w:cs="仿宋_GB2312"/>
          <w:color w:val="auto"/>
          <w:kern w:val="0"/>
          <w:sz w:val="32"/>
          <w:szCs w:val="32"/>
          <w:highlight w:val="none"/>
          <w:lang w:eastAsia="zh-CN"/>
        </w:rPr>
        <w:t>（一）</w:t>
      </w:r>
      <w:r>
        <w:rPr>
          <w:rFonts w:hint="eastAsia" w:ascii="仿宋_GB2312" w:hAnsi="仿宋_GB2312" w:eastAsia="仿宋_GB2312" w:cs="仿宋_GB2312"/>
          <w:bCs/>
          <w:color w:val="auto"/>
          <w:kern w:val="2"/>
          <w:sz w:val="32"/>
          <w:szCs w:val="32"/>
          <w:highlight w:val="none"/>
          <w:lang w:val="en-US" w:eastAsia="zh-CN" w:bidi="ar-SA"/>
        </w:rPr>
        <w:t>鼓励国内外知名</w:t>
      </w:r>
      <w:r>
        <w:rPr>
          <w:rFonts w:hint="eastAsia" w:ascii="仿宋_GB2312" w:hAnsi="华文仿宋" w:eastAsia="仿宋_GB2312" w:cstheme="minorBidi"/>
          <w:color w:val="auto"/>
          <w:kern w:val="0"/>
          <w:sz w:val="32"/>
          <w:szCs w:val="32"/>
          <w:highlight w:val="none"/>
          <w:lang w:val="en-US" w:eastAsia="zh-CN" w:bidi="ar-SA"/>
        </w:rPr>
        <w:t>零售、餐饮消费</w:t>
      </w:r>
      <w:r>
        <w:rPr>
          <w:rFonts w:hint="eastAsia" w:ascii="仿宋_GB2312" w:hAnsi="仿宋_GB2312" w:eastAsia="仿宋_GB2312" w:cs="仿宋_GB2312"/>
          <w:bCs/>
          <w:color w:val="auto"/>
          <w:kern w:val="2"/>
          <w:sz w:val="32"/>
          <w:szCs w:val="32"/>
          <w:highlight w:val="none"/>
          <w:lang w:val="en-US" w:eastAsia="zh-CN" w:bidi="ar-SA"/>
        </w:rPr>
        <w:t>品牌在盐田区布局深圳、盐田首店，分档给予最高一千万元扶持。</w:t>
      </w:r>
      <w:r>
        <w:rPr>
          <w:rFonts w:hint="eastAsia" w:ascii="仿宋_GB2312" w:hAnsi="仿宋_GB2312" w:eastAsia="仿宋_GB2312" w:cs="仿宋_GB2312"/>
          <w:bCs/>
          <w:color w:val="auto"/>
          <w:kern w:val="2"/>
          <w:sz w:val="32"/>
          <w:szCs w:val="32"/>
          <w:highlight w:val="none"/>
          <w:u w:val="none"/>
          <w:lang w:val="en-US" w:eastAsia="zh-CN" w:bidi="ar-SA"/>
        </w:rPr>
        <w:t>本项不与第四十条同时享受；</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lang w:eastAsia="zh-CN"/>
        </w:rPr>
        <w:t>（二）</w:t>
      </w:r>
      <w:r>
        <w:rPr>
          <w:rFonts w:hint="eastAsia" w:ascii="仿宋_GB2312" w:hAnsi="Times New Roman" w:eastAsia="仿宋_GB2312" w:cs="仿宋_GB2312"/>
          <w:color w:val="auto"/>
          <w:kern w:val="0"/>
          <w:sz w:val="32"/>
          <w:szCs w:val="32"/>
          <w:highlight w:val="none"/>
          <w:lang w:val="en-US" w:eastAsia="zh-CN"/>
        </w:rPr>
        <w:t>鼓励国内外知名零售、餐饮等消费品牌在盐田</w:t>
      </w:r>
      <w:r>
        <w:rPr>
          <w:rFonts w:hint="eastAsia" w:ascii="仿宋_GB2312" w:eastAsia="仿宋_GB2312" w:cs="仿宋_GB2312"/>
          <w:color w:val="auto"/>
          <w:kern w:val="0"/>
          <w:sz w:val="32"/>
          <w:szCs w:val="32"/>
          <w:highlight w:val="none"/>
          <w:lang w:val="en-US" w:eastAsia="zh-CN"/>
        </w:rPr>
        <w:t>区</w:t>
      </w:r>
      <w:r>
        <w:rPr>
          <w:rFonts w:hint="eastAsia" w:ascii="仿宋_GB2312" w:hAnsi="Times New Roman" w:eastAsia="仿宋_GB2312" w:cs="仿宋_GB2312"/>
          <w:color w:val="auto"/>
          <w:kern w:val="0"/>
          <w:sz w:val="32"/>
          <w:szCs w:val="32"/>
          <w:highlight w:val="none"/>
          <w:lang w:val="en-US" w:eastAsia="zh-CN"/>
        </w:rPr>
        <w:t>举办品牌首发仪式，给予最高</w:t>
      </w:r>
      <w:r>
        <w:rPr>
          <w:rFonts w:hint="eastAsia" w:ascii="仿宋_GB2312" w:eastAsia="仿宋_GB2312" w:cs="仿宋_GB2312"/>
          <w:color w:val="auto"/>
          <w:kern w:val="0"/>
          <w:sz w:val="32"/>
          <w:szCs w:val="32"/>
          <w:highlight w:val="none"/>
          <w:lang w:val="en-US" w:eastAsia="zh-CN"/>
        </w:rPr>
        <w:t>一百</w:t>
      </w:r>
      <w:r>
        <w:rPr>
          <w:rFonts w:hint="eastAsia" w:ascii="仿宋_GB2312" w:hAnsi="Times New Roman" w:eastAsia="仿宋_GB2312" w:cs="仿宋_GB2312"/>
          <w:color w:val="auto"/>
          <w:kern w:val="0"/>
          <w:sz w:val="32"/>
          <w:szCs w:val="32"/>
          <w:highlight w:val="none"/>
          <w:lang w:val="en-US" w:eastAsia="zh-CN"/>
        </w:rPr>
        <w:t>万元</w:t>
      </w:r>
      <w:r>
        <w:rPr>
          <w:rFonts w:hint="eastAsia" w:ascii="仿宋_GB2312" w:eastAsia="仿宋_GB2312" w:cs="仿宋_GB2312"/>
          <w:color w:val="auto"/>
          <w:kern w:val="0"/>
          <w:sz w:val="32"/>
          <w:szCs w:val="32"/>
          <w:highlight w:val="none"/>
          <w:lang w:val="en-US" w:eastAsia="zh-CN"/>
        </w:rPr>
        <w:t>资助</w:t>
      </w:r>
      <w:r>
        <w:rPr>
          <w:rFonts w:hint="eastAsia" w:ascii="仿宋_GB2312" w:hAnsi="Times New Roman" w:eastAsia="仿宋_GB2312" w:cs="仿宋_GB2312"/>
          <w:color w:val="auto"/>
          <w:kern w:val="0"/>
          <w:sz w:val="32"/>
          <w:szCs w:val="32"/>
          <w:highlight w:val="none"/>
          <w:lang w:val="en-US"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四十二</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联合招商支持。</w:t>
      </w:r>
      <w:r>
        <w:rPr>
          <w:rFonts w:hint="eastAsia" w:ascii="仿宋_GB2312" w:hAnsi="仿宋_GB2312" w:eastAsia="仿宋_GB2312" w:cs="仿宋_GB2312"/>
          <w:bCs/>
          <w:color w:val="auto"/>
          <w:kern w:val="2"/>
          <w:sz w:val="32"/>
          <w:szCs w:val="32"/>
          <w:highlight w:val="none"/>
          <w:lang w:val="en-US" w:eastAsia="zh-CN" w:bidi="ar-SA"/>
        </w:rPr>
        <w:t>鼓励商协会组织、商事主体和商铺业主等招引国内外知名</w:t>
      </w:r>
      <w:r>
        <w:rPr>
          <w:rFonts w:hint="eastAsia" w:ascii="仿宋_GB2312" w:hAnsi="华文仿宋" w:eastAsia="仿宋_GB2312" w:cstheme="minorBidi"/>
          <w:color w:val="auto"/>
          <w:kern w:val="0"/>
          <w:sz w:val="32"/>
          <w:szCs w:val="32"/>
          <w:highlight w:val="none"/>
          <w:lang w:val="en-US" w:eastAsia="zh-CN" w:bidi="ar-SA"/>
        </w:rPr>
        <w:t>零售、餐饮消费</w:t>
      </w:r>
      <w:r>
        <w:rPr>
          <w:rFonts w:hint="eastAsia" w:ascii="仿宋_GB2312" w:hAnsi="仿宋_GB2312" w:eastAsia="仿宋_GB2312" w:cs="仿宋_GB2312"/>
          <w:bCs/>
          <w:color w:val="auto"/>
          <w:kern w:val="2"/>
          <w:sz w:val="32"/>
          <w:szCs w:val="32"/>
          <w:highlight w:val="none"/>
          <w:lang w:val="en-US" w:eastAsia="zh-CN" w:bidi="ar-SA"/>
        </w:rPr>
        <w:t>品牌在盐田区布局深圳、盐田首店，分档给予</w:t>
      </w:r>
      <w:r>
        <w:rPr>
          <w:rFonts w:hint="eastAsia" w:ascii="Times New Roman" w:hAnsi="Times New Roman" w:eastAsia="仿宋_GB2312" w:cs="仿宋_GB2312"/>
          <w:color w:val="auto"/>
          <w:sz w:val="32"/>
          <w:szCs w:val="32"/>
          <w:highlight w:val="none"/>
          <w:lang w:eastAsia="zh-CN"/>
        </w:rPr>
        <w:t>每</w:t>
      </w:r>
      <w:r>
        <w:rPr>
          <w:rFonts w:hint="eastAsia" w:ascii="仿宋_GB2312" w:hAnsi="仿宋_GB2312" w:eastAsia="仿宋_GB2312" w:cs="仿宋_GB2312"/>
          <w:bCs/>
          <w:color w:val="auto"/>
          <w:kern w:val="2"/>
          <w:sz w:val="32"/>
          <w:szCs w:val="32"/>
          <w:highlight w:val="none"/>
          <w:lang w:val="en-US" w:eastAsia="zh-CN" w:bidi="ar-SA"/>
        </w:rPr>
        <w:t>年最高一百万元奖励。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四十三</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硬件提升、环境改造支持。</w:t>
      </w:r>
      <w:r>
        <w:rPr>
          <w:rFonts w:hint="eastAsia" w:ascii="仿宋_GB2312" w:hAnsi="仿宋_GB2312" w:eastAsia="仿宋_GB2312" w:cs="仿宋_GB2312"/>
          <w:bCs/>
          <w:color w:val="auto"/>
          <w:kern w:val="2"/>
          <w:sz w:val="32"/>
          <w:szCs w:val="32"/>
          <w:highlight w:val="none"/>
          <w:lang w:val="en-US" w:eastAsia="zh-CN" w:bidi="ar-SA"/>
        </w:rPr>
        <w:t>鼓励商业综合体、商业街区运营单位对商业设施进行硬件提升、环境改造，分档给予最高一百万元的装修、设备购置、工程改造等资助</w:t>
      </w:r>
      <w:r>
        <w:rPr>
          <w:rFonts w:hint="default" w:ascii="仿宋_GB2312" w:hAnsi="仿宋_GB2312" w:eastAsia="仿宋_GB2312" w:cs="仿宋_GB2312"/>
          <w:bCs/>
          <w:color w:val="auto"/>
          <w:kern w:val="2"/>
          <w:sz w:val="32"/>
          <w:szCs w:val="32"/>
          <w:highlight w:val="none"/>
          <w:lang w:val="en-US" w:eastAsia="zh-CN" w:bidi="ar-SA"/>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四十四</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品牌培育支持。</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（一）支持盐田区消费品牌提升经营管理水平、扩大品牌影响力，对入选深圳市“品牌瞪羚计划”“深商卓越计划”，符合政策支持条件的，分档给予最高</w:t>
      </w:r>
      <w:r>
        <w:rPr>
          <w:rFonts w:hint="eastAsia" w:ascii="仿宋_GB2312" w:hAnsi="仿宋" w:eastAsia="仿宋_GB2312"/>
          <w:color w:val="auto"/>
          <w:sz w:val="32"/>
          <w:szCs w:val="32"/>
          <w:highlight w:val="none"/>
          <w:lang w:eastAsia="zh-CN"/>
        </w:rPr>
        <w:t>一百</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奖励</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olor w:val="auto"/>
          <w:sz w:val="32"/>
          <w:szCs w:val="32"/>
          <w:highlight w:val="none"/>
        </w:rPr>
        <w:t>（二）支持本土品牌扩张经营，鼓励消费品牌和网红业态</w:t>
      </w:r>
      <w:r>
        <w:rPr>
          <w:rFonts w:hint="eastAsia" w:ascii="仿宋_GB2312" w:hAnsi="仿宋" w:eastAsia="仿宋_GB2312"/>
          <w:color w:val="auto"/>
          <w:sz w:val="32"/>
          <w:szCs w:val="32"/>
          <w:highlight w:val="none"/>
          <w:lang w:eastAsia="zh-CN"/>
        </w:rPr>
        <w:t>来盐田区</w:t>
      </w:r>
      <w:r>
        <w:rPr>
          <w:rFonts w:hint="eastAsia" w:ascii="仿宋_GB2312" w:hAnsi="仿宋" w:eastAsia="仿宋_GB2312"/>
          <w:color w:val="auto"/>
          <w:sz w:val="32"/>
          <w:szCs w:val="32"/>
          <w:highlight w:val="none"/>
        </w:rPr>
        <w:t>布局，对经认定的品牌新</w:t>
      </w:r>
      <w:r>
        <w:rPr>
          <w:rFonts w:hint="eastAsia" w:ascii="仿宋_GB2312" w:hAnsi="仿宋" w:eastAsia="仿宋_GB2312"/>
          <w:color w:val="auto"/>
          <w:sz w:val="32"/>
          <w:szCs w:val="32"/>
          <w:highlight w:val="none"/>
          <w:lang w:eastAsia="zh-CN"/>
        </w:rPr>
        <w:t>开</w:t>
      </w:r>
      <w:r>
        <w:rPr>
          <w:rFonts w:hint="eastAsia" w:ascii="仿宋_GB2312" w:hAnsi="仿宋" w:eastAsia="仿宋_GB2312"/>
          <w:color w:val="auto"/>
          <w:sz w:val="32"/>
          <w:szCs w:val="32"/>
          <w:highlight w:val="none"/>
        </w:rPr>
        <w:t>门店，</w:t>
      </w:r>
      <w:r>
        <w:rPr>
          <w:rFonts w:hint="eastAsia" w:ascii="仿宋_GB2312" w:hAnsi="仿宋_GB2312" w:eastAsia="仿宋_GB2312" w:cs="仿宋_GB2312"/>
          <w:bCs/>
          <w:color w:val="auto"/>
          <w:kern w:val="2"/>
          <w:sz w:val="32"/>
          <w:szCs w:val="32"/>
          <w:highlight w:val="none"/>
          <w:lang w:val="en-US" w:eastAsia="zh-CN" w:bidi="ar-SA"/>
        </w:rPr>
        <w:t>分档给予单个企业最高一百万元的装修、设备购置资助</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四十五</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特色商圈（步行街）、夜间经济示范区支持。</w:t>
      </w:r>
      <w:r>
        <w:rPr>
          <w:rFonts w:hint="eastAsia" w:ascii="仿宋_GB2312" w:hAnsi="仿宋_GB2312" w:eastAsia="仿宋_GB2312" w:cs="仿宋_GB2312"/>
          <w:bCs/>
          <w:color w:val="auto"/>
          <w:kern w:val="2"/>
          <w:sz w:val="32"/>
          <w:szCs w:val="32"/>
          <w:highlight w:val="none"/>
          <w:lang w:val="en-US" w:eastAsia="zh-CN" w:bidi="ar-SA"/>
        </w:rPr>
        <w:t>对获得深圳市政策支持新建或改造的特色商圈（步行街）或夜间经济示范街区，按其获得市级资金支持金额，给予1:1配套，最高一千万元奖励。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both"/>
        <w:textAlignment w:val="auto"/>
        <w:rPr>
          <w:rFonts w:hint="eastAsia" w:ascii="楷体_GB2312" w:eastAsia="楷体_GB2312"/>
          <w:color w:val="auto"/>
          <w:kern w:val="0"/>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四十六</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促消费活动支持。</w:t>
      </w:r>
      <w:r>
        <w:rPr>
          <w:rFonts w:hint="eastAsia" w:ascii="仿宋_GB2312" w:hAnsi="仿宋_GB2312" w:eastAsia="仿宋_GB2312" w:cs="仿宋_GB2312"/>
          <w:bCs/>
          <w:color w:val="auto"/>
          <w:kern w:val="2"/>
          <w:sz w:val="32"/>
          <w:szCs w:val="32"/>
          <w:highlight w:val="none"/>
          <w:lang w:val="en-US" w:eastAsia="zh-CN" w:bidi="ar-SA"/>
        </w:rPr>
        <w:t>支持商业综合体、商业街区运营单位结合重要节假日开展各类促消费活动，分档给予每年最高一百万元资助。</w:t>
      </w: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楷体_GB2312" w:eastAsia="楷体_GB2312"/>
          <w:color w:val="auto"/>
          <w:kern w:val="0"/>
          <w:sz w:val="32"/>
          <w:szCs w:val="32"/>
          <w:highlight w:val="none"/>
        </w:rPr>
      </w:pP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楷体_GB2312" w:eastAsia="楷体_GB2312"/>
          <w:color w:val="auto"/>
          <w:kern w:val="0"/>
          <w:sz w:val="32"/>
          <w:szCs w:val="32"/>
          <w:highlight w:val="none"/>
        </w:rPr>
      </w:pPr>
      <w:r>
        <w:rPr>
          <w:rFonts w:hint="eastAsia" w:ascii="楷体_GB2312" w:eastAsia="楷体_GB2312"/>
          <w:color w:val="auto"/>
          <w:kern w:val="0"/>
          <w:sz w:val="32"/>
          <w:szCs w:val="32"/>
          <w:highlight w:val="none"/>
        </w:rPr>
        <w:t>第</w:t>
      </w:r>
      <w:r>
        <w:rPr>
          <w:rFonts w:hint="eastAsia" w:ascii="楷体_GB2312" w:eastAsia="楷体_GB2312"/>
          <w:color w:val="auto"/>
          <w:kern w:val="0"/>
          <w:sz w:val="32"/>
          <w:szCs w:val="32"/>
          <w:highlight w:val="none"/>
          <w:lang w:eastAsia="zh-CN"/>
        </w:rPr>
        <w:t>四</w:t>
      </w:r>
      <w:r>
        <w:rPr>
          <w:rFonts w:hint="eastAsia" w:ascii="楷体_GB2312" w:eastAsia="楷体_GB2312"/>
          <w:color w:val="auto"/>
          <w:kern w:val="0"/>
          <w:sz w:val="32"/>
          <w:szCs w:val="32"/>
          <w:highlight w:val="none"/>
        </w:rPr>
        <w:t>节 支持文旅消费和数字创意产业发展</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eastAsia="黑体" w:cs="黑体"/>
          <w:color w:val="auto"/>
          <w:sz w:val="32"/>
          <w:szCs w:val="32"/>
          <w:highlight w:val="none"/>
        </w:rPr>
        <w:t>第</w:t>
      </w:r>
      <w:r>
        <w:rPr>
          <w:rFonts w:hint="eastAsia" w:ascii="黑体" w:eastAsia="黑体" w:cs="黑体"/>
          <w:color w:val="auto"/>
          <w:sz w:val="32"/>
          <w:szCs w:val="32"/>
          <w:highlight w:val="none"/>
          <w:lang w:eastAsia="zh-CN"/>
        </w:rPr>
        <w:t>四十七</w:t>
      </w:r>
      <w:r>
        <w:rPr>
          <w:rFonts w:hint="eastAsia" w:ascii="黑体" w:eastAsia="黑体" w:cs="黑体"/>
          <w:color w:val="auto"/>
          <w:sz w:val="32"/>
          <w:szCs w:val="32"/>
          <w:highlight w:val="none"/>
        </w:rPr>
        <w:t xml:space="preserve">条 </w:t>
      </w:r>
      <w:r>
        <w:rPr>
          <w:rFonts w:hint="eastAsia" w:ascii="仿宋_GB2312" w:hAnsi="仿宋_GB2312" w:eastAsia="仿宋_GB2312" w:cs="仿宋_GB2312"/>
          <w:color w:val="auto"/>
          <w:sz w:val="32"/>
          <w:szCs w:val="32"/>
          <w:highlight w:val="none"/>
        </w:rPr>
        <w:t>知名文旅品牌引入扶持。</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（一）支持企业引入知名品牌酒店或集团管理模式。对正常运营一年以上，两个自然年度内任一年度达到条件的企业，按一定标准给予一次性不超过二百万元的奖励</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tabs>
          <w:tab w:val="left" w:pos="5250"/>
        </w:tabs>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（二）支持</w:t>
      </w:r>
      <w:r>
        <w:rPr>
          <w:rFonts w:hint="eastAsia" w:ascii="仿宋_GB2312" w:hAnsi="仿宋_GB2312" w:eastAsia="仿宋_GB2312" w:cs="仿宋_GB2312"/>
          <w:color w:val="auto"/>
          <w:sz w:val="32"/>
          <w:szCs w:val="32"/>
          <w:highlight w:val="none"/>
          <w:lang w:val="en-US" w:eastAsia="zh-CN"/>
        </w:rPr>
        <w:t>民宿、露营地等住宿业布局建设。对装修及设备总投入五百万元以上且不满一千万元的，给予五十万元的资助；对装修及设备总投入一千万元以上的，给予一百万元的资助。</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eastAsia="仿宋_GB2312" w:cs="仿宋_GB2312"/>
          <w:color w:val="auto"/>
          <w:kern w:val="0"/>
          <w:sz w:val="32"/>
          <w:szCs w:val="32"/>
          <w:highlight w:val="none"/>
        </w:rPr>
      </w:pPr>
      <w:r>
        <w:rPr>
          <w:rFonts w:hint="eastAsia" w:ascii="黑体" w:hAnsi="宋体" w:eastAsia="黑体" w:cs="黑体"/>
          <w:color w:val="auto"/>
          <w:kern w:val="0"/>
          <w:sz w:val="32"/>
          <w:szCs w:val="32"/>
          <w:highlight w:val="none"/>
        </w:rPr>
        <w:t>第</w:t>
      </w:r>
      <w:r>
        <w:rPr>
          <w:rFonts w:hint="eastAsia" w:ascii="黑体" w:hAnsi="宋体" w:eastAsia="黑体" w:cs="黑体"/>
          <w:color w:val="auto"/>
          <w:kern w:val="0"/>
          <w:sz w:val="32"/>
          <w:szCs w:val="32"/>
          <w:highlight w:val="none"/>
          <w:lang w:eastAsia="zh-CN"/>
        </w:rPr>
        <w:t>四</w:t>
      </w:r>
      <w:r>
        <w:rPr>
          <w:rFonts w:hint="eastAsia" w:ascii="黑体" w:hAnsi="宋体" w:eastAsia="黑体" w:cs="黑体"/>
          <w:color w:val="auto"/>
          <w:kern w:val="0"/>
          <w:sz w:val="32"/>
          <w:szCs w:val="32"/>
          <w:highlight w:val="none"/>
        </w:rPr>
        <w:t>十</w:t>
      </w:r>
      <w:r>
        <w:rPr>
          <w:rFonts w:hint="eastAsia" w:ascii="黑体" w:hAnsi="宋体" w:eastAsia="黑体" w:cs="黑体"/>
          <w:color w:val="auto"/>
          <w:kern w:val="0"/>
          <w:sz w:val="32"/>
          <w:szCs w:val="32"/>
          <w:highlight w:val="none"/>
          <w:lang w:eastAsia="zh-CN"/>
        </w:rPr>
        <w:t>八</w:t>
      </w:r>
      <w:r>
        <w:rPr>
          <w:rFonts w:hint="eastAsia" w:ascii="黑体" w:hAnsi="宋体" w:eastAsia="黑体" w:cs="黑体"/>
          <w:color w:val="auto"/>
          <w:kern w:val="0"/>
          <w:sz w:val="32"/>
          <w:szCs w:val="32"/>
          <w:highlight w:val="none"/>
        </w:rPr>
        <w:t xml:space="preserve">条 </w:t>
      </w:r>
      <w:r>
        <w:rPr>
          <w:rFonts w:hint="eastAsia" w:ascii="仿宋_GB2312" w:eastAsia="仿宋_GB2312" w:cs="仿宋_GB2312"/>
          <w:color w:val="auto"/>
          <w:kern w:val="0"/>
          <w:sz w:val="32"/>
          <w:szCs w:val="32"/>
          <w:highlight w:val="none"/>
        </w:rPr>
        <w:t>文旅消费项目新建扶持。</w:t>
      </w:r>
    </w:p>
    <w:p>
      <w:pPr>
        <w:keepNext w:val="0"/>
        <w:keepLines w:val="0"/>
        <w:pageBreakBefore w:val="0"/>
        <w:widowControl w:val="0"/>
        <w:numPr>
          <w:ilvl w:val="0"/>
          <w:numId w:val="1"/>
        </w:numPr>
        <w:kinsoku/>
        <w:wordWrap/>
        <w:overflowPunct w:val="0"/>
        <w:topLinePunct w:val="0"/>
        <w:autoSpaceDE w:val="0"/>
        <w:autoSpaceDN w:val="0"/>
        <w:bidi w:val="0"/>
        <w:spacing w:line="560" w:lineRule="exact"/>
        <w:ind w:firstLine="640" w:firstLineChars="200"/>
        <w:textAlignment w:val="auto"/>
        <w:rPr>
          <w:rFonts w:hint="eastAsia" w:ascii="仿宋_GB2312" w:hAnsi="Times New Roman"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对建成后正常运营一年以上的文旅消费项目，按固定资产投资总额一亿元以上、五亿元以上、十亿元以上的分别给予一百万</w:t>
      </w:r>
      <w:r>
        <w:rPr>
          <w:rFonts w:hint="eastAsia" w:ascii="仿宋_GB2312" w:hAnsi="Times New Roman" w:eastAsia="仿宋_GB2312" w:cs="仿宋_GB2312"/>
          <w:color w:val="auto"/>
          <w:kern w:val="0"/>
          <w:sz w:val="32"/>
          <w:szCs w:val="32"/>
          <w:highlight w:val="none"/>
        </w:rPr>
        <w:t>元、二百万元、三百万元的一次性资助；</w:t>
      </w:r>
    </w:p>
    <w:p>
      <w:pPr>
        <w:keepNext w:val="0"/>
        <w:keepLines w:val="0"/>
        <w:pageBreakBefore w:val="0"/>
        <w:widowControl w:val="0"/>
        <w:numPr>
          <w:ilvl w:val="0"/>
          <w:numId w:val="0"/>
        </w:numPr>
        <w:kinsoku/>
        <w:wordWrap/>
        <w:overflowPunct w:val="0"/>
        <w:topLinePunct w:val="0"/>
        <w:autoSpaceDE w:val="0"/>
        <w:autoSpaceDN w:val="0"/>
        <w:bidi w:val="0"/>
        <w:spacing w:line="560" w:lineRule="exact"/>
        <w:ind w:firstLine="640" w:firstLineChars="200"/>
        <w:textAlignment w:val="auto"/>
        <w:rPr>
          <w:rFonts w:hint="eastAsia"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lang w:eastAsia="zh-CN"/>
        </w:rPr>
        <w:t>（二）</w:t>
      </w:r>
      <w:r>
        <w:rPr>
          <w:rFonts w:hint="eastAsia" w:ascii="仿宋_GB2312" w:hAnsi="Times New Roman" w:eastAsia="仿宋_GB2312" w:cs="仿宋_GB2312"/>
          <w:color w:val="auto"/>
          <w:kern w:val="0"/>
          <w:sz w:val="32"/>
          <w:szCs w:val="32"/>
          <w:highlight w:val="none"/>
          <w:lang w:val="en-US" w:eastAsia="zh-CN"/>
        </w:rPr>
        <w:t>对空中游览、海上休闲、跨境海岛游、科普基地、生态康养等新建特色旅游项目，正式营业且固定资产投资总额一千万元以上的，按固定资产投资总额的百分之一给予一次性资助，</w:t>
      </w:r>
      <w:r>
        <w:rPr>
          <w:rFonts w:hint="eastAsia" w:ascii="仿宋_GB2312" w:hAnsi="仿宋" w:eastAsia="仿宋_GB2312"/>
          <w:color w:val="auto"/>
          <w:sz w:val="32"/>
          <w:szCs w:val="32"/>
          <w:highlight w:val="none"/>
        </w:rPr>
        <w:t>每家企业年度资助不超过一百万元</w:t>
      </w:r>
      <w:r>
        <w:rPr>
          <w:rFonts w:hint="eastAsia" w:asci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四十九</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文体旅商品牌活动和赛事资助。</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经向区文化广电旅游体育局报备，对实际投入五十万元以上的文旅商品牌活动，按实际投入的百分之二十给予不超过三百万元的资助。经向区文化广电旅游体育局报备，对国际性、全国性体育赛事，分别按实际投入的百分之五十、百分之四十给予不超过三百万元的资助；</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（二）经区政府认定，</w:t>
      </w:r>
      <w:r>
        <w:rPr>
          <w:rFonts w:hint="eastAsia" w:ascii="仿宋_GB2312" w:hAnsi="仿宋" w:eastAsia="仿宋_GB2312"/>
          <w:color w:val="auto"/>
          <w:sz w:val="32"/>
          <w:szCs w:val="32"/>
          <w:highlight w:val="none"/>
          <w:lang w:eastAsia="zh-CN"/>
        </w:rPr>
        <w:t>同意举办的</w:t>
      </w:r>
      <w:r>
        <w:rPr>
          <w:rFonts w:hint="eastAsia" w:ascii="仿宋_GB2312" w:hAnsi="仿宋" w:eastAsia="仿宋_GB2312"/>
          <w:color w:val="auto"/>
          <w:sz w:val="32"/>
          <w:szCs w:val="32"/>
          <w:highlight w:val="none"/>
        </w:rPr>
        <w:t>文体旅商活动和体育赛事，按不超过实际投入的百分之五十，给予不超过三百万元的资助。</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五十</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文旅消费发展扶持。</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olor w:val="auto"/>
          <w:sz w:val="32"/>
          <w:szCs w:val="32"/>
          <w:highlight w:val="none"/>
        </w:rPr>
        <w:t>（一）支持商业演出。舞台剧、音乐剧、话剧等节目在盐田区开展商业演出</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对外出售门票</w:t>
      </w:r>
      <w:r>
        <w:rPr>
          <w:rFonts w:hint="eastAsia" w:ascii="仿宋_GB2312" w:hAnsi="仿宋" w:eastAsia="仿宋_GB2312"/>
          <w:color w:val="auto"/>
          <w:sz w:val="32"/>
          <w:szCs w:val="32"/>
          <w:highlight w:val="none"/>
          <w:lang w:eastAsia="zh-CN"/>
        </w:rPr>
        <w:t>五十张以上的</w:t>
      </w:r>
      <w:r>
        <w:rPr>
          <w:rFonts w:hint="eastAsia" w:ascii="仿宋_GB2312" w:hAnsi="仿宋" w:eastAsia="仿宋_GB2312"/>
          <w:color w:val="auto"/>
          <w:sz w:val="32"/>
          <w:szCs w:val="32"/>
          <w:highlight w:val="none"/>
        </w:rPr>
        <w:t>，按实际投入的百分之三十给予每场次不超过五万元的资助，每家企业年度资助不</w:t>
      </w:r>
      <w:r>
        <w:rPr>
          <w:rFonts w:hint="eastAsia" w:ascii="仿宋_GB2312" w:hAnsi="仿宋" w:eastAsia="仿宋_GB2312" w:cs="Times New Roman"/>
          <w:color w:val="auto"/>
          <w:sz w:val="32"/>
          <w:szCs w:val="32"/>
          <w:highlight w:val="none"/>
        </w:rPr>
        <w:t>超过一百万元；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（二）支持旅行社发展。对新在盐田区实际从事经营活动的旅行社企业，且正常运营一年以上，按条件给予一次性不超过一百万元的奖励；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三）支持旅行社开发精品旅游线路。鼓励企业开发盐田本地、深港跨境、休闲度假等精品旅游线路，对成功开发运营的企业，按条件给予每条线路一次性不超过二十万元的奖励，每家企业年度奖励不超过五十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四</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val="en-US" w:eastAsia="zh-CN"/>
        </w:rPr>
        <w:t>支持旅行社组织游客到盐田区住宿过夜。对房价</w:t>
      </w:r>
      <w:r>
        <w:rPr>
          <w:rFonts w:hint="eastAsia" w:ascii="仿宋_GB2312" w:hAnsi="仿宋" w:eastAsia="仿宋_GB2312" w:cs="Times New Roman"/>
          <w:color w:val="auto"/>
          <w:sz w:val="32"/>
          <w:szCs w:val="32"/>
          <w:highlight w:val="none"/>
        </w:rPr>
        <w:t>三百元/天以上</w:t>
      </w:r>
      <w:r>
        <w:rPr>
          <w:rFonts w:hint="eastAsia" w:ascii="仿宋_GB2312" w:hAnsi="仿宋" w:eastAsia="仿宋_GB2312" w:cs="Times New Roman"/>
          <w:color w:val="auto"/>
          <w:sz w:val="32"/>
          <w:szCs w:val="32"/>
          <w:highlight w:val="none"/>
          <w:lang w:eastAsia="zh-CN"/>
        </w:rPr>
        <w:t>、单次</w:t>
      </w:r>
      <w:r>
        <w:rPr>
          <w:rFonts w:hint="eastAsia" w:ascii="仿宋_GB2312" w:hAnsi="仿宋" w:eastAsia="仿宋_GB2312" w:cs="Times New Roman"/>
          <w:color w:val="auto"/>
          <w:sz w:val="32"/>
          <w:szCs w:val="32"/>
          <w:highlight w:val="none"/>
        </w:rPr>
        <w:t>团队</w:t>
      </w:r>
      <w:r>
        <w:rPr>
          <w:rFonts w:hint="eastAsia" w:ascii="仿宋_GB2312" w:hAnsi="仿宋" w:eastAsia="仿宋_GB2312" w:cs="Times New Roman"/>
          <w:color w:val="auto"/>
          <w:sz w:val="32"/>
          <w:szCs w:val="32"/>
          <w:highlight w:val="none"/>
          <w:lang w:eastAsia="zh-CN"/>
        </w:rPr>
        <w:t>游客</w:t>
      </w:r>
      <w:r>
        <w:rPr>
          <w:rFonts w:hint="eastAsia" w:ascii="仿宋_GB2312" w:hAnsi="仿宋" w:eastAsia="仿宋_GB2312" w:cs="Times New Roman"/>
          <w:color w:val="auto"/>
          <w:sz w:val="32"/>
          <w:szCs w:val="32"/>
          <w:highlight w:val="none"/>
        </w:rPr>
        <w:t>二十人以上</w:t>
      </w:r>
      <w:r>
        <w:rPr>
          <w:rFonts w:hint="eastAsia" w:ascii="仿宋_GB2312" w:hAnsi="仿宋" w:eastAsia="仿宋_GB2312" w:cs="Times New Roman"/>
          <w:color w:val="auto"/>
          <w:sz w:val="32"/>
          <w:szCs w:val="32"/>
          <w:highlight w:val="none"/>
          <w:lang w:eastAsia="zh-CN"/>
        </w:rPr>
        <w:t>的</w:t>
      </w:r>
      <w:r>
        <w:rPr>
          <w:rFonts w:hint="eastAsia" w:ascii="仿宋_GB2312" w:hAnsi="仿宋" w:eastAsia="仿宋_GB2312" w:cs="Times New Roman"/>
          <w:color w:val="auto"/>
          <w:sz w:val="32"/>
          <w:szCs w:val="32"/>
          <w:highlight w:val="none"/>
        </w:rPr>
        <w:t>，按照每间房五十元/天</w:t>
      </w:r>
      <w:r>
        <w:rPr>
          <w:rFonts w:hint="eastAsia" w:ascii="仿宋_GB2312" w:hAnsi="仿宋" w:eastAsia="仿宋_GB2312" w:cs="Times New Roman"/>
          <w:color w:val="auto"/>
          <w:sz w:val="32"/>
          <w:szCs w:val="32"/>
          <w:highlight w:val="none"/>
          <w:lang w:eastAsia="zh-CN"/>
        </w:rPr>
        <w:t>给予资助</w:t>
      </w:r>
      <w:r>
        <w:rPr>
          <w:rFonts w:hint="eastAsia" w:ascii="仿宋_GB2312" w:hAnsi="仿宋" w:eastAsia="仿宋_GB2312" w:cs="Times New Roman"/>
          <w:color w:val="auto"/>
          <w:sz w:val="32"/>
          <w:szCs w:val="32"/>
          <w:highlight w:val="none"/>
        </w:rPr>
        <w:t>，每家企业年度</w:t>
      </w:r>
      <w:r>
        <w:rPr>
          <w:rFonts w:hint="eastAsia" w:ascii="仿宋_GB2312" w:hAnsi="仿宋" w:eastAsia="仿宋_GB2312" w:cs="Times New Roman"/>
          <w:color w:val="auto"/>
          <w:sz w:val="32"/>
          <w:szCs w:val="32"/>
          <w:highlight w:val="none"/>
          <w:lang w:eastAsia="zh-CN"/>
        </w:rPr>
        <w:t>资助</w:t>
      </w:r>
      <w:r>
        <w:rPr>
          <w:rFonts w:hint="eastAsia" w:ascii="仿宋_GB2312" w:hAnsi="仿宋" w:eastAsia="仿宋_GB2312" w:cs="Times New Roman"/>
          <w:color w:val="auto"/>
          <w:sz w:val="32"/>
          <w:szCs w:val="32"/>
          <w:highlight w:val="none"/>
        </w:rPr>
        <w:t>不超过二十万元</w:t>
      </w:r>
      <w:r>
        <w:rPr>
          <w:rFonts w:hint="eastAsia" w:ascii="仿宋_GB2312" w:hAnsi="仿宋" w:eastAsia="仿宋_GB2312" w:cs="Times New Roman"/>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黑体" w:hAnsi="黑体" w:eastAsia="黑体" w:cs="Arial"/>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五</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lang w:val="en-US" w:eastAsia="zh-CN"/>
        </w:rPr>
        <w:t>支持各类企业来盐举办会议、论坛、宴会等团队业务。对团队每天实际用房三百间以上、联动辖区两家以上住宿企业的，按照五十元/人/天标准给予</w:t>
      </w:r>
      <w:r>
        <w:rPr>
          <w:rFonts w:hint="eastAsia" w:ascii="仿宋_GB2312" w:hAnsi="仿宋" w:eastAsia="仿宋_GB2312" w:cs="Times New Roman"/>
          <w:color w:val="auto"/>
          <w:sz w:val="32"/>
          <w:szCs w:val="32"/>
          <w:highlight w:val="none"/>
          <w:lang w:eastAsia="zh-CN"/>
        </w:rPr>
        <w:t>资助</w:t>
      </w:r>
      <w:r>
        <w:rPr>
          <w:rFonts w:hint="eastAsia" w:ascii="仿宋_GB2312" w:hAnsi="仿宋" w:eastAsia="仿宋_GB2312" w:cs="Times New Roman"/>
          <w:color w:val="auto"/>
          <w:sz w:val="32"/>
          <w:szCs w:val="32"/>
          <w:highlight w:val="none"/>
          <w:lang w:val="en-US" w:eastAsia="zh-CN"/>
        </w:rPr>
        <w:t>，每家企业最高补贴不超过五十万元。已申请本条第（四）项政策的可同时享受本条第（五）项政策。</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五十一</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数字创意产业发展扶持。</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支持发展文旅数字创意体验项目。支持企业利用5G、VR、AI等技术发展文旅数字体验产品，打造沉浸式文旅体验场景、电竞主题园区等，上一年度建成且正常运营一年以上，按照不超过固定资产投资总额的百分之十给予一次性资助，每家企业年度资助不超过一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支持文化创作和传播平台建设。支持企业打造数字传媒、数字娱乐、数字学习、数字出版等线上文化精品内容创作和新兴数字文化资源传播平台，对达到条件的企业，按一定标准给予每年不超过二百万元的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楷体_GB2312" w:eastAsia="楷体_GB2312"/>
          <w:color w:val="auto"/>
          <w:kern w:val="0"/>
          <w:sz w:val="32"/>
          <w:szCs w:val="32"/>
          <w:highlight w:val="none"/>
        </w:rPr>
      </w:pPr>
      <w:r>
        <w:rPr>
          <w:rFonts w:hint="eastAsia" w:ascii="楷体_GB2312" w:eastAsia="楷体_GB2312"/>
          <w:color w:val="auto"/>
          <w:kern w:val="0"/>
          <w:sz w:val="32"/>
          <w:szCs w:val="32"/>
          <w:highlight w:val="none"/>
        </w:rPr>
        <w:t>第</w:t>
      </w:r>
      <w:r>
        <w:rPr>
          <w:rFonts w:hint="eastAsia" w:ascii="楷体_GB2312" w:eastAsia="楷体_GB2312"/>
          <w:color w:val="auto"/>
          <w:kern w:val="0"/>
          <w:sz w:val="32"/>
          <w:szCs w:val="32"/>
          <w:highlight w:val="none"/>
          <w:lang w:eastAsia="zh-CN"/>
        </w:rPr>
        <w:t>五</w:t>
      </w:r>
      <w:r>
        <w:rPr>
          <w:rFonts w:hint="eastAsia" w:ascii="楷体_GB2312" w:eastAsia="楷体_GB2312"/>
          <w:color w:val="auto"/>
          <w:kern w:val="0"/>
          <w:sz w:val="32"/>
          <w:szCs w:val="32"/>
          <w:highlight w:val="none"/>
        </w:rPr>
        <w:t>节 支持大健康和高端医疗器械产业发展</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五十二</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高端大健康项目投资资助。对新投资的高端康养、高端体检、医美服务、特色医疗服务、精准营养、精准医疗类重大项目，固定资产投资（不含土地）在五千万元以上的，竣工验收后按项目实际投资额，给予最高百分之十的一次性资助，单个项目</w:t>
      </w:r>
      <w:r>
        <w:rPr>
          <w:rFonts w:hint="eastAsia" w:ascii="仿宋_GB2312" w:hAnsi="仿宋" w:eastAsia="仿宋_GB2312"/>
          <w:color w:val="auto"/>
          <w:sz w:val="32"/>
          <w:szCs w:val="32"/>
          <w:highlight w:val="none"/>
          <w:lang w:eastAsia="zh-CN"/>
        </w:rPr>
        <w:t>资助</w:t>
      </w:r>
      <w:r>
        <w:rPr>
          <w:rFonts w:hint="eastAsia" w:ascii="仿宋_GB2312" w:hAnsi="仿宋" w:eastAsia="仿宋_GB2312"/>
          <w:color w:val="auto"/>
          <w:sz w:val="32"/>
          <w:szCs w:val="32"/>
          <w:highlight w:val="none"/>
        </w:rPr>
        <w:t>不超过一千万元。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五十三</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大健康产业品质提升奖励。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（一）对新获得JCI（国际医疗卫生机构认证联合委员会）国际认证的医美机构（企业）、中国整形美容协会5A医疗整形美容机构等相关认证的医美机构（企业），给予三十万元的一次性奖励；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（二）对新获得医疗机构执业许可证的机构（企业），给予十万元的一次性奖励。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五十四</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高端医疗器械认证上市奖励。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w:t>
      </w:r>
      <w:r>
        <w:rPr>
          <w:rFonts w:hint="eastAsia" w:ascii="仿宋_GB2312" w:hAnsi="仿宋" w:eastAsia="仿宋_GB2312"/>
          <w:color w:val="auto"/>
          <w:sz w:val="32"/>
          <w:szCs w:val="32"/>
          <w:highlight w:val="none"/>
          <w:lang w:val="en-US" w:eastAsia="zh-CN"/>
        </w:rPr>
        <w:t>上一年度</w:t>
      </w:r>
      <w:r>
        <w:rPr>
          <w:rFonts w:hint="eastAsia" w:ascii="仿宋_GB2312" w:hAnsi="仿宋" w:eastAsia="仿宋_GB2312"/>
          <w:color w:val="auto"/>
          <w:sz w:val="32"/>
          <w:szCs w:val="32"/>
          <w:highlight w:val="none"/>
        </w:rPr>
        <w:t>首次获得三类医疗器械注册证的，按每张医疗器械注册证给予该企业一百万元一次性奖励；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（二）进入广东省创新医疗器械特别审查程序或医疗器械优先审批程序的二类医疗器械，且</w:t>
      </w:r>
      <w:r>
        <w:rPr>
          <w:rFonts w:hint="eastAsia" w:ascii="仿宋_GB2312" w:hAnsi="仿宋" w:eastAsia="仿宋_GB2312"/>
          <w:color w:val="auto"/>
          <w:sz w:val="32"/>
          <w:szCs w:val="32"/>
          <w:highlight w:val="none"/>
          <w:lang w:val="en-US" w:eastAsia="zh-CN"/>
        </w:rPr>
        <w:t>上一年度</w:t>
      </w:r>
      <w:r>
        <w:rPr>
          <w:rFonts w:hint="eastAsia" w:ascii="仿宋_GB2312" w:hAnsi="仿宋" w:eastAsia="仿宋_GB2312"/>
          <w:color w:val="auto"/>
          <w:sz w:val="32"/>
          <w:szCs w:val="32"/>
          <w:highlight w:val="none"/>
        </w:rPr>
        <w:t>首次获得医疗器械注册证的，按每张医疗器械注册证给予该企业五十万元一次性奖励。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以上医疗器械注册证不含设备零部件，对同一企业每年奖励不超过二百万元。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ascii="仿宋_GB2312" w:eastAsia="仿宋_GB2312" w:cs="仿宋_GB2312"/>
          <w:color w:val="auto"/>
          <w:kern w:val="0"/>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Arial"/>
          <w:color w:val="auto"/>
          <w:sz w:val="32"/>
          <w:szCs w:val="32"/>
          <w:highlight w:val="none"/>
          <w:lang w:eastAsia="zh-CN"/>
        </w:rPr>
        <w:t>五十五</w:t>
      </w:r>
      <w:r>
        <w:rPr>
          <w:rFonts w:hint="eastAsia" w:ascii="黑体" w:hAnsi="黑体" w:eastAsia="黑体" w:cs="黑体"/>
          <w:color w:val="auto"/>
          <w:sz w:val="32"/>
          <w:szCs w:val="32"/>
          <w:highlight w:val="none"/>
        </w:rPr>
        <w:t xml:space="preserve">条 </w:t>
      </w:r>
      <w:r>
        <w:rPr>
          <w:rFonts w:hint="eastAsia" w:ascii="仿宋_GB2312" w:eastAsia="仿宋_GB2312" w:cs="仿宋_GB2312"/>
          <w:color w:val="auto"/>
          <w:kern w:val="0"/>
          <w:sz w:val="32"/>
          <w:szCs w:val="32"/>
          <w:highlight w:val="none"/>
        </w:rPr>
        <w:t>企业建设超净生产研发空间资助。企业在盐田区装修改造用于生物医药或医疗器械研发创新或中试生产的产业空间（如GMP实验室、洁净室、检测实验室、洁净厂房、无尘车间等特殊研发实验空间以及小试中试基地），相关产业空间面积在五百平方米以上并投入使用的，经评估按装修改造费用的百分之二十给予一次性资助，对同一企业资助不超过三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黑体"/>
          <w:color w:val="auto"/>
          <w:sz w:val="32"/>
          <w:szCs w:val="32"/>
          <w:highlight w:val="none"/>
          <w:lang w:eastAsia="zh-CN"/>
        </w:rPr>
        <w:t>五十六</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公共技术服务平台资助。</w:t>
      </w:r>
      <w:r>
        <w:rPr>
          <w:rFonts w:hint="eastAsia" w:ascii="仿宋_GB2312" w:hAnsi="仿宋" w:eastAsia="仿宋_GB2312"/>
          <w:color w:val="auto"/>
          <w:sz w:val="32"/>
          <w:szCs w:val="32"/>
          <w:highlight w:val="none"/>
          <w:lang w:val="en-US" w:eastAsia="zh-CN"/>
        </w:rPr>
        <w:t>在本办法施行期间</w:t>
      </w:r>
      <w:r>
        <w:rPr>
          <w:rFonts w:hint="eastAsia" w:ascii="仿宋_GB2312" w:hAnsi="仿宋" w:eastAsia="仿宋_GB2312"/>
          <w:color w:val="auto"/>
          <w:sz w:val="32"/>
          <w:szCs w:val="32"/>
          <w:highlight w:val="none"/>
        </w:rPr>
        <w:t>新建的公共技术服务平台，经区科技创新局认定对提升高端医疗器械、大健康、合成生物、细胞与基因、深地深海领域创新能力具有重要支撑作用的,对其运营机构给予五十万元一次性运营资助；并对其建设投入的百分之四十给予最高不超过二百万元的一次性资助。</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楷体_GB2312" w:eastAsia="楷体_GB2312"/>
          <w:color w:val="auto"/>
          <w:kern w:val="0"/>
          <w:sz w:val="32"/>
          <w:szCs w:val="32"/>
          <w:highlight w:val="none"/>
        </w:rPr>
      </w:pPr>
      <w:r>
        <w:rPr>
          <w:rFonts w:hint="eastAsia" w:ascii="楷体_GB2312" w:eastAsia="楷体_GB2312"/>
          <w:color w:val="auto"/>
          <w:kern w:val="0"/>
          <w:sz w:val="32"/>
          <w:szCs w:val="32"/>
          <w:highlight w:val="none"/>
        </w:rPr>
        <w:t>第</w:t>
      </w:r>
      <w:r>
        <w:rPr>
          <w:rFonts w:hint="eastAsia" w:ascii="楷体_GB2312" w:eastAsia="楷体_GB2312"/>
          <w:color w:val="auto"/>
          <w:kern w:val="0"/>
          <w:sz w:val="32"/>
          <w:szCs w:val="32"/>
          <w:highlight w:val="none"/>
          <w:lang w:eastAsia="zh-CN"/>
        </w:rPr>
        <w:t>六</w:t>
      </w:r>
      <w:r>
        <w:rPr>
          <w:rFonts w:hint="eastAsia" w:ascii="楷体_GB2312" w:eastAsia="楷体_GB2312"/>
          <w:color w:val="auto"/>
          <w:kern w:val="0"/>
          <w:sz w:val="32"/>
          <w:szCs w:val="32"/>
          <w:highlight w:val="none"/>
        </w:rPr>
        <w:t>节 培育未来产业发展</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五十七</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细胞与基因治疗技术临床奖励。对经区科技创新局认定的细胞与基因治疗技术企业，在上一年度完成临床前研究，获得临床批件或默示许可或允许按医疗技术开展临床研究的细胞与基因治疗技术项目，对主持开发该项目的企业按每项奖励一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Arial"/>
          <w:color w:val="auto"/>
          <w:sz w:val="32"/>
          <w:szCs w:val="32"/>
          <w:highlight w:val="none"/>
        </w:rPr>
        <w:t>第</w:t>
      </w:r>
      <w:r>
        <w:rPr>
          <w:rFonts w:hint="eastAsia" w:ascii="黑体" w:hAnsi="黑体" w:eastAsia="黑体" w:cs="Arial"/>
          <w:color w:val="auto"/>
          <w:sz w:val="32"/>
          <w:szCs w:val="32"/>
          <w:highlight w:val="none"/>
          <w:lang w:eastAsia="zh-CN"/>
        </w:rPr>
        <w:t>五十八</w:t>
      </w:r>
      <w:r>
        <w:rPr>
          <w:rFonts w:hint="eastAsia" w:ascii="黑体" w:hAnsi="黑体" w:eastAsia="黑体" w:cs="Arial"/>
          <w:color w:val="auto"/>
          <w:sz w:val="32"/>
          <w:szCs w:val="32"/>
          <w:highlight w:val="none"/>
        </w:rPr>
        <w:t xml:space="preserve">条 </w:t>
      </w:r>
      <w:r>
        <w:rPr>
          <w:rFonts w:hint="eastAsia" w:ascii="仿宋_GB2312" w:hAnsi="仿宋" w:eastAsia="仿宋_GB2312"/>
          <w:color w:val="auto"/>
          <w:sz w:val="32"/>
          <w:szCs w:val="32"/>
          <w:highlight w:val="none"/>
        </w:rPr>
        <w:t>创新药物临床奖励。企业研发生物制品、天然药物、创新药物取得临床批件，或完成I、II、III期临床试验，或取得药品批准文号等阶段性成果的，按上一年度获得深圳市发展改革部门</w:t>
      </w:r>
      <w:r>
        <w:rPr>
          <w:rFonts w:hint="eastAsia" w:ascii="仿宋_GB2312" w:hAnsi="仿宋" w:eastAsia="仿宋_GB2312"/>
          <w:color w:val="auto"/>
          <w:sz w:val="32"/>
          <w:szCs w:val="32"/>
          <w:highlight w:val="none"/>
          <w:lang w:eastAsia="zh-CN"/>
        </w:rPr>
        <w:t>奖励</w:t>
      </w:r>
      <w:r>
        <w:rPr>
          <w:rFonts w:hint="eastAsia" w:ascii="仿宋_GB2312" w:hAnsi="仿宋" w:eastAsia="仿宋_GB2312"/>
          <w:color w:val="auto"/>
          <w:sz w:val="32"/>
          <w:szCs w:val="32"/>
          <w:highlight w:val="none"/>
        </w:rPr>
        <w:t>金额的百分之二十给予配套奖励，对同一单位每年奖励不超过五百万元。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Arial"/>
          <w:color w:val="auto"/>
          <w:sz w:val="32"/>
          <w:szCs w:val="32"/>
          <w:highlight w:val="none"/>
          <w:lang w:eastAsia="zh-CN"/>
        </w:rPr>
        <w:t>五十九</w:t>
      </w:r>
      <w:r>
        <w:rPr>
          <w:rFonts w:hint="eastAsia" w:ascii="黑体" w:hAnsi="黑体" w:eastAsia="黑体" w:cs="黑体"/>
          <w:color w:val="auto"/>
          <w:sz w:val="32"/>
          <w:szCs w:val="32"/>
          <w:highlight w:val="none"/>
        </w:rPr>
        <w:t xml:space="preserve">条 </w:t>
      </w:r>
      <w:r>
        <w:rPr>
          <w:rFonts w:hint="eastAsia" w:ascii="仿宋_GB2312" w:hAnsi="仿宋" w:eastAsia="仿宋_GB2312"/>
          <w:color w:val="auto"/>
          <w:sz w:val="32"/>
          <w:szCs w:val="32"/>
          <w:highlight w:val="none"/>
        </w:rPr>
        <w:t>未来产业企业研发投入资助。对经区产业主管部门</w:t>
      </w:r>
      <w:r>
        <w:rPr>
          <w:rFonts w:hint="eastAsia" w:ascii="仿宋_GB2312" w:hAnsi="仿宋" w:eastAsia="仿宋_GB2312"/>
          <w:color w:val="auto"/>
          <w:sz w:val="32"/>
          <w:szCs w:val="32"/>
          <w:highlight w:val="none"/>
          <w:lang w:eastAsia="zh-CN"/>
        </w:rPr>
        <w:t>认定</w:t>
      </w:r>
      <w:r>
        <w:rPr>
          <w:rFonts w:hint="eastAsia" w:ascii="仿宋_GB2312" w:hAnsi="仿宋" w:eastAsia="仿宋_GB2312"/>
          <w:color w:val="auto"/>
          <w:sz w:val="32"/>
          <w:szCs w:val="32"/>
          <w:highlight w:val="none"/>
        </w:rPr>
        <w:t>的合成生物、细胞与基因、深地深海领域科研、生产、技术服务企业，连续两年按上年度研发费用加计扣除额的百分之二十给予资助,对同一企业每年资助</w:t>
      </w:r>
      <w:r>
        <w:rPr>
          <w:rFonts w:hint="eastAsia" w:ascii="仿宋_GB2312" w:hAnsi="仿宋" w:eastAsia="仿宋_GB2312"/>
          <w:color w:val="auto"/>
          <w:sz w:val="32"/>
          <w:szCs w:val="32"/>
          <w:highlight w:val="none"/>
          <w:lang w:eastAsia="zh-CN"/>
        </w:rPr>
        <w:t>不超过</w:t>
      </w:r>
      <w:r>
        <w:rPr>
          <w:rFonts w:hint="eastAsia" w:ascii="仿宋_GB2312" w:hAnsi="仿宋" w:eastAsia="仿宋_GB2312"/>
          <w:color w:val="auto"/>
          <w:sz w:val="32"/>
          <w:szCs w:val="32"/>
          <w:highlight w:val="none"/>
        </w:rPr>
        <w:t>一百五十万元。该条款不与第五条同时享受。</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w:t>
      </w:r>
      <w:r>
        <w:rPr>
          <w:rFonts w:hint="eastAsia" w:ascii="黑体" w:hAnsi="黑体" w:eastAsia="黑体" w:cs="黑体"/>
          <w:color w:val="auto"/>
          <w:sz w:val="32"/>
          <w:szCs w:val="32"/>
          <w:highlight w:val="none"/>
        </w:rPr>
        <w:t xml:space="preserve">条 </w:t>
      </w:r>
      <w:r>
        <w:rPr>
          <w:rFonts w:hint="eastAsia" w:ascii="仿宋_GB2312" w:hAnsi="仿宋" w:eastAsia="仿宋_GB2312"/>
          <w:color w:val="auto"/>
          <w:sz w:val="32"/>
          <w:szCs w:val="32"/>
          <w:highlight w:val="none"/>
        </w:rPr>
        <w:t>细胞与基因资质认证奖励。对上一年度首次获得国内外细胞相关资质认证的企业，给予五十万元的一次性奖励，对同一企业该项奖励不超过五十万元。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六十一条</w:t>
      </w:r>
      <w:r>
        <w:rPr>
          <w:rFonts w:hint="eastAsia" w:ascii="黑体" w:hAnsi="黑体" w:eastAsia="黑体" w:cs="黑体"/>
          <w:color w:val="auto"/>
          <w:sz w:val="32"/>
          <w:szCs w:val="32"/>
          <w:highlight w:val="none"/>
        </w:rPr>
        <w:t xml:space="preserve"> </w:t>
      </w:r>
      <w:r>
        <w:rPr>
          <w:rFonts w:hint="eastAsia" w:ascii="仿宋_GB2312" w:hAnsi="仿宋" w:eastAsia="仿宋_GB2312"/>
          <w:color w:val="auto"/>
          <w:sz w:val="32"/>
          <w:szCs w:val="32"/>
          <w:highlight w:val="none"/>
        </w:rPr>
        <w:t>未来产业企业租金资助。对经区产业主管部门</w:t>
      </w:r>
      <w:r>
        <w:rPr>
          <w:rFonts w:hint="eastAsia" w:ascii="仿宋_GB2312" w:hAnsi="仿宋" w:eastAsia="仿宋_GB2312"/>
          <w:color w:val="auto"/>
          <w:sz w:val="32"/>
          <w:szCs w:val="32"/>
          <w:highlight w:val="none"/>
          <w:lang w:eastAsia="zh-CN"/>
        </w:rPr>
        <w:t>认定的</w:t>
      </w:r>
      <w:r>
        <w:rPr>
          <w:rFonts w:hint="eastAsia" w:ascii="仿宋_GB2312" w:hAnsi="仿宋" w:eastAsia="仿宋_GB2312"/>
          <w:color w:val="auto"/>
          <w:sz w:val="32"/>
          <w:szCs w:val="32"/>
          <w:highlight w:val="none"/>
        </w:rPr>
        <w:t>合成生物、细胞与基因、深地深海领域科研、生产、技术服务企业，在区内租用场地且年度研发投入在二百万元以上的，按房屋租金市场指导价的百分之四十，且最高不超过三十元/平方米/月的标准给予不超过三年资助，对单个企业每年资助</w:t>
      </w:r>
      <w:r>
        <w:rPr>
          <w:rFonts w:hint="eastAsia" w:ascii="仿宋_GB2312" w:hAnsi="仿宋" w:eastAsia="仿宋_GB2312"/>
          <w:color w:val="auto"/>
          <w:sz w:val="32"/>
          <w:szCs w:val="32"/>
          <w:highlight w:val="none"/>
          <w:lang w:eastAsia="zh-CN"/>
        </w:rPr>
        <w:t>不超过</w:t>
      </w:r>
      <w:r>
        <w:rPr>
          <w:rFonts w:hint="eastAsia" w:ascii="仿宋_GB2312" w:hAnsi="仿宋" w:eastAsia="仿宋_GB2312"/>
          <w:color w:val="auto"/>
          <w:sz w:val="32"/>
          <w:szCs w:val="32"/>
          <w:highlight w:val="none"/>
        </w:rPr>
        <w:t>五十万元。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楷体_GB2312" w:eastAsia="楷体_GB2312"/>
          <w:color w:val="auto"/>
          <w:kern w:val="0"/>
          <w:sz w:val="32"/>
          <w:szCs w:val="32"/>
          <w:highlight w:val="none"/>
        </w:rPr>
      </w:pPr>
      <w:r>
        <w:rPr>
          <w:rFonts w:hint="eastAsia" w:ascii="楷体_GB2312" w:eastAsia="楷体_GB2312"/>
          <w:color w:val="auto"/>
          <w:kern w:val="0"/>
          <w:sz w:val="32"/>
          <w:szCs w:val="32"/>
          <w:highlight w:val="none"/>
        </w:rPr>
        <w:t>第</w:t>
      </w:r>
      <w:r>
        <w:rPr>
          <w:rFonts w:hint="eastAsia" w:ascii="楷体_GB2312" w:eastAsia="楷体_GB2312"/>
          <w:color w:val="auto"/>
          <w:kern w:val="0"/>
          <w:sz w:val="32"/>
          <w:szCs w:val="32"/>
          <w:highlight w:val="none"/>
          <w:lang w:eastAsia="zh-CN"/>
        </w:rPr>
        <w:t>七</w:t>
      </w:r>
      <w:r>
        <w:rPr>
          <w:rFonts w:hint="eastAsia" w:ascii="楷体_GB2312" w:eastAsia="楷体_GB2312"/>
          <w:color w:val="auto"/>
          <w:kern w:val="0"/>
          <w:sz w:val="32"/>
          <w:szCs w:val="32"/>
          <w:highlight w:val="none"/>
        </w:rPr>
        <w:t>节 支持</w:t>
      </w:r>
      <w:r>
        <w:rPr>
          <w:rFonts w:hint="eastAsia" w:ascii="楷体_GB2312" w:eastAsia="楷体_GB2312"/>
          <w:color w:val="auto"/>
          <w:kern w:val="0"/>
          <w:sz w:val="32"/>
          <w:szCs w:val="32"/>
          <w:highlight w:val="none"/>
          <w:lang w:eastAsia="zh-CN"/>
        </w:rPr>
        <w:t>专业服务业</w:t>
      </w:r>
      <w:r>
        <w:rPr>
          <w:rFonts w:hint="eastAsia" w:ascii="楷体_GB2312" w:eastAsia="楷体_GB2312"/>
          <w:color w:val="auto"/>
          <w:kern w:val="0"/>
          <w:sz w:val="32"/>
          <w:szCs w:val="32"/>
          <w:highlight w:val="none"/>
        </w:rPr>
        <w:t>发展</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六十二</w:t>
      </w:r>
      <w:r>
        <w:rPr>
          <w:rFonts w:hint="eastAsia" w:ascii="黑体" w:hAnsi="黑体" w:eastAsia="黑体" w:cs="黑体"/>
          <w:color w:val="auto"/>
          <w:sz w:val="32"/>
          <w:szCs w:val="32"/>
          <w:highlight w:val="none"/>
        </w:rPr>
        <w:t>条</w:t>
      </w:r>
      <w:r>
        <w:rPr>
          <w:rFonts w:hint="eastAsia" w:ascii="仿宋_GB2312" w:hAnsi="仿宋" w:eastAsia="仿宋_GB2312"/>
          <w:color w:val="auto"/>
          <w:sz w:val="32"/>
          <w:szCs w:val="32"/>
          <w:highlight w:val="none"/>
        </w:rPr>
        <w:t xml:space="preserve"> 引进</w:t>
      </w:r>
      <w:r>
        <w:rPr>
          <w:rFonts w:hint="eastAsia" w:ascii="仿宋_GB2312" w:hAnsi="仿宋" w:eastAsia="仿宋_GB2312"/>
          <w:color w:val="auto"/>
          <w:sz w:val="32"/>
          <w:szCs w:val="32"/>
          <w:highlight w:val="none"/>
          <w:lang w:eastAsia="zh-CN"/>
        </w:rPr>
        <w:t>奖励</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（一）</w:t>
      </w:r>
      <w:r>
        <w:rPr>
          <w:rFonts w:hint="eastAsia" w:ascii="仿宋_GB2312" w:hAnsi="仿宋" w:eastAsia="仿宋_GB2312"/>
          <w:color w:val="auto"/>
          <w:sz w:val="32"/>
          <w:szCs w:val="32"/>
          <w:highlight w:val="none"/>
        </w:rPr>
        <w:t>深圳市优秀律师事务所、广东省优秀律师事务所、全国优秀律师事务所在盐田区实际从事经营活动的，首年分别给予三十万元、五十万元、一百万元的一次性奖励;深圳市优秀律师事务所、广东省优秀律师事务所、全国优秀律师事务所分支机构在盐田区实际从事经营活动的，首年分别给予十万元、三十万元、五十万元的一次性奖励</w:t>
      </w:r>
      <w:r>
        <w:rPr>
          <w:rFonts w:hint="eastAsia" w:ascii="仿宋_GB2312" w:hAnsi="仿宋" w:eastAsia="仿宋_GB2312"/>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（二）对新在盐田区实际从事经营活动，且持续经营满一年的会计师事务所，根据其经营状况，按一定标准给予一次性奖励。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eastAsia="仿宋_GB2312" w:cs="仿宋_GB2312"/>
          <w:color w:val="auto"/>
          <w:kern w:val="0"/>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六十三</w:t>
      </w:r>
      <w:r>
        <w:rPr>
          <w:rFonts w:hint="eastAsia" w:ascii="黑体" w:hAnsi="黑体" w:eastAsia="黑体" w:cs="黑体"/>
          <w:color w:val="auto"/>
          <w:sz w:val="32"/>
          <w:szCs w:val="32"/>
          <w:highlight w:val="none"/>
        </w:rPr>
        <w:t>条</w:t>
      </w:r>
      <w:r>
        <w:rPr>
          <w:rFonts w:hint="eastAsia" w:ascii="仿宋_GB2312" w:hAnsi="仿宋" w:eastAsia="仿宋_GB2312"/>
          <w:color w:val="auto"/>
          <w:sz w:val="32"/>
          <w:szCs w:val="32"/>
          <w:highlight w:val="none"/>
        </w:rPr>
        <w:t xml:space="preserve"> 办公用房</w:t>
      </w:r>
      <w:r>
        <w:rPr>
          <w:rFonts w:hint="eastAsia" w:ascii="仿宋_GB2312" w:hAnsi="仿宋" w:eastAsia="仿宋_GB2312"/>
          <w:color w:val="auto"/>
          <w:sz w:val="32"/>
          <w:szCs w:val="32"/>
          <w:highlight w:val="none"/>
          <w:lang w:eastAsia="zh-CN"/>
        </w:rPr>
        <w:t>资助</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对</w:t>
      </w:r>
      <w:r>
        <w:rPr>
          <w:rFonts w:hint="eastAsia" w:ascii="仿宋_GB2312" w:hAnsi="仿宋" w:eastAsia="仿宋_GB2312"/>
          <w:color w:val="auto"/>
          <w:sz w:val="32"/>
          <w:szCs w:val="32"/>
          <w:highlight w:val="none"/>
        </w:rPr>
        <w:t>在盐田区实际从事经营活动满</w:t>
      </w:r>
      <w:r>
        <w:rPr>
          <w:rFonts w:hint="eastAsia" w:ascii="仿宋_GB2312" w:hAnsi="仿宋" w:eastAsia="仿宋_GB2312"/>
          <w:color w:val="auto"/>
          <w:sz w:val="32"/>
          <w:szCs w:val="32"/>
          <w:highlight w:val="none"/>
          <w:lang w:eastAsia="zh-CN"/>
        </w:rPr>
        <w:t>一</w:t>
      </w:r>
      <w:r>
        <w:rPr>
          <w:rFonts w:hint="eastAsia" w:ascii="仿宋_GB2312" w:hAnsi="仿宋" w:eastAsia="仿宋_GB2312"/>
          <w:color w:val="auto"/>
          <w:sz w:val="32"/>
          <w:szCs w:val="32"/>
          <w:highlight w:val="none"/>
        </w:rPr>
        <w:t>年的法律服务机构</w:t>
      </w:r>
      <w:r>
        <w:rPr>
          <w:rFonts w:hint="eastAsia" w:ascii="仿宋_GB2312" w:hAnsi="仿宋" w:eastAsia="仿宋_GB2312"/>
          <w:color w:val="auto"/>
          <w:sz w:val="32"/>
          <w:szCs w:val="32"/>
          <w:highlight w:val="none"/>
          <w:lang w:eastAsia="zh-CN"/>
        </w:rPr>
        <w:t>、会计师事务所，租赁</w:t>
      </w:r>
      <w:r>
        <w:rPr>
          <w:rFonts w:hint="eastAsia" w:ascii="仿宋_GB2312" w:hAnsi="仿宋" w:eastAsia="仿宋_GB2312"/>
          <w:color w:val="auto"/>
          <w:sz w:val="32"/>
          <w:szCs w:val="32"/>
          <w:highlight w:val="none"/>
        </w:rPr>
        <w:t>盐田区</w:t>
      </w:r>
      <w:r>
        <w:rPr>
          <w:rFonts w:hint="eastAsia" w:ascii="仿宋_GB2312" w:hAnsi="仿宋" w:eastAsia="仿宋_GB2312"/>
          <w:color w:val="auto"/>
          <w:sz w:val="32"/>
          <w:szCs w:val="32"/>
          <w:highlight w:val="none"/>
          <w:lang w:eastAsia="zh-CN"/>
        </w:rPr>
        <w:t>内</w:t>
      </w:r>
      <w:r>
        <w:rPr>
          <w:rFonts w:hint="eastAsia" w:ascii="仿宋_GB2312" w:hAnsi="仿宋" w:eastAsia="仿宋_GB2312"/>
          <w:color w:val="auto"/>
          <w:sz w:val="32"/>
          <w:szCs w:val="32"/>
          <w:highlight w:val="none"/>
        </w:rPr>
        <w:t>物业作为自用办公用房（不含附属和配套用房）的，按</w:t>
      </w:r>
      <w:r>
        <w:rPr>
          <w:rFonts w:hint="eastAsia" w:ascii="仿宋_GB2312" w:hAnsi="仿宋" w:eastAsia="仿宋_GB2312"/>
          <w:color w:val="auto"/>
          <w:sz w:val="32"/>
          <w:szCs w:val="32"/>
          <w:highlight w:val="none"/>
          <w:lang w:eastAsia="zh-CN"/>
        </w:rPr>
        <w:t>房屋租金市场指导价</w:t>
      </w:r>
      <w:r>
        <w:rPr>
          <w:rFonts w:hint="eastAsia" w:ascii="仿宋_GB2312" w:hAnsi="仿宋" w:eastAsia="仿宋_GB2312"/>
          <w:color w:val="auto"/>
          <w:sz w:val="32"/>
          <w:szCs w:val="32"/>
          <w:highlight w:val="none"/>
        </w:rPr>
        <w:t>的百分之三十</w:t>
      </w:r>
      <w:r>
        <w:rPr>
          <w:rFonts w:hint="eastAsia" w:ascii="仿宋_GB2312" w:hAnsi="仿宋" w:eastAsia="仿宋_GB2312"/>
          <w:color w:val="auto"/>
          <w:sz w:val="32"/>
          <w:szCs w:val="32"/>
          <w:highlight w:val="none"/>
          <w:lang w:eastAsia="zh-CN"/>
        </w:rPr>
        <w:t>，</w:t>
      </w:r>
      <w:r>
        <w:rPr>
          <w:rFonts w:hint="eastAsia" w:ascii="仿宋_GB2312" w:eastAsia="仿宋_GB2312" w:cs="仿宋_GB2312"/>
          <w:color w:val="auto"/>
          <w:kern w:val="0"/>
          <w:sz w:val="32"/>
          <w:szCs w:val="32"/>
          <w:highlight w:val="none"/>
          <w:lang w:eastAsia="zh-CN"/>
        </w:rPr>
        <w:t>给予</w:t>
      </w:r>
      <w:r>
        <w:rPr>
          <w:rFonts w:hint="eastAsia" w:ascii="仿宋_GB2312" w:eastAsia="仿宋_GB2312" w:cs="仿宋_GB2312"/>
          <w:color w:val="auto"/>
          <w:kern w:val="0"/>
          <w:sz w:val="32"/>
          <w:szCs w:val="32"/>
          <w:highlight w:val="none"/>
        </w:rPr>
        <w:t>每年不超过五十万元</w:t>
      </w:r>
      <w:r>
        <w:rPr>
          <w:rFonts w:hint="eastAsia" w:ascii="仿宋_GB2312" w:eastAsia="仿宋_GB2312" w:cs="仿宋_GB2312"/>
          <w:color w:val="auto"/>
          <w:kern w:val="0"/>
          <w:sz w:val="32"/>
          <w:szCs w:val="32"/>
          <w:highlight w:val="none"/>
          <w:lang w:eastAsia="zh-CN"/>
        </w:rPr>
        <w:t>的资助</w:t>
      </w:r>
      <w:r>
        <w:rPr>
          <w:rFonts w:hint="eastAsia" w:ascii="仿宋_GB2312" w:eastAsia="仿宋_GB2312" w:cs="仿宋_GB2312"/>
          <w:color w:val="auto"/>
          <w:kern w:val="0"/>
          <w:sz w:val="32"/>
          <w:szCs w:val="32"/>
          <w:highlight w:val="none"/>
        </w:rPr>
        <w:t>，最多资助三年。</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六十四</w:t>
      </w:r>
      <w:r>
        <w:rPr>
          <w:rFonts w:hint="eastAsia" w:ascii="黑体" w:hAnsi="黑体" w:eastAsia="黑体" w:cs="黑体"/>
          <w:color w:val="auto"/>
          <w:sz w:val="32"/>
          <w:szCs w:val="32"/>
          <w:highlight w:val="none"/>
        </w:rPr>
        <w:t xml:space="preserve">条 </w:t>
      </w:r>
      <w:r>
        <w:rPr>
          <w:rFonts w:hint="eastAsia" w:ascii="仿宋_GB2312" w:hAnsi="仿宋" w:eastAsia="仿宋_GB2312"/>
          <w:color w:val="auto"/>
          <w:sz w:val="32"/>
          <w:szCs w:val="32"/>
          <w:highlight w:val="none"/>
        </w:rPr>
        <w:t>规模发展</w:t>
      </w:r>
      <w:r>
        <w:rPr>
          <w:rFonts w:hint="eastAsia" w:ascii="仿宋_GB2312" w:hAnsi="仿宋" w:eastAsia="仿宋_GB2312"/>
          <w:color w:val="auto"/>
          <w:sz w:val="32"/>
          <w:szCs w:val="32"/>
          <w:highlight w:val="none"/>
          <w:lang w:eastAsia="zh-CN"/>
        </w:rPr>
        <w:t>奖励</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（一）</w:t>
      </w:r>
      <w:r>
        <w:rPr>
          <w:rFonts w:hint="eastAsia" w:ascii="仿宋_GB2312" w:hAnsi="仿宋" w:eastAsia="仿宋_GB2312"/>
          <w:color w:val="auto"/>
          <w:sz w:val="32"/>
          <w:szCs w:val="32"/>
          <w:highlight w:val="none"/>
        </w:rPr>
        <w:t>在盐田区实际从事经营活动满两年的律师事务所，上一年度增加十名、二十名、五十名以上执业律师的（新增执业律师须在该律师事务所缴纳社保），分别给予十万元、二十万元、五十万元的一次性</w:t>
      </w:r>
      <w:r>
        <w:rPr>
          <w:rFonts w:hint="eastAsia" w:ascii="仿宋_GB2312" w:hAnsi="仿宋" w:eastAsia="仿宋_GB2312"/>
          <w:color w:val="auto"/>
          <w:sz w:val="32"/>
          <w:szCs w:val="32"/>
          <w:highlight w:val="none"/>
          <w:lang w:eastAsia="zh-CN"/>
        </w:rPr>
        <w:t>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（二）</w:t>
      </w:r>
      <w:r>
        <w:rPr>
          <w:rFonts w:hint="eastAsia" w:ascii="仿宋_GB2312" w:hAnsi="仿宋" w:eastAsia="仿宋_GB2312"/>
          <w:color w:val="auto"/>
          <w:sz w:val="32"/>
          <w:szCs w:val="32"/>
          <w:highlight w:val="none"/>
        </w:rPr>
        <w:t>在盐田区实际从事经营活动满两年的律师事务所，获得深圳市优秀律师事务所、广东省优秀律师事务所荣誉称号、全国优秀律师事务所荣誉称号、全国涉外法律服务示范机构的，分别给予人民币三十万元、五十万元、一百万元、一百万元的一次性奖励；获得市级、省级、全国律师协会法律服务产品评选项目奖项的律师事务所，分别给予三万元、五万元、十万元的奖励</w:t>
      </w:r>
      <w:r>
        <w:rPr>
          <w:rFonts w:hint="eastAsia" w:ascii="仿宋_GB2312" w:hAnsi="仿宋" w:eastAsia="仿宋_GB2312"/>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（三）对</w:t>
      </w:r>
      <w:r>
        <w:rPr>
          <w:rFonts w:hint="eastAsia" w:ascii="仿宋_GB2312" w:hAnsi="仿宋" w:eastAsia="仿宋_GB2312"/>
          <w:color w:val="auto"/>
          <w:sz w:val="32"/>
          <w:szCs w:val="32"/>
          <w:highlight w:val="none"/>
        </w:rPr>
        <w:t>在盐田区实际从事经营活动</w:t>
      </w:r>
      <w:r>
        <w:rPr>
          <w:rFonts w:hint="eastAsia" w:ascii="仿宋_GB2312" w:hAnsi="仿宋" w:eastAsia="仿宋_GB2312"/>
          <w:color w:val="auto"/>
          <w:sz w:val="32"/>
          <w:szCs w:val="32"/>
          <w:highlight w:val="none"/>
          <w:lang w:eastAsia="zh-CN"/>
        </w:rPr>
        <w:t>、且</w:t>
      </w:r>
      <w:r>
        <w:rPr>
          <w:rFonts w:hint="eastAsia" w:ascii="仿宋_GB2312" w:hAnsi="仿宋" w:eastAsia="仿宋_GB2312"/>
          <w:color w:val="auto"/>
          <w:sz w:val="32"/>
          <w:szCs w:val="32"/>
          <w:highlight w:val="none"/>
        </w:rPr>
        <w:t>新备案取得从事证券业务资格的会计师事务所，给予</w:t>
      </w:r>
      <w:r>
        <w:rPr>
          <w:rFonts w:hint="eastAsia" w:ascii="仿宋_GB2312" w:hAnsi="仿宋" w:eastAsia="仿宋_GB2312"/>
          <w:color w:val="auto"/>
          <w:sz w:val="32"/>
          <w:szCs w:val="32"/>
          <w:highlight w:val="none"/>
          <w:lang w:eastAsia="zh-CN"/>
        </w:rPr>
        <w:t>五十</w:t>
      </w:r>
      <w:r>
        <w:rPr>
          <w:rFonts w:hint="eastAsia" w:ascii="仿宋_GB2312" w:hAnsi="仿宋" w:eastAsia="仿宋_GB2312"/>
          <w:color w:val="auto"/>
          <w:sz w:val="32"/>
          <w:szCs w:val="32"/>
          <w:highlight w:val="none"/>
        </w:rPr>
        <w:t>万元一次性奖励；对上一年度首次进入深圳市会计师事务所业务收入排名前</w:t>
      </w:r>
      <w:r>
        <w:rPr>
          <w:rFonts w:hint="eastAsia" w:ascii="仿宋_GB2312" w:hAnsi="仿宋" w:eastAsia="仿宋_GB2312"/>
          <w:color w:val="auto"/>
          <w:sz w:val="32"/>
          <w:szCs w:val="32"/>
          <w:highlight w:val="none"/>
          <w:lang w:eastAsia="zh-CN"/>
        </w:rPr>
        <w:t>五十</w:t>
      </w:r>
      <w:r>
        <w:rPr>
          <w:rFonts w:hint="eastAsia" w:ascii="仿宋_GB2312" w:hAnsi="仿宋" w:eastAsia="仿宋_GB2312"/>
          <w:color w:val="auto"/>
          <w:sz w:val="32"/>
          <w:szCs w:val="32"/>
          <w:highlight w:val="none"/>
        </w:rPr>
        <w:t>名的会计师事务所，给予</w:t>
      </w:r>
      <w:r>
        <w:rPr>
          <w:rFonts w:hint="eastAsia" w:ascii="仿宋_GB2312" w:hAnsi="仿宋" w:eastAsia="仿宋_GB2312"/>
          <w:color w:val="auto"/>
          <w:sz w:val="32"/>
          <w:szCs w:val="32"/>
          <w:highlight w:val="none"/>
          <w:lang w:eastAsia="zh-CN"/>
        </w:rPr>
        <w:t>十</w:t>
      </w:r>
      <w:r>
        <w:rPr>
          <w:rFonts w:hint="eastAsia" w:ascii="仿宋_GB2312" w:hAnsi="仿宋" w:eastAsia="仿宋_GB2312"/>
          <w:color w:val="auto"/>
          <w:sz w:val="32"/>
          <w:szCs w:val="32"/>
          <w:highlight w:val="none"/>
        </w:rPr>
        <w:t>万元的一次性奖励；对上一年度首次进入深圳市会计师事务所业务收入排名前</w:t>
      </w:r>
      <w:r>
        <w:rPr>
          <w:rFonts w:hint="eastAsia" w:ascii="仿宋_GB2312" w:hAnsi="仿宋" w:eastAsia="仿宋_GB2312"/>
          <w:color w:val="auto"/>
          <w:sz w:val="32"/>
          <w:szCs w:val="32"/>
          <w:highlight w:val="none"/>
          <w:lang w:eastAsia="zh-CN"/>
        </w:rPr>
        <w:t>四十</w:t>
      </w:r>
      <w:r>
        <w:rPr>
          <w:rFonts w:hint="eastAsia" w:ascii="仿宋_GB2312" w:hAnsi="仿宋" w:eastAsia="仿宋_GB2312"/>
          <w:color w:val="auto"/>
          <w:sz w:val="32"/>
          <w:szCs w:val="32"/>
          <w:highlight w:val="none"/>
        </w:rPr>
        <w:t>名的会计师事务所，给予</w:t>
      </w:r>
      <w:r>
        <w:rPr>
          <w:rFonts w:hint="eastAsia" w:ascii="仿宋_GB2312" w:hAnsi="仿宋" w:eastAsia="仿宋_GB2312"/>
          <w:color w:val="auto"/>
          <w:sz w:val="32"/>
          <w:szCs w:val="32"/>
          <w:highlight w:val="none"/>
          <w:lang w:eastAsia="zh-CN"/>
        </w:rPr>
        <w:t>二十</w:t>
      </w:r>
      <w:r>
        <w:rPr>
          <w:rFonts w:hint="eastAsia" w:ascii="仿宋_GB2312" w:hAnsi="仿宋" w:eastAsia="仿宋_GB2312"/>
          <w:color w:val="auto"/>
          <w:sz w:val="32"/>
          <w:szCs w:val="32"/>
          <w:highlight w:val="none"/>
        </w:rPr>
        <w:t>万元的一次性奖励；对上一年度首次进入深圳市会计师事务所业务收入排名前</w:t>
      </w:r>
      <w:r>
        <w:rPr>
          <w:rFonts w:hint="eastAsia" w:ascii="仿宋_GB2312" w:hAnsi="仿宋" w:eastAsia="仿宋_GB2312"/>
          <w:color w:val="auto"/>
          <w:sz w:val="32"/>
          <w:szCs w:val="32"/>
          <w:highlight w:val="none"/>
          <w:lang w:eastAsia="zh-CN"/>
        </w:rPr>
        <w:t>三十</w:t>
      </w:r>
      <w:r>
        <w:rPr>
          <w:rFonts w:hint="eastAsia" w:ascii="仿宋_GB2312" w:hAnsi="仿宋" w:eastAsia="仿宋_GB2312"/>
          <w:color w:val="auto"/>
          <w:sz w:val="32"/>
          <w:szCs w:val="32"/>
          <w:highlight w:val="none"/>
        </w:rPr>
        <w:t>名的会计师事务所，给予</w:t>
      </w:r>
      <w:r>
        <w:rPr>
          <w:rFonts w:hint="eastAsia" w:ascii="仿宋_GB2312" w:hAnsi="仿宋" w:eastAsia="仿宋_GB2312"/>
          <w:color w:val="auto"/>
          <w:sz w:val="32"/>
          <w:szCs w:val="32"/>
          <w:highlight w:val="none"/>
          <w:lang w:eastAsia="zh-CN"/>
        </w:rPr>
        <w:t>三十</w:t>
      </w:r>
      <w:r>
        <w:rPr>
          <w:rFonts w:hint="eastAsia" w:ascii="仿宋_GB2312" w:hAnsi="仿宋" w:eastAsia="仿宋_GB2312"/>
          <w:color w:val="auto"/>
          <w:sz w:val="32"/>
          <w:szCs w:val="32"/>
          <w:highlight w:val="none"/>
        </w:rPr>
        <w:t>万元的一次性奖励。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六十五</w:t>
      </w:r>
      <w:r>
        <w:rPr>
          <w:rFonts w:hint="eastAsia" w:ascii="黑体" w:hAnsi="黑体" w:eastAsia="黑体" w:cs="黑体"/>
          <w:color w:val="auto"/>
          <w:sz w:val="32"/>
          <w:szCs w:val="32"/>
          <w:highlight w:val="none"/>
        </w:rPr>
        <w:t xml:space="preserve">条 </w:t>
      </w:r>
      <w:r>
        <w:rPr>
          <w:rFonts w:hint="eastAsia" w:ascii="仿宋_GB2312" w:hAnsi="仿宋" w:eastAsia="仿宋_GB2312"/>
          <w:color w:val="auto"/>
          <w:sz w:val="32"/>
          <w:szCs w:val="32"/>
          <w:highlight w:val="none"/>
        </w:rPr>
        <w:t>法务人才培育</w:t>
      </w:r>
      <w:r>
        <w:rPr>
          <w:rFonts w:hint="eastAsia" w:ascii="仿宋_GB2312" w:hAnsi="仿宋" w:eastAsia="仿宋_GB2312"/>
          <w:color w:val="auto"/>
          <w:sz w:val="32"/>
          <w:szCs w:val="32"/>
          <w:highlight w:val="none"/>
          <w:lang w:eastAsia="zh-CN"/>
        </w:rPr>
        <w:t>扶持</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（一）</w:t>
      </w:r>
      <w:r>
        <w:rPr>
          <w:rFonts w:hint="eastAsia" w:ascii="仿宋_GB2312" w:hAnsi="仿宋" w:eastAsia="仿宋_GB2312"/>
          <w:color w:val="auto"/>
          <w:sz w:val="32"/>
          <w:szCs w:val="32"/>
          <w:highlight w:val="none"/>
        </w:rPr>
        <w:t>对在盐田区律师事务所实习并申领取得律师执业证的新执业律师，每人执业首年给予所属律师事务所二万元一次性资助</w:t>
      </w:r>
      <w:r>
        <w:rPr>
          <w:rFonts w:hint="eastAsia" w:ascii="仿宋_GB2312" w:hAnsi="仿宋" w:eastAsia="仿宋_GB2312"/>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（二）</w:t>
      </w:r>
      <w:r>
        <w:rPr>
          <w:rFonts w:hint="eastAsia" w:ascii="仿宋_GB2312" w:hAnsi="仿宋" w:eastAsia="仿宋_GB2312"/>
          <w:color w:val="auto"/>
          <w:sz w:val="32"/>
          <w:szCs w:val="32"/>
          <w:highlight w:val="none"/>
        </w:rPr>
        <w:t>对获得深圳市、广东省、全国优秀律师荣誉称号的盐田区执业律师，分别给予</w:t>
      </w:r>
      <w:r>
        <w:rPr>
          <w:rFonts w:hint="eastAsia" w:ascii="仿宋_GB2312" w:hAnsi="仿宋" w:eastAsia="仿宋_GB2312"/>
          <w:color w:val="auto"/>
          <w:sz w:val="32"/>
          <w:szCs w:val="32"/>
          <w:highlight w:val="none"/>
          <w:lang w:eastAsia="zh-CN"/>
        </w:rPr>
        <w:t>所属律师事务所</w:t>
      </w:r>
      <w:r>
        <w:rPr>
          <w:rFonts w:hint="eastAsia" w:ascii="仿宋_GB2312" w:hAnsi="仿宋" w:eastAsia="仿宋_GB2312"/>
          <w:color w:val="auto"/>
          <w:sz w:val="32"/>
          <w:szCs w:val="32"/>
          <w:highlight w:val="none"/>
        </w:rPr>
        <w:t>十万元、</w:t>
      </w:r>
      <w:r>
        <w:rPr>
          <w:rFonts w:hint="eastAsia" w:ascii="仿宋_GB2312" w:hAnsi="仿宋" w:eastAsia="仿宋_GB2312"/>
          <w:color w:val="auto"/>
          <w:sz w:val="32"/>
          <w:szCs w:val="32"/>
          <w:highlight w:val="none"/>
          <w:lang w:eastAsia="zh-CN"/>
        </w:rPr>
        <w:t>二</w:t>
      </w:r>
      <w:r>
        <w:rPr>
          <w:rFonts w:hint="eastAsia" w:ascii="仿宋_GB2312" w:hAnsi="仿宋" w:eastAsia="仿宋_GB2312"/>
          <w:color w:val="auto"/>
          <w:sz w:val="32"/>
          <w:szCs w:val="32"/>
          <w:highlight w:val="none"/>
        </w:rPr>
        <w:t>十万元、五十万元的一次性奖励</w:t>
      </w:r>
      <w:r>
        <w:rPr>
          <w:rFonts w:hint="eastAsia" w:ascii="仿宋_GB2312" w:hAnsi="仿宋" w:eastAsia="仿宋_GB2312"/>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（三）</w:t>
      </w:r>
      <w:r>
        <w:rPr>
          <w:rFonts w:hint="eastAsia" w:ascii="仿宋_GB2312" w:hAnsi="仿宋" w:eastAsia="仿宋_GB2312"/>
          <w:color w:val="auto"/>
          <w:sz w:val="32"/>
          <w:szCs w:val="32"/>
          <w:highlight w:val="none"/>
        </w:rPr>
        <w:t>对于新取得专利代理师、注册会计师、税务师、注册建筑师、注册医师等资格及新取得境外律师资格和执业许可的中国执业律师，在盐田区实际从事经营活动的律师事务所执业满两年的，给予</w:t>
      </w:r>
      <w:r>
        <w:rPr>
          <w:rFonts w:hint="eastAsia" w:ascii="仿宋_GB2312" w:hAnsi="仿宋" w:eastAsia="仿宋_GB2312"/>
          <w:color w:val="auto"/>
          <w:sz w:val="32"/>
          <w:szCs w:val="32"/>
          <w:highlight w:val="none"/>
          <w:lang w:eastAsia="zh-CN"/>
        </w:rPr>
        <w:t>所属律师事务所</w:t>
      </w:r>
      <w:r>
        <w:rPr>
          <w:rFonts w:hint="eastAsia" w:ascii="仿宋_GB2312" w:hAnsi="仿宋" w:eastAsia="仿宋_GB2312"/>
          <w:color w:val="auto"/>
          <w:sz w:val="32"/>
          <w:szCs w:val="32"/>
          <w:highlight w:val="none"/>
        </w:rPr>
        <w:t>三万元的一次性奖励。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六十六</w:t>
      </w:r>
      <w:r>
        <w:rPr>
          <w:rFonts w:hint="eastAsia" w:ascii="黑体" w:hAnsi="黑体" w:eastAsia="黑体" w:cs="黑体"/>
          <w:color w:val="auto"/>
          <w:sz w:val="32"/>
          <w:szCs w:val="32"/>
          <w:highlight w:val="none"/>
        </w:rPr>
        <w:t xml:space="preserve">条 </w:t>
      </w:r>
      <w:r>
        <w:rPr>
          <w:rFonts w:hint="eastAsia" w:ascii="仿宋_GB2312" w:hAnsi="仿宋" w:eastAsia="仿宋_GB2312"/>
          <w:color w:val="auto"/>
          <w:sz w:val="32"/>
          <w:szCs w:val="32"/>
          <w:highlight w:val="none"/>
        </w:rPr>
        <w:t>深港法律服务合作</w:t>
      </w:r>
      <w:r>
        <w:rPr>
          <w:rFonts w:hint="eastAsia" w:ascii="仿宋_GB2312" w:hAnsi="仿宋" w:eastAsia="仿宋_GB2312"/>
          <w:color w:val="auto"/>
          <w:sz w:val="32"/>
          <w:szCs w:val="32"/>
          <w:highlight w:val="none"/>
          <w:lang w:eastAsia="zh-CN"/>
        </w:rPr>
        <w:t>扶持</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（一）</w:t>
      </w:r>
      <w:r>
        <w:rPr>
          <w:rFonts w:hint="eastAsia" w:ascii="仿宋_GB2312" w:hAnsi="仿宋" w:eastAsia="仿宋_GB2312"/>
          <w:color w:val="auto"/>
          <w:sz w:val="32"/>
          <w:szCs w:val="32"/>
          <w:highlight w:val="none"/>
        </w:rPr>
        <w:t>联营律师事务所（含分所）在盐田区实际从事经营活动的，经营满一年后给予五十万元一次性</w:t>
      </w:r>
      <w:r>
        <w:rPr>
          <w:rFonts w:hint="eastAsia" w:ascii="仿宋_GB2312" w:hAnsi="仿宋" w:eastAsia="仿宋_GB2312"/>
          <w:color w:val="auto"/>
          <w:sz w:val="32"/>
          <w:szCs w:val="32"/>
          <w:highlight w:val="none"/>
          <w:lang w:eastAsia="zh-CN"/>
        </w:rPr>
        <w:t>奖励；</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（二）</w:t>
      </w:r>
      <w:r>
        <w:rPr>
          <w:rFonts w:hint="eastAsia" w:ascii="仿宋_GB2312" w:hAnsi="仿宋" w:eastAsia="仿宋_GB2312"/>
          <w:color w:val="auto"/>
          <w:sz w:val="32"/>
          <w:szCs w:val="32"/>
          <w:highlight w:val="none"/>
        </w:rPr>
        <w:t>鼓励盐田区法律服务机构聘用取得律师执业证书（粤港澳大湾区）人员，每聘用一名并实际开展业务的，按每年三万元的标准，给予法律服务机构用人</w:t>
      </w:r>
      <w:r>
        <w:rPr>
          <w:rFonts w:hint="eastAsia" w:ascii="仿宋_GB2312" w:hAnsi="仿宋" w:eastAsia="仿宋_GB2312"/>
          <w:color w:val="auto"/>
          <w:sz w:val="32"/>
          <w:szCs w:val="32"/>
          <w:highlight w:val="none"/>
          <w:lang w:eastAsia="zh-CN"/>
        </w:rPr>
        <w:t>资助</w:t>
      </w:r>
      <w:r>
        <w:rPr>
          <w:rFonts w:hint="eastAsia" w:ascii="仿宋_GB2312" w:hAnsi="仿宋" w:eastAsia="仿宋_GB2312"/>
          <w:color w:val="auto"/>
          <w:sz w:val="32"/>
          <w:szCs w:val="32"/>
          <w:highlight w:val="none"/>
        </w:rPr>
        <w:t>；每家法律服务机构每年</w:t>
      </w:r>
      <w:r>
        <w:rPr>
          <w:rFonts w:hint="eastAsia" w:ascii="仿宋_GB2312" w:hAnsi="仿宋" w:eastAsia="仿宋_GB2312"/>
          <w:color w:val="auto"/>
          <w:sz w:val="32"/>
          <w:szCs w:val="32"/>
          <w:highlight w:val="none"/>
          <w:lang w:eastAsia="zh-CN"/>
        </w:rPr>
        <w:t>资助</w:t>
      </w:r>
      <w:r>
        <w:rPr>
          <w:rFonts w:hint="eastAsia" w:ascii="仿宋_GB2312" w:hAnsi="仿宋" w:eastAsia="仿宋_GB2312"/>
          <w:color w:val="auto"/>
          <w:sz w:val="32"/>
          <w:szCs w:val="32"/>
          <w:highlight w:val="none"/>
        </w:rPr>
        <w:t>不超过一百万元，</w:t>
      </w:r>
      <w:r>
        <w:rPr>
          <w:rFonts w:hint="eastAsia" w:ascii="仿宋_GB2312" w:hAnsi="仿宋" w:eastAsia="仿宋_GB2312"/>
          <w:color w:val="auto"/>
          <w:sz w:val="32"/>
          <w:szCs w:val="32"/>
          <w:highlight w:val="none"/>
          <w:lang w:eastAsia="zh-CN"/>
        </w:rPr>
        <w:t>资助</w:t>
      </w:r>
      <w:r>
        <w:rPr>
          <w:rFonts w:hint="eastAsia" w:ascii="仿宋_GB2312" w:hAnsi="仿宋" w:eastAsia="仿宋_GB2312"/>
          <w:color w:val="auto"/>
          <w:sz w:val="32"/>
          <w:szCs w:val="32"/>
          <w:highlight w:val="none"/>
        </w:rPr>
        <w:t>期限不超过三年。聘用并实际开展业务的取得律师执业证书（粤港澳大湾区）人员达到三十人以上的法律服务机构，一次性叠加</w:t>
      </w:r>
      <w:r>
        <w:rPr>
          <w:rFonts w:hint="eastAsia" w:ascii="仿宋_GB2312" w:hAnsi="仿宋" w:eastAsia="仿宋_GB2312"/>
          <w:color w:val="auto"/>
          <w:sz w:val="32"/>
          <w:szCs w:val="32"/>
          <w:highlight w:val="none"/>
          <w:lang w:eastAsia="zh-CN"/>
        </w:rPr>
        <w:t>资助</w:t>
      </w:r>
      <w:r>
        <w:rPr>
          <w:rFonts w:hint="eastAsia" w:ascii="仿宋_GB2312" w:hAnsi="仿宋" w:eastAsia="仿宋_GB2312"/>
          <w:color w:val="auto"/>
          <w:sz w:val="32"/>
          <w:szCs w:val="32"/>
          <w:highlight w:val="none"/>
        </w:rPr>
        <w:t>二十万元。</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p>
    <w:p>
      <w:pPr>
        <w:keepNext w:val="0"/>
        <w:keepLines w:val="0"/>
        <w:pageBreakBefore w:val="0"/>
        <w:widowControl w:val="0"/>
        <w:numPr>
          <w:ilvl w:val="255"/>
          <w:numId w:val="0"/>
        </w:numPr>
        <w:kinsoku/>
        <w:wordWrap/>
        <w:overflowPunct w:val="0"/>
        <w:topLinePunct w:val="0"/>
        <w:autoSpaceDE w:val="0"/>
        <w:autoSpaceDN w:val="0"/>
        <w:bidi w:val="0"/>
        <w:adjustRightInd w:val="0"/>
        <w:snapToGrid w:val="0"/>
        <w:spacing w:after="313" w:afterLines="100" w:line="560" w:lineRule="exact"/>
        <w:ind w:firstLine="0" w:firstLineChars="0"/>
        <w:jc w:val="center"/>
        <w:textAlignment w:val="auto"/>
        <w:rPr>
          <w:rFonts w:hint="eastAsia" w:ascii="黑体" w:hAnsi="宋体" w:eastAsia="黑体" w:cs="黑体"/>
          <w:color w:val="auto"/>
          <w:sz w:val="32"/>
          <w:szCs w:val="32"/>
          <w:highlight w:val="none"/>
        </w:rPr>
      </w:pPr>
      <w:r>
        <w:rPr>
          <w:rFonts w:hint="eastAsia" w:ascii="黑体" w:hAnsi="宋体" w:eastAsia="黑体" w:cs="黑体"/>
          <w:color w:val="auto"/>
          <w:sz w:val="32"/>
          <w:szCs w:val="32"/>
          <w:highlight w:val="none"/>
        </w:rPr>
        <w:t>第八章 附则</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六十七</w:t>
      </w:r>
      <w:r>
        <w:rPr>
          <w:rFonts w:hint="eastAsia" w:ascii="黑体" w:hAnsi="黑体" w:eastAsia="黑体" w:cs="黑体"/>
          <w:color w:val="auto"/>
          <w:sz w:val="32"/>
          <w:szCs w:val="32"/>
          <w:highlight w:val="none"/>
        </w:rPr>
        <w:t xml:space="preserve">条 </w:t>
      </w:r>
      <w:r>
        <w:rPr>
          <w:rFonts w:hint="eastAsia" w:ascii="仿宋_GB2312" w:hAnsi="仿宋" w:eastAsia="仿宋_GB2312"/>
          <w:color w:val="auto"/>
          <w:sz w:val="32"/>
          <w:szCs w:val="32"/>
          <w:highlight w:val="none"/>
        </w:rPr>
        <w:t>本办法所称的“以上”“以下”“不超过”“不低于”含本数，“超过”“不满”不含本数；“年”“年度”指自然年度；“上一年度”指扶持对象申请扶持时点的前一年度。本政策所称的“5+3+1”现代产业体系是指盐田区围绕重点发展的数字创意、现代时尚、海洋产业、高端医疗器械、大健康等战略性新兴产业，与合成生物、细胞与基因、深地深海等未来产业及东部滨海先进制造业园区盐田片区打造的现代产业体系。</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六十八</w:t>
      </w:r>
      <w:r>
        <w:rPr>
          <w:rFonts w:hint="eastAsia" w:ascii="黑体" w:hAnsi="黑体" w:eastAsia="黑体" w:cs="黑体"/>
          <w:color w:val="auto"/>
          <w:sz w:val="32"/>
          <w:szCs w:val="32"/>
          <w:highlight w:val="none"/>
        </w:rPr>
        <w:t xml:space="preserve">条 </w:t>
      </w:r>
      <w:r>
        <w:rPr>
          <w:rFonts w:hint="eastAsia" w:ascii="仿宋_GB2312" w:hAnsi="仿宋" w:eastAsia="仿宋_GB2312"/>
          <w:color w:val="auto"/>
          <w:sz w:val="32"/>
          <w:szCs w:val="32"/>
          <w:highlight w:val="none"/>
        </w:rPr>
        <w:t>扶持对象在享受本办法第三条、</w:t>
      </w:r>
      <w:r>
        <w:rPr>
          <w:rFonts w:hint="eastAsia" w:ascii="仿宋_GB2312" w:hAnsi="仿宋" w:eastAsia="仿宋_GB2312"/>
          <w:color w:val="auto"/>
          <w:sz w:val="32"/>
          <w:szCs w:val="32"/>
          <w:highlight w:val="none"/>
          <w:lang w:eastAsia="zh-CN"/>
        </w:rPr>
        <w:t>第十条第（二）项、第十三条、第二十四条、第四十条、第四十一条第（一）项、第四十五条、第五十二条</w:t>
      </w:r>
      <w:r>
        <w:rPr>
          <w:rFonts w:hint="eastAsia" w:ascii="仿宋_GB2312" w:hAnsi="仿宋" w:eastAsia="仿宋_GB2312"/>
          <w:color w:val="auto"/>
          <w:sz w:val="32"/>
          <w:szCs w:val="32"/>
          <w:highlight w:val="none"/>
        </w:rPr>
        <w:t>所涉扶持金额时，不受盐田区产业发展资金管理规定有关扶持上限要求的限制。扶持对象在</w:t>
      </w:r>
      <w:r>
        <w:rPr>
          <w:rFonts w:hint="eastAsia" w:ascii="仿宋_GB2312" w:hAnsi="仿宋" w:eastAsia="仿宋_GB2312"/>
          <w:color w:val="auto"/>
          <w:sz w:val="32"/>
          <w:szCs w:val="32"/>
          <w:highlight w:val="none"/>
          <w:lang w:eastAsia="zh-CN"/>
        </w:rPr>
        <w:t>享受第二十六条、第三十三条、第四十一条第（二）项、第四十二条、</w:t>
      </w:r>
      <w:r>
        <w:rPr>
          <w:rFonts w:hint="eastAsia" w:ascii="仿宋_GB2312" w:hAnsi="仿宋" w:eastAsia="仿宋_GB2312"/>
          <w:b w:val="0"/>
          <w:bCs w:val="0"/>
          <w:color w:val="auto"/>
          <w:sz w:val="32"/>
          <w:szCs w:val="32"/>
          <w:highlight w:val="none"/>
          <w:lang w:eastAsia="zh-CN"/>
        </w:rPr>
        <w:t>第四十九条、第五十条第（一）（三）（四）（五）项</w:t>
      </w:r>
      <w:r>
        <w:rPr>
          <w:rFonts w:hint="eastAsia" w:ascii="仿宋_GB2312" w:hAnsi="仿宋" w:eastAsia="仿宋_GB2312"/>
          <w:color w:val="auto"/>
          <w:sz w:val="32"/>
          <w:szCs w:val="32"/>
          <w:highlight w:val="none"/>
          <w:lang w:eastAsia="zh-CN"/>
        </w:rPr>
        <w:t>所涉扶持金额时，不限定于在盐田区实际从事经营活动的企业、机构、单位。</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六十九</w:t>
      </w:r>
      <w:r>
        <w:rPr>
          <w:rFonts w:hint="eastAsia" w:ascii="黑体" w:hAnsi="黑体" w:eastAsia="黑体" w:cs="黑体"/>
          <w:color w:val="auto"/>
          <w:sz w:val="32"/>
          <w:szCs w:val="32"/>
          <w:highlight w:val="none"/>
        </w:rPr>
        <w:t xml:space="preserve">条 </w:t>
      </w:r>
      <w:r>
        <w:rPr>
          <w:rFonts w:hint="eastAsia" w:ascii="仿宋_GB2312" w:hAnsi="仿宋" w:eastAsia="仿宋_GB2312"/>
          <w:color w:val="auto"/>
          <w:sz w:val="32"/>
          <w:szCs w:val="32"/>
          <w:highlight w:val="none"/>
        </w:rPr>
        <w:t>扶持对象同一事项已获得其他不属于区产业发展资金的区级财政扶持的，不再重复获得本办法扶持。本办法涉及租金</w:t>
      </w:r>
      <w:r>
        <w:rPr>
          <w:rFonts w:hint="eastAsia" w:ascii="仿宋_GB2312" w:hAnsi="仿宋" w:eastAsia="仿宋_GB2312"/>
          <w:color w:val="auto"/>
          <w:sz w:val="32"/>
          <w:szCs w:val="32"/>
          <w:highlight w:val="none"/>
          <w:lang w:eastAsia="zh-CN"/>
        </w:rPr>
        <w:t>资助</w:t>
      </w:r>
      <w:r>
        <w:rPr>
          <w:rFonts w:hint="eastAsia" w:ascii="仿宋_GB2312" w:hAnsi="仿宋" w:eastAsia="仿宋_GB2312"/>
          <w:color w:val="auto"/>
          <w:sz w:val="32"/>
          <w:szCs w:val="32"/>
          <w:highlight w:val="none"/>
        </w:rPr>
        <w:t>的项目，各扶持对象不能就同一租金重复获得</w:t>
      </w:r>
      <w:r>
        <w:rPr>
          <w:rFonts w:hint="eastAsia" w:ascii="仿宋_GB2312" w:hAnsi="仿宋" w:eastAsia="仿宋_GB2312"/>
          <w:color w:val="auto"/>
          <w:sz w:val="32"/>
          <w:szCs w:val="32"/>
          <w:highlight w:val="none"/>
          <w:lang w:eastAsia="zh-CN"/>
        </w:rPr>
        <w:t>资助</w:t>
      </w:r>
      <w:r>
        <w:rPr>
          <w:rFonts w:hint="eastAsia" w:ascii="仿宋_GB2312" w:hAnsi="仿宋" w:eastAsia="仿宋_GB2312"/>
          <w:color w:val="auto"/>
          <w:sz w:val="32"/>
          <w:szCs w:val="32"/>
          <w:highlight w:val="none"/>
        </w:rPr>
        <w:t>，若扶持对象实际租金价格低于房屋租金市场指导价的，则按扶持对象实际租金价格为基准进行计算。房屋租金市场指导价未出台新版本的，以此前出台的最后版本为准。扶持对象享受租金</w:t>
      </w:r>
      <w:r>
        <w:rPr>
          <w:rFonts w:hint="eastAsia" w:ascii="仿宋_GB2312" w:hAnsi="仿宋" w:eastAsia="仿宋_GB2312"/>
          <w:color w:val="auto"/>
          <w:sz w:val="32"/>
          <w:szCs w:val="32"/>
          <w:highlight w:val="none"/>
          <w:lang w:eastAsia="zh-CN"/>
        </w:rPr>
        <w:t>资助</w:t>
      </w:r>
      <w:r>
        <w:rPr>
          <w:rFonts w:hint="eastAsia" w:ascii="仿宋_GB2312" w:hAnsi="仿宋" w:eastAsia="仿宋_GB2312"/>
          <w:color w:val="auto"/>
          <w:sz w:val="32"/>
          <w:szCs w:val="32"/>
          <w:highlight w:val="none"/>
        </w:rPr>
        <w:t>的用房不含政策性产业用房。</w:t>
      </w:r>
    </w:p>
    <w:p>
      <w:pPr>
        <w:keepNext w:val="0"/>
        <w:keepLines w:val="0"/>
        <w:pageBreakBefore w:val="0"/>
        <w:widowControl w:val="0"/>
        <w:kinsoku/>
        <w:wordWrap/>
        <w:overflowPunct w:val="0"/>
        <w:topLinePunct w:val="0"/>
        <w:autoSpaceDE w:val="0"/>
        <w:autoSpaceDN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七十</w:t>
      </w:r>
      <w:r>
        <w:rPr>
          <w:rFonts w:hint="eastAsia" w:ascii="黑体" w:hAnsi="黑体" w:eastAsia="黑体" w:cs="黑体"/>
          <w:color w:val="auto"/>
          <w:sz w:val="32"/>
          <w:szCs w:val="32"/>
          <w:highlight w:val="none"/>
        </w:rPr>
        <w:t>条</w:t>
      </w:r>
      <w:r>
        <w:rPr>
          <w:rFonts w:hint="eastAsia" w:ascii="仿宋_GB2312" w:hAnsi="仿宋" w:eastAsia="仿宋_GB2312"/>
          <w:color w:val="auto"/>
          <w:sz w:val="32"/>
          <w:szCs w:val="32"/>
          <w:highlight w:val="none"/>
        </w:rPr>
        <w:t xml:space="preserve"> 本办法由区政府授权区工业和信息化局负责解释。本办法实施后，各条款由相应主管部门制定操作规程或申报指南，并负责实施，</w:t>
      </w:r>
      <w:r>
        <w:rPr>
          <w:rFonts w:hint="eastAsia" w:ascii="仿宋_GB2312" w:hAnsi="仿宋" w:eastAsia="仿宋_GB2312"/>
          <w:color w:val="auto"/>
          <w:sz w:val="32"/>
          <w:szCs w:val="32"/>
          <w:highlight w:val="none"/>
          <w:lang w:eastAsia="zh-CN"/>
        </w:rPr>
        <w:t>由</w:t>
      </w:r>
      <w:r>
        <w:rPr>
          <w:rFonts w:hint="eastAsia" w:ascii="仿宋_GB2312" w:hAnsi="仿宋" w:eastAsia="仿宋_GB2312"/>
          <w:color w:val="auto"/>
          <w:sz w:val="32"/>
          <w:szCs w:val="32"/>
          <w:highlight w:val="none"/>
        </w:rPr>
        <w:t>区投资推广和企业服务中心统一受理扶持对象</w:t>
      </w:r>
      <w:r>
        <w:rPr>
          <w:rFonts w:hint="eastAsia" w:ascii="仿宋_GB2312" w:hAnsi="仿宋" w:eastAsia="仿宋_GB2312"/>
          <w:color w:val="auto"/>
          <w:sz w:val="32"/>
          <w:szCs w:val="32"/>
          <w:highlight w:val="none"/>
          <w:lang w:eastAsia="zh-CN"/>
        </w:rPr>
        <w:t>的</w:t>
      </w:r>
      <w:r>
        <w:rPr>
          <w:rFonts w:hint="eastAsia" w:ascii="仿宋_GB2312" w:hAnsi="仿宋" w:eastAsia="仿宋_GB2312"/>
          <w:color w:val="auto"/>
          <w:sz w:val="32"/>
          <w:szCs w:val="32"/>
          <w:highlight w:val="none"/>
        </w:rPr>
        <w:t>申请。如无其他法律、法规或规范性文件有禁止性、替代性规定，且项目在本办法施行期间符合相应条款条件的，扶持对象可按项目受理单位发布的受理通知申请扶持，逾期不再受理。</w:t>
      </w:r>
    </w:p>
    <w:p>
      <w:pPr>
        <w:keepNext w:val="0"/>
        <w:keepLines w:val="0"/>
        <w:pageBreakBefore w:val="0"/>
        <w:widowControl w:val="0"/>
        <w:kinsoku/>
        <w:topLinePunct w:val="0"/>
        <w:bidi w:val="0"/>
        <w:spacing w:line="560" w:lineRule="exact"/>
        <w:ind w:firstLine="640" w:firstLineChars="200"/>
        <w:contextualSpacing/>
        <w:textAlignment w:val="auto"/>
        <w:rPr>
          <w:rFonts w:hint="eastAsia"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七十一</w:t>
      </w:r>
      <w:r>
        <w:rPr>
          <w:rFonts w:hint="eastAsia" w:ascii="黑体" w:hAnsi="黑体" w:eastAsia="黑体" w:cs="黑体"/>
          <w:color w:val="auto"/>
          <w:sz w:val="32"/>
          <w:szCs w:val="32"/>
          <w:highlight w:val="none"/>
        </w:rPr>
        <w:t xml:space="preserve">条 </w:t>
      </w:r>
      <w:r>
        <w:rPr>
          <w:rFonts w:hint="eastAsia" w:ascii="仿宋_GB2312" w:hAnsi="仿宋" w:eastAsia="仿宋_GB2312"/>
          <w:color w:val="auto"/>
          <w:sz w:val="32"/>
          <w:szCs w:val="32"/>
          <w:highlight w:val="none"/>
        </w:rPr>
        <w:t>本办法自</w:t>
      </w:r>
      <w:r>
        <w:rPr>
          <w:rFonts w:hint="eastAsia" w:ascii="仿宋_GB2312" w:hAnsi="仿宋" w:eastAsia="仿宋_GB2312"/>
          <w:color w:val="auto"/>
          <w:sz w:val="32"/>
          <w:szCs w:val="32"/>
          <w:highlight w:val="none"/>
          <w:lang w:val="en-US" w:eastAsia="zh-CN"/>
        </w:rPr>
        <w:t>2023</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26</w:t>
      </w:r>
      <w:r>
        <w:rPr>
          <w:rFonts w:hint="eastAsia" w:ascii="仿宋_GB2312" w:hAnsi="仿宋" w:eastAsia="仿宋_GB2312"/>
          <w:color w:val="auto"/>
          <w:sz w:val="32"/>
          <w:szCs w:val="32"/>
          <w:highlight w:val="none"/>
        </w:rPr>
        <w:t>日起施行，有效期至</w:t>
      </w:r>
      <w:r>
        <w:rPr>
          <w:rFonts w:hint="eastAsia" w:ascii="仿宋_GB2312" w:hAnsi="仿宋" w:eastAsia="仿宋_GB2312"/>
          <w:color w:val="auto"/>
          <w:sz w:val="32"/>
          <w:szCs w:val="32"/>
          <w:highlight w:val="none"/>
          <w:lang w:val="en-US" w:eastAsia="zh-CN"/>
        </w:rPr>
        <w:t>2027</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31</w:t>
      </w:r>
      <w:r>
        <w:rPr>
          <w:rFonts w:hint="eastAsia" w:ascii="仿宋_GB2312" w:hAnsi="仿宋" w:eastAsia="仿宋_GB2312"/>
          <w:color w:val="auto"/>
          <w:sz w:val="32"/>
          <w:szCs w:val="32"/>
          <w:highlight w:val="none"/>
        </w:rPr>
        <w:t>日。国家政策出现重大调整或另有规定的，予以相应调整。本办法施行之日起，《深圳市盐田区人民政府关于印发盐田区构建现代产业体系促进经济高质量发展扶持办法的通知》（深盐府规〔2022〕2号）、</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color w:val="auto"/>
          <w:sz w:val="32"/>
          <w:szCs w:val="32"/>
          <w:highlight w:val="none"/>
        </w:rPr>
        <w:t>深圳市盐田区人民政府关于印发</w:t>
      </w:r>
      <w:r>
        <w:rPr>
          <w:rFonts w:hint="eastAsia" w:ascii="仿宋_GB2312" w:hAnsi="仿宋_GB2312" w:eastAsia="仿宋_GB2312" w:cs="仿宋_GB2312"/>
          <w:color w:val="auto"/>
          <w:sz w:val="32"/>
          <w:szCs w:val="32"/>
          <w:highlight w:val="none"/>
          <w:lang w:val="en-US" w:eastAsia="zh-CN"/>
        </w:rPr>
        <w:t>盐田区律师服务业发展扶持办法》（深盐府规〔2019〕6号）</w:t>
      </w:r>
      <w:r>
        <w:rPr>
          <w:rFonts w:hint="eastAsia" w:ascii="仿宋_GB2312" w:hAnsi="仿宋" w:eastAsia="仿宋_GB2312"/>
          <w:color w:val="auto"/>
          <w:sz w:val="32"/>
          <w:szCs w:val="32"/>
          <w:highlight w:val="none"/>
        </w:rPr>
        <w:t>同时废止，本办法施行后不再按上述已废止政策进行项目受理和扶持，对于此前已受理的项目仍然可按原政策标准予以扶持。</w:t>
      </w:r>
    </w:p>
    <w:p>
      <w:pPr>
        <w:spacing w:line="580" w:lineRule="exact"/>
        <w:ind w:firstLine="640" w:firstLineChars="200"/>
        <w:contextualSpacing/>
        <w:rPr>
          <w:rFonts w:ascii="华文中宋" w:hAnsi="华文中宋" w:eastAsia="华文中宋" w:cs="仿宋_GB2312"/>
          <w:color w:val="000000"/>
          <w:sz w:val="32"/>
          <w:szCs w:val="32"/>
          <w:highlight w:val="none"/>
        </w:rPr>
      </w:pPr>
    </w:p>
    <w:p>
      <w:pPr>
        <w:spacing w:afterLines="100" w:line="580" w:lineRule="exact"/>
        <w:rPr>
          <w:rFonts w:ascii="华文中宋" w:hAnsi="华文中宋" w:eastAsia="华文中宋" w:cs="仿宋_GB2312"/>
          <w:color w:val="000000"/>
          <w:sz w:val="32"/>
          <w:szCs w:val="32"/>
          <w:highlight w:val="none"/>
        </w:rPr>
      </w:pPr>
    </w:p>
    <w:p>
      <w:pPr>
        <w:spacing w:afterLines="50" w:line="580" w:lineRule="exact"/>
        <w:rPr>
          <w:rFonts w:ascii="华文中宋" w:hAnsi="华文中宋" w:eastAsia="华文中宋" w:cs="仿宋_GB2312"/>
          <w:color w:val="000000"/>
          <w:sz w:val="32"/>
          <w:szCs w:val="32"/>
          <w:highlight w:val="none"/>
        </w:rPr>
      </w:pPr>
    </w:p>
    <w:p>
      <w:pPr>
        <w:spacing w:afterLines="0" w:line="580" w:lineRule="exact"/>
        <w:rPr>
          <w:rFonts w:ascii="华文中宋" w:hAnsi="华文中宋" w:eastAsia="华文中宋" w:cs="仿宋_GB2312"/>
          <w:color w:val="000000"/>
          <w:sz w:val="32"/>
          <w:szCs w:val="32"/>
          <w:highlight w:val="none"/>
        </w:rPr>
      </w:pPr>
    </w:p>
    <w:p>
      <w:pPr>
        <w:spacing w:afterLines="0" w:line="580" w:lineRule="exact"/>
        <w:rPr>
          <w:rFonts w:ascii="华文中宋" w:hAnsi="华文中宋" w:eastAsia="华文中宋" w:cs="仿宋_GB2312"/>
          <w:color w:val="000000"/>
          <w:sz w:val="32"/>
          <w:szCs w:val="32"/>
          <w:highlight w:val="none"/>
        </w:rPr>
      </w:pPr>
    </w:p>
    <w:p>
      <w:pPr>
        <w:spacing w:afterLines="0" w:line="580" w:lineRule="exact"/>
        <w:rPr>
          <w:rFonts w:ascii="华文中宋" w:hAnsi="华文中宋" w:eastAsia="华文中宋" w:cs="仿宋_GB2312"/>
          <w:color w:val="000000"/>
          <w:sz w:val="32"/>
          <w:szCs w:val="32"/>
          <w:highlight w:val="none"/>
        </w:rPr>
      </w:pPr>
    </w:p>
    <w:p>
      <w:pPr>
        <w:spacing w:afterLines="0" w:line="580" w:lineRule="exact"/>
        <w:rPr>
          <w:rFonts w:ascii="华文中宋" w:hAnsi="华文中宋" w:eastAsia="华文中宋" w:cs="仿宋_GB2312"/>
          <w:color w:val="000000"/>
          <w:sz w:val="32"/>
          <w:szCs w:val="32"/>
          <w:highlight w:val="none"/>
        </w:rPr>
      </w:pPr>
    </w:p>
    <w:p>
      <w:pPr>
        <w:spacing w:afterLines="0" w:line="580" w:lineRule="exact"/>
        <w:rPr>
          <w:rFonts w:ascii="华文中宋" w:hAnsi="华文中宋" w:eastAsia="华文中宋" w:cs="仿宋_GB2312"/>
          <w:color w:val="000000"/>
          <w:sz w:val="32"/>
          <w:szCs w:val="32"/>
          <w:highlight w:val="none"/>
        </w:rPr>
      </w:pPr>
    </w:p>
    <w:p>
      <w:pPr>
        <w:pStyle w:val="5"/>
        <w:ind w:left="0"/>
        <w:rPr>
          <w:rFonts w:ascii="华文中宋" w:hAnsi="华文中宋" w:eastAsia="华文中宋" w:cs="仿宋_GB2312"/>
          <w:color w:val="000000"/>
          <w:sz w:val="32"/>
          <w:szCs w:val="32"/>
          <w:highlight w:val="none"/>
        </w:rPr>
      </w:pPr>
    </w:p>
    <w:p>
      <w:pPr>
        <w:pStyle w:val="6"/>
        <w:rPr>
          <w:highlight w:val="none"/>
        </w:rPr>
      </w:pPr>
    </w:p>
    <w:p>
      <w:pPr>
        <w:spacing w:line="580" w:lineRule="exact"/>
        <w:rPr>
          <w:rFonts w:ascii="仿宋_GB2312" w:hAnsi="华文中宋" w:eastAsia="仿宋_GB2312"/>
          <w:color w:val="000000"/>
          <w:sz w:val="32"/>
          <w:szCs w:val="32"/>
          <w:highlight w:val="none"/>
        </w:rPr>
      </w:pPr>
      <w:r>
        <w:rPr>
          <w:rFonts w:hint="eastAsia" w:ascii="黑体" w:hAnsi="华文中宋" w:eastAsia="黑体"/>
          <w:color w:val="000000"/>
          <w:sz w:val="32"/>
          <w:szCs w:val="32"/>
          <w:highlight w:val="none"/>
        </w:rPr>
        <w:t>公开方式：</w:t>
      </w:r>
      <w:r>
        <w:rPr>
          <w:rFonts w:hint="eastAsia" w:ascii="仿宋_GB2312" w:hAnsi="华文中宋" w:eastAsia="仿宋_GB2312"/>
          <w:color w:val="000000"/>
          <w:sz w:val="32"/>
          <w:szCs w:val="32"/>
          <w:highlight w:val="none"/>
        </w:rPr>
        <w:t>主动公开</w:t>
      </w:r>
    </w:p>
    <w:p>
      <w:pPr>
        <w:spacing w:line="580" w:lineRule="exact"/>
        <w:rPr>
          <w:rFonts w:ascii="仿宋_GB2312" w:hAnsi="华文中宋" w:eastAsia="仿宋_GB2312"/>
          <w:color w:val="000000"/>
          <w:sz w:val="32"/>
          <w:szCs w:val="32"/>
          <w:highlight w:val="none"/>
        </w:rPr>
      </w:pPr>
    </w:p>
    <w:p>
      <w:pPr>
        <w:pBdr>
          <w:top w:val="single" w:color="auto" w:sz="8" w:space="1"/>
          <w:left w:val="none" w:color="auto" w:sz="0" w:space="4"/>
          <w:bottom w:val="single" w:color="auto" w:sz="8" w:space="1"/>
          <w:right w:val="none" w:color="auto" w:sz="0" w:space="4"/>
          <w:between w:val="single" w:color="auto" w:sz="4" w:space="0"/>
        </w:pBdr>
        <w:ind w:firstLine="140" w:firstLineChars="5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深圳市盐田区人民政府办公室               202</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lang w:val="en-US" w:eastAsia="zh-CN"/>
        </w:rPr>
        <w:t>12</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lang w:val="en-US" w:eastAsia="zh-CN"/>
        </w:rPr>
        <w:t>14</w:t>
      </w:r>
      <w:r>
        <w:rPr>
          <w:rFonts w:hint="eastAsia" w:ascii="仿宋_GB2312" w:hAnsi="仿宋_GB2312" w:eastAsia="仿宋_GB2312" w:cs="仿宋_GB2312"/>
          <w:color w:val="000000"/>
          <w:sz w:val="28"/>
          <w:szCs w:val="28"/>
          <w:highlight w:val="none"/>
        </w:rPr>
        <w:t>日印发</w:t>
      </w:r>
    </w:p>
    <w:bookmarkEnd w:id="3"/>
    <w:sectPr>
      <w:footerReference r:id="rId4" w:type="default"/>
      <w:headerReference r:id="rId3" w:type="even"/>
      <w:footerReference r:id="rId5" w:type="even"/>
      <w:pgSz w:w="11906" w:h="16838"/>
      <w:pgMar w:top="1985" w:right="1474" w:bottom="1531" w:left="1588" w:header="851" w:footer="1191"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文鼎小标宋简">
    <w:altName w:val="方正小标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大标宋简体">
    <w:altName w:val="方正书宋_GBK"/>
    <w:panose1 w:val="03000509000000000000"/>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Batang">
    <w:altName w:val="仿宋_GB2312"/>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1111" w:h="435" w:hRule="exact" w:wrap="around" w:vAnchor="text" w:hAnchor="page" w:x="9492" w:y="101"/>
      <w:rPr>
        <w:rStyle w:val="21"/>
        <w:rFonts w:ascii="Batang" w:hAnsi="Batang" w:eastAsia="Batang"/>
        <w:b/>
        <w:sz w:val="26"/>
        <w:szCs w:val="26"/>
      </w:rPr>
    </w:pPr>
    <w:r>
      <w:rPr>
        <w:rStyle w:val="21"/>
        <w:rFonts w:hint="eastAsia" w:ascii="Batang" w:hAnsi="Batang" w:eastAsia="Batang"/>
        <w:b/>
        <w:sz w:val="26"/>
        <w:szCs w:val="26"/>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1</w:t>
    </w:r>
    <w:r>
      <w:rPr>
        <w:rStyle w:val="21"/>
        <w:rFonts w:ascii="宋体" w:hAnsi="宋体"/>
        <w:sz w:val="28"/>
        <w:szCs w:val="28"/>
      </w:rPr>
      <w:fldChar w:fldCharType="end"/>
    </w:r>
    <w:r>
      <w:rPr>
        <w:rStyle w:val="21"/>
        <w:rFonts w:hint="eastAsia" w:ascii="Batang" w:hAnsi="Batang" w:eastAsia="Batang"/>
        <w:b/>
        <w:sz w:val="26"/>
        <w:szCs w:val="26"/>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1633" w:y="41"/>
      <w:rPr>
        <w:rStyle w:val="21"/>
        <w:rFonts w:ascii="Batang" w:hAnsi="Batang" w:eastAsia="Batang"/>
        <w:b/>
        <w:sz w:val="26"/>
        <w:szCs w:val="26"/>
      </w:rPr>
    </w:pPr>
    <w:r>
      <w:rPr>
        <w:rStyle w:val="21"/>
        <w:rFonts w:hint="eastAsia" w:ascii="Batang" w:hAnsi="Batang" w:eastAsia="Batang"/>
        <w:b/>
        <w:sz w:val="26"/>
        <w:szCs w:val="26"/>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2</w:t>
    </w:r>
    <w:r>
      <w:rPr>
        <w:rStyle w:val="21"/>
        <w:rFonts w:ascii="宋体" w:hAnsi="宋体"/>
        <w:sz w:val="28"/>
        <w:szCs w:val="28"/>
      </w:rPr>
      <w:fldChar w:fldCharType="end"/>
    </w:r>
    <w:r>
      <w:rPr>
        <w:rStyle w:val="21"/>
        <w:rFonts w:hint="eastAsia" w:ascii="Batang" w:hAnsi="Batang" w:eastAsia="Batang"/>
        <w:b/>
        <w:sz w:val="26"/>
        <w:szCs w:val="26"/>
      </w:rPr>
      <w:t xml:space="preserve"> —</w:t>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B179C"/>
    <w:multiLevelType w:val="singleLevel"/>
    <w:tmpl w:val="1F7B17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F8"/>
    <w:rsid w:val="000000D2"/>
    <w:rsid w:val="00011DA9"/>
    <w:rsid w:val="00011FAC"/>
    <w:rsid w:val="000231F8"/>
    <w:rsid w:val="000264EC"/>
    <w:rsid w:val="00033B3D"/>
    <w:rsid w:val="000405A1"/>
    <w:rsid w:val="00041E1E"/>
    <w:rsid w:val="00047203"/>
    <w:rsid w:val="00047C6D"/>
    <w:rsid w:val="00051425"/>
    <w:rsid w:val="0005687A"/>
    <w:rsid w:val="000700CC"/>
    <w:rsid w:val="00073FEE"/>
    <w:rsid w:val="00075BA9"/>
    <w:rsid w:val="0007765D"/>
    <w:rsid w:val="00081F30"/>
    <w:rsid w:val="00082373"/>
    <w:rsid w:val="0008694B"/>
    <w:rsid w:val="000869B5"/>
    <w:rsid w:val="0009149B"/>
    <w:rsid w:val="0009434B"/>
    <w:rsid w:val="000A353B"/>
    <w:rsid w:val="000A3CAD"/>
    <w:rsid w:val="000A6832"/>
    <w:rsid w:val="000A6F35"/>
    <w:rsid w:val="000B197C"/>
    <w:rsid w:val="000B3978"/>
    <w:rsid w:val="000C7D3B"/>
    <w:rsid w:val="000D15CF"/>
    <w:rsid w:val="000D196D"/>
    <w:rsid w:val="000D2472"/>
    <w:rsid w:val="000D33B1"/>
    <w:rsid w:val="000D49BE"/>
    <w:rsid w:val="000F0FEE"/>
    <w:rsid w:val="000F4E90"/>
    <w:rsid w:val="000F671B"/>
    <w:rsid w:val="00103290"/>
    <w:rsid w:val="00106188"/>
    <w:rsid w:val="00116697"/>
    <w:rsid w:val="00123080"/>
    <w:rsid w:val="00123C35"/>
    <w:rsid w:val="0013251B"/>
    <w:rsid w:val="00141B80"/>
    <w:rsid w:val="001461ED"/>
    <w:rsid w:val="00147305"/>
    <w:rsid w:val="00163E01"/>
    <w:rsid w:val="00173CDB"/>
    <w:rsid w:val="001814C4"/>
    <w:rsid w:val="00181788"/>
    <w:rsid w:val="00190EC8"/>
    <w:rsid w:val="00195712"/>
    <w:rsid w:val="001A7908"/>
    <w:rsid w:val="001B043E"/>
    <w:rsid w:val="001B54E6"/>
    <w:rsid w:val="001B7EB2"/>
    <w:rsid w:val="001C44C7"/>
    <w:rsid w:val="001C4BCF"/>
    <w:rsid w:val="001E50CE"/>
    <w:rsid w:val="001E5669"/>
    <w:rsid w:val="001F42A9"/>
    <w:rsid w:val="001F552B"/>
    <w:rsid w:val="00204C04"/>
    <w:rsid w:val="00206362"/>
    <w:rsid w:val="002130DA"/>
    <w:rsid w:val="0022235F"/>
    <w:rsid w:val="002328AA"/>
    <w:rsid w:val="002343DE"/>
    <w:rsid w:val="00240CE1"/>
    <w:rsid w:val="00250693"/>
    <w:rsid w:val="00252071"/>
    <w:rsid w:val="00253FE1"/>
    <w:rsid w:val="0027269A"/>
    <w:rsid w:val="00273A18"/>
    <w:rsid w:val="00277131"/>
    <w:rsid w:val="00281A77"/>
    <w:rsid w:val="00281BFE"/>
    <w:rsid w:val="0028747D"/>
    <w:rsid w:val="00293B01"/>
    <w:rsid w:val="002A47DE"/>
    <w:rsid w:val="002B227C"/>
    <w:rsid w:val="002C45ED"/>
    <w:rsid w:val="002D67C0"/>
    <w:rsid w:val="002E16B3"/>
    <w:rsid w:val="002E3FE2"/>
    <w:rsid w:val="002F1D65"/>
    <w:rsid w:val="00306A07"/>
    <w:rsid w:val="00307769"/>
    <w:rsid w:val="00317345"/>
    <w:rsid w:val="00317A32"/>
    <w:rsid w:val="003209CD"/>
    <w:rsid w:val="003237E7"/>
    <w:rsid w:val="0033483C"/>
    <w:rsid w:val="00336E02"/>
    <w:rsid w:val="00337604"/>
    <w:rsid w:val="00342706"/>
    <w:rsid w:val="00345605"/>
    <w:rsid w:val="003537C8"/>
    <w:rsid w:val="00357038"/>
    <w:rsid w:val="003612BD"/>
    <w:rsid w:val="00372CF5"/>
    <w:rsid w:val="00377C39"/>
    <w:rsid w:val="00382889"/>
    <w:rsid w:val="00386640"/>
    <w:rsid w:val="00387901"/>
    <w:rsid w:val="00392121"/>
    <w:rsid w:val="003A6891"/>
    <w:rsid w:val="003A7CF0"/>
    <w:rsid w:val="003B5CB0"/>
    <w:rsid w:val="003D0033"/>
    <w:rsid w:val="003D346F"/>
    <w:rsid w:val="003E027E"/>
    <w:rsid w:val="003E432A"/>
    <w:rsid w:val="003F121B"/>
    <w:rsid w:val="003F6754"/>
    <w:rsid w:val="003F7211"/>
    <w:rsid w:val="00403A48"/>
    <w:rsid w:val="00403A7C"/>
    <w:rsid w:val="00412821"/>
    <w:rsid w:val="0041686A"/>
    <w:rsid w:val="00417A03"/>
    <w:rsid w:val="004231BA"/>
    <w:rsid w:val="00433557"/>
    <w:rsid w:val="00434E1A"/>
    <w:rsid w:val="00442C34"/>
    <w:rsid w:val="004443F8"/>
    <w:rsid w:val="0046388E"/>
    <w:rsid w:val="00467235"/>
    <w:rsid w:val="004A1895"/>
    <w:rsid w:val="004A227B"/>
    <w:rsid w:val="004A5D0D"/>
    <w:rsid w:val="004A735E"/>
    <w:rsid w:val="004B1E00"/>
    <w:rsid w:val="004B45DB"/>
    <w:rsid w:val="004B5D57"/>
    <w:rsid w:val="004C148B"/>
    <w:rsid w:val="004C5AB9"/>
    <w:rsid w:val="004C6A14"/>
    <w:rsid w:val="004D67C2"/>
    <w:rsid w:val="004E099E"/>
    <w:rsid w:val="004E1661"/>
    <w:rsid w:val="004F428F"/>
    <w:rsid w:val="004F5BA7"/>
    <w:rsid w:val="004F766B"/>
    <w:rsid w:val="0050219F"/>
    <w:rsid w:val="00503388"/>
    <w:rsid w:val="00505673"/>
    <w:rsid w:val="00515AD6"/>
    <w:rsid w:val="00516025"/>
    <w:rsid w:val="005305FF"/>
    <w:rsid w:val="00531041"/>
    <w:rsid w:val="00534F39"/>
    <w:rsid w:val="0055440E"/>
    <w:rsid w:val="005623C3"/>
    <w:rsid w:val="005650F3"/>
    <w:rsid w:val="00567EB0"/>
    <w:rsid w:val="005740D6"/>
    <w:rsid w:val="005745DD"/>
    <w:rsid w:val="00574CEC"/>
    <w:rsid w:val="00582591"/>
    <w:rsid w:val="00584C3E"/>
    <w:rsid w:val="00585A54"/>
    <w:rsid w:val="0059305A"/>
    <w:rsid w:val="00593EDC"/>
    <w:rsid w:val="00597B8B"/>
    <w:rsid w:val="00597E4B"/>
    <w:rsid w:val="005B5EAC"/>
    <w:rsid w:val="005C1EA3"/>
    <w:rsid w:val="005C46C8"/>
    <w:rsid w:val="005D6863"/>
    <w:rsid w:val="005E194A"/>
    <w:rsid w:val="005E1B0B"/>
    <w:rsid w:val="005E1B3D"/>
    <w:rsid w:val="005E5A88"/>
    <w:rsid w:val="005E7476"/>
    <w:rsid w:val="005F1167"/>
    <w:rsid w:val="005F1F48"/>
    <w:rsid w:val="005F3D78"/>
    <w:rsid w:val="005F55A3"/>
    <w:rsid w:val="006050C4"/>
    <w:rsid w:val="00611A8E"/>
    <w:rsid w:val="006128E9"/>
    <w:rsid w:val="0062197D"/>
    <w:rsid w:val="00630E25"/>
    <w:rsid w:val="006353A9"/>
    <w:rsid w:val="00640AD1"/>
    <w:rsid w:val="006417AF"/>
    <w:rsid w:val="00647045"/>
    <w:rsid w:val="00651F7D"/>
    <w:rsid w:val="00652F72"/>
    <w:rsid w:val="006544F6"/>
    <w:rsid w:val="0065547C"/>
    <w:rsid w:val="00656249"/>
    <w:rsid w:val="006641DD"/>
    <w:rsid w:val="00664712"/>
    <w:rsid w:val="00666F29"/>
    <w:rsid w:val="00677E1A"/>
    <w:rsid w:val="00680AEE"/>
    <w:rsid w:val="0068278A"/>
    <w:rsid w:val="00685489"/>
    <w:rsid w:val="006866B0"/>
    <w:rsid w:val="00686886"/>
    <w:rsid w:val="00691A47"/>
    <w:rsid w:val="006933A7"/>
    <w:rsid w:val="006A394C"/>
    <w:rsid w:val="006B057B"/>
    <w:rsid w:val="006B14C0"/>
    <w:rsid w:val="006B2076"/>
    <w:rsid w:val="006B77C1"/>
    <w:rsid w:val="006C13F1"/>
    <w:rsid w:val="006D0481"/>
    <w:rsid w:val="006D6DF3"/>
    <w:rsid w:val="006E3C39"/>
    <w:rsid w:val="007024F3"/>
    <w:rsid w:val="00703054"/>
    <w:rsid w:val="00706730"/>
    <w:rsid w:val="00716312"/>
    <w:rsid w:val="007171AF"/>
    <w:rsid w:val="00721A28"/>
    <w:rsid w:val="00721FDF"/>
    <w:rsid w:val="00722937"/>
    <w:rsid w:val="00722C98"/>
    <w:rsid w:val="00725EF0"/>
    <w:rsid w:val="00725F97"/>
    <w:rsid w:val="00731CF1"/>
    <w:rsid w:val="00735528"/>
    <w:rsid w:val="00741BE4"/>
    <w:rsid w:val="00751959"/>
    <w:rsid w:val="00757171"/>
    <w:rsid w:val="007628D4"/>
    <w:rsid w:val="00767598"/>
    <w:rsid w:val="007813A7"/>
    <w:rsid w:val="007B31FC"/>
    <w:rsid w:val="007C1359"/>
    <w:rsid w:val="007C6128"/>
    <w:rsid w:val="007D37A9"/>
    <w:rsid w:val="007E0D77"/>
    <w:rsid w:val="007E17AE"/>
    <w:rsid w:val="007F3E4B"/>
    <w:rsid w:val="007F7B40"/>
    <w:rsid w:val="00804357"/>
    <w:rsid w:val="0082101B"/>
    <w:rsid w:val="00832F65"/>
    <w:rsid w:val="00834D19"/>
    <w:rsid w:val="008409D8"/>
    <w:rsid w:val="00844B73"/>
    <w:rsid w:val="008552B2"/>
    <w:rsid w:val="00855901"/>
    <w:rsid w:val="00873753"/>
    <w:rsid w:val="00877A64"/>
    <w:rsid w:val="00887A25"/>
    <w:rsid w:val="0089163B"/>
    <w:rsid w:val="00891CB1"/>
    <w:rsid w:val="008A129D"/>
    <w:rsid w:val="008A22EB"/>
    <w:rsid w:val="008A7DC5"/>
    <w:rsid w:val="008B1F08"/>
    <w:rsid w:val="008B2AC7"/>
    <w:rsid w:val="008B39EF"/>
    <w:rsid w:val="008B5D60"/>
    <w:rsid w:val="008C327A"/>
    <w:rsid w:val="008C48E1"/>
    <w:rsid w:val="008C56DA"/>
    <w:rsid w:val="008C5E11"/>
    <w:rsid w:val="008C6684"/>
    <w:rsid w:val="008C68C8"/>
    <w:rsid w:val="008C724B"/>
    <w:rsid w:val="008D52CC"/>
    <w:rsid w:val="008D6E24"/>
    <w:rsid w:val="008D7D6C"/>
    <w:rsid w:val="008E1ED1"/>
    <w:rsid w:val="008F1478"/>
    <w:rsid w:val="00922CCA"/>
    <w:rsid w:val="009326FF"/>
    <w:rsid w:val="00934038"/>
    <w:rsid w:val="009458C8"/>
    <w:rsid w:val="0094672B"/>
    <w:rsid w:val="009471F9"/>
    <w:rsid w:val="00951917"/>
    <w:rsid w:val="00960FE1"/>
    <w:rsid w:val="00964B0C"/>
    <w:rsid w:val="00965707"/>
    <w:rsid w:val="00977E5B"/>
    <w:rsid w:val="00994C9D"/>
    <w:rsid w:val="009A2302"/>
    <w:rsid w:val="009A28A2"/>
    <w:rsid w:val="009A5DB8"/>
    <w:rsid w:val="009B2613"/>
    <w:rsid w:val="009B3756"/>
    <w:rsid w:val="009C0AD7"/>
    <w:rsid w:val="009D15DB"/>
    <w:rsid w:val="009D163A"/>
    <w:rsid w:val="009E5DF9"/>
    <w:rsid w:val="009E7466"/>
    <w:rsid w:val="009F0F4B"/>
    <w:rsid w:val="009F1C11"/>
    <w:rsid w:val="009F2C87"/>
    <w:rsid w:val="009F50FB"/>
    <w:rsid w:val="00A0405D"/>
    <w:rsid w:val="00A10251"/>
    <w:rsid w:val="00A17956"/>
    <w:rsid w:val="00A21DF6"/>
    <w:rsid w:val="00A2264E"/>
    <w:rsid w:val="00A30B87"/>
    <w:rsid w:val="00A31E4F"/>
    <w:rsid w:val="00A356F7"/>
    <w:rsid w:val="00A37492"/>
    <w:rsid w:val="00A4192C"/>
    <w:rsid w:val="00A5531B"/>
    <w:rsid w:val="00A564A0"/>
    <w:rsid w:val="00A61BCA"/>
    <w:rsid w:val="00A80692"/>
    <w:rsid w:val="00A9209D"/>
    <w:rsid w:val="00AB5792"/>
    <w:rsid w:val="00AD6B88"/>
    <w:rsid w:val="00AE118E"/>
    <w:rsid w:val="00AE74DB"/>
    <w:rsid w:val="00B067D8"/>
    <w:rsid w:val="00B2499F"/>
    <w:rsid w:val="00B316DF"/>
    <w:rsid w:val="00B35144"/>
    <w:rsid w:val="00B374E5"/>
    <w:rsid w:val="00B76EA2"/>
    <w:rsid w:val="00B81D4D"/>
    <w:rsid w:val="00B83234"/>
    <w:rsid w:val="00B90D9D"/>
    <w:rsid w:val="00B97D1B"/>
    <w:rsid w:val="00BA1E12"/>
    <w:rsid w:val="00BB2CC0"/>
    <w:rsid w:val="00BC20E2"/>
    <w:rsid w:val="00BD5992"/>
    <w:rsid w:val="00BD6754"/>
    <w:rsid w:val="00BE7BAD"/>
    <w:rsid w:val="00C02135"/>
    <w:rsid w:val="00C02EB0"/>
    <w:rsid w:val="00C13AE4"/>
    <w:rsid w:val="00C144B3"/>
    <w:rsid w:val="00C1489C"/>
    <w:rsid w:val="00C2735F"/>
    <w:rsid w:val="00C360B2"/>
    <w:rsid w:val="00C47669"/>
    <w:rsid w:val="00C563CB"/>
    <w:rsid w:val="00C56537"/>
    <w:rsid w:val="00C60D94"/>
    <w:rsid w:val="00C62FA0"/>
    <w:rsid w:val="00C632F2"/>
    <w:rsid w:val="00C70439"/>
    <w:rsid w:val="00C71EC1"/>
    <w:rsid w:val="00C75D4A"/>
    <w:rsid w:val="00C80F08"/>
    <w:rsid w:val="00C83286"/>
    <w:rsid w:val="00C90E92"/>
    <w:rsid w:val="00C97A94"/>
    <w:rsid w:val="00CA196E"/>
    <w:rsid w:val="00CA302B"/>
    <w:rsid w:val="00CB4920"/>
    <w:rsid w:val="00CB7900"/>
    <w:rsid w:val="00CC160D"/>
    <w:rsid w:val="00CC2395"/>
    <w:rsid w:val="00CC4BA6"/>
    <w:rsid w:val="00CC670B"/>
    <w:rsid w:val="00CD54CD"/>
    <w:rsid w:val="00CE3E39"/>
    <w:rsid w:val="00CF4CFE"/>
    <w:rsid w:val="00D17F57"/>
    <w:rsid w:val="00D22E2D"/>
    <w:rsid w:val="00D22EA3"/>
    <w:rsid w:val="00D27D5C"/>
    <w:rsid w:val="00D303D8"/>
    <w:rsid w:val="00D43D1B"/>
    <w:rsid w:val="00D55C9D"/>
    <w:rsid w:val="00D639B6"/>
    <w:rsid w:val="00D67DA8"/>
    <w:rsid w:val="00D71B7D"/>
    <w:rsid w:val="00D776A9"/>
    <w:rsid w:val="00D867DE"/>
    <w:rsid w:val="00D86F42"/>
    <w:rsid w:val="00D9095F"/>
    <w:rsid w:val="00D96CAC"/>
    <w:rsid w:val="00DA192A"/>
    <w:rsid w:val="00DA2F79"/>
    <w:rsid w:val="00DA5725"/>
    <w:rsid w:val="00DB73DD"/>
    <w:rsid w:val="00DC2416"/>
    <w:rsid w:val="00DC2C86"/>
    <w:rsid w:val="00DD5232"/>
    <w:rsid w:val="00DE3360"/>
    <w:rsid w:val="00DE5672"/>
    <w:rsid w:val="00DE6A4D"/>
    <w:rsid w:val="00DF42AD"/>
    <w:rsid w:val="00DF4779"/>
    <w:rsid w:val="00E030C8"/>
    <w:rsid w:val="00E05712"/>
    <w:rsid w:val="00E12A3B"/>
    <w:rsid w:val="00E12B8F"/>
    <w:rsid w:val="00E14D97"/>
    <w:rsid w:val="00E15543"/>
    <w:rsid w:val="00E30B2E"/>
    <w:rsid w:val="00E31A82"/>
    <w:rsid w:val="00E31F29"/>
    <w:rsid w:val="00E35BCB"/>
    <w:rsid w:val="00E5395B"/>
    <w:rsid w:val="00E572BD"/>
    <w:rsid w:val="00E66629"/>
    <w:rsid w:val="00E66A23"/>
    <w:rsid w:val="00E73E71"/>
    <w:rsid w:val="00E744EC"/>
    <w:rsid w:val="00E82282"/>
    <w:rsid w:val="00E83BC3"/>
    <w:rsid w:val="00E92FFE"/>
    <w:rsid w:val="00E938AD"/>
    <w:rsid w:val="00EA5977"/>
    <w:rsid w:val="00EB40DF"/>
    <w:rsid w:val="00EB66CA"/>
    <w:rsid w:val="00EC11A0"/>
    <w:rsid w:val="00EC33E3"/>
    <w:rsid w:val="00ED62DC"/>
    <w:rsid w:val="00EE09DD"/>
    <w:rsid w:val="00EE0B4B"/>
    <w:rsid w:val="00EE5B4A"/>
    <w:rsid w:val="00F133C1"/>
    <w:rsid w:val="00F13F9A"/>
    <w:rsid w:val="00F14BC4"/>
    <w:rsid w:val="00F15C28"/>
    <w:rsid w:val="00F20B7A"/>
    <w:rsid w:val="00F25824"/>
    <w:rsid w:val="00F26CF2"/>
    <w:rsid w:val="00F50FC1"/>
    <w:rsid w:val="00F637E9"/>
    <w:rsid w:val="00F671E3"/>
    <w:rsid w:val="00F75566"/>
    <w:rsid w:val="00F81CB1"/>
    <w:rsid w:val="00F83AAD"/>
    <w:rsid w:val="00F84387"/>
    <w:rsid w:val="00F852A2"/>
    <w:rsid w:val="00F91878"/>
    <w:rsid w:val="00FA1E8F"/>
    <w:rsid w:val="00FA493A"/>
    <w:rsid w:val="00FA5246"/>
    <w:rsid w:val="00FC33C9"/>
    <w:rsid w:val="00FC3BF2"/>
    <w:rsid w:val="00FC4564"/>
    <w:rsid w:val="00FE0A51"/>
    <w:rsid w:val="00FE7662"/>
    <w:rsid w:val="00FF167C"/>
    <w:rsid w:val="00FF39EB"/>
    <w:rsid w:val="01B8569A"/>
    <w:rsid w:val="02735BA4"/>
    <w:rsid w:val="03664C19"/>
    <w:rsid w:val="06877C9E"/>
    <w:rsid w:val="08163018"/>
    <w:rsid w:val="0C341B57"/>
    <w:rsid w:val="0D01606C"/>
    <w:rsid w:val="0DA70CC8"/>
    <w:rsid w:val="0DC7454E"/>
    <w:rsid w:val="106F797F"/>
    <w:rsid w:val="113B6235"/>
    <w:rsid w:val="13C14927"/>
    <w:rsid w:val="1488368B"/>
    <w:rsid w:val="14FE24EE"/>
    <w:rsid w:val="15752B05"/>
    <w:rsid w:val="170059E1"/>
    <w:rsid w:val="179915C5"/>
    <w:rsid w:val="17BE5F65"/>
    <w:rsid w:val="17C67CC8"/>
    <w:rsid w:val="18365EAB"/>
    <w:rsid w:val="1956371F"/>
    <w:rsid w:val="19D66DDA"/>
    <w:rsid w:val="1A4972D0"/>
    <w:rsid w:val="1A6F528F"/>
    <w:rsid w:val="1AC947C4"/>
    <w:rsid w:val="1B9762B0"/>
    <w:rsid w:val="1C074C7F"/>
    <w:rsid w:val="1C7F6DEF"/>
    <w:rsid w:val="1CAE4BEB"/>
    <w:rsid w:val="1D302F2E"/>
    <w:rsid w:val="20115229"/>
    <w:rsid w:val="20D90FC6"/>
    <w:rsid w:val="21CD0C09"/>
    <w:rsid w:val="222D3DB9"/>
    <w:rsid w:val="22B20F16"/>
    <w:rsid w:val="247B4A67"/>
    <w:rsid w:val="24A07522"/>
    <w:rsid w:val="27256DCA"/>
    <w:rsid w:val="27EF7C43"/>
    <w:rsid w:val="280A3E6A"/>
    <w:rsid w:val="28156362"/>
    <w:rsid w:val="28415B34"/>
    <w:rsid w:val="28ED54E9"/>
    <w:rsid w:val="28F13E8E"/>
    <w:rsid w:val="2D643A5A"/>
    <w:rsid w:val="2D6C0024"/>
    <w:rsid w:val="2E800482"/>
    <w:rsid w:val="2EEA6DF4"/>
    <w:rsid w:val="335207E6"/>
    <w:rsid w:val="352B58BE"/>
    <w:rsid w:val="374862C2"/>
    <w:rsid w:val="382E311B"/>
    <w:rsid w:val="38984AEA"/>
    <w:rsid w:val="39850A8F"/>
    <w:rsid w:val="39DF7E4E"/>
    <w:rsid w:val="3A657FCF"/>
    <w:rsid w:val="3BFF7F6C"/>
    <w:rsid w:val="3E6ED9DC"/>
    <w:rsid w:val="3EE01F1E"/>
    <w:rsid w:val="3EFB783D"/>
    <w:rsid w:val="3EFF2747"/>
    <w:rsid w:val="3EFFC58E"/>
    <w:rsid w:val="3FB61539"/>
    <w:rsid w:val="40B835E5"/>
    <w:rsid w:val="42DEBFCE"/>
    <w:rsid w:val="432E2E88"/>
    <w:rsid w:val="438944C4"/>
    <w:rsid w:val="46C865ED"/>
    <w:rsid w:val="4A4F7B4B"/>
    <w:rsid w:val="4B410DD3"/>
    <w:rsid w:val="4B7C40A4"/>
    <w:rsid w:val="4CFB27BC"/>
    <w:rsid w:val="4EDF3F19"/>
    <w:rsid w:val="52FDD427"/>
    <w:rsid w:val="540965E8"/>
    <w:rsid w:val="54BF8E8E"/>
    <w:rsid w:val="572B81D9"/>
    <w:rsid w:val="596E6A57"/>
    <w:rsid w:val="5AAC3CE2"/>
    <w:rsid w:val="5AD10375"/>
    <w:rsid w:val="5B236085"/>
    <w:rsid w:val="5B6E076B"/>
    <w:rsid w:val="5BA57CC5"/>
    <w:rsid w:val="5CF554B0"/>
    <w:rsid w:val="5D8B3324"/>
    <w:rsid w:val="6157176A"/>
    <w:rsid w:val="61751D6F"/>
    <w:rsid w:val="62737936"/>
    <w:rsid w:val="641E18F4"/>
    <w:rsid w:val="642D5D40"/>
    <w:rsid w:val="67E43954"/>
    <w:rsid w:val="69CA226F"/>
    <w:rsid w:val="6AAE6E4D"/>
    <w:rsid w:val="6AF006B5"/>
    <w:rsid w:val="6AFFAB0B"/>
    <w:rsid w:val="6DCA095E"/>
    <w:rsid w:val="6FCFF446"/>
    <w:rsid w:val="702B091C"/>
    <w:rsid w:val="72B42786"/>
    <w:rsid w:val="72F99844"/>
    <w:rsid w:val="734A5583"/>
    <w:rsid w:val="749F2FBB"/>
    <w:rsid w:val="751D394E"/>
    <w:rsid w:val="76F7CAAE"/>
    <w:rsid w:val="770653CE"/>
    <w:rsid w:val="77FDDA87"/>
    <w:rsid w:val="795175AC"/>
    <w:rsid w:val="796932D5"/>
    <w:rsid w:val="79C42B2B"/>
    <w:rsid w:val="7B06746E"/>
    <w:rsid w:val="7BCFA356"/>
    <w:rsid w:val="7BD7F32E"/>
    <w:rsid w:val="7DA92C7A"/>
    <w:rsid w:val="7DF2CC4B"/>
    <w:rsid w:val="7E86313C"/>
    <w:rsid w:val="7EDC014B"/>
    <w:rsid w:val="7EF304A2"/>
    <w:rsid w:val="7F3152DD"/>
    <w:rsid w:val="7F5F745E"/>
    <w:rsid w:val="7F725428"/>
    <w:rsid w:val="7FC700FB"/>
    <w:rsid w:val="7FE12D63"/>
    <w:rsid w:val="7FF44B7F"/>
    <w:rsid w:val="A176D940"/>
    <w:rsid w:val="B3FE7D39"/>
    <w:rsid w:val="BEB8E5D4"/>
    <w:rsid w:val="BF39F472"/>
    <w:rsid w:val="BF4FEFA4"/>
    <w:rsid w:val="BF7D01C6"/>
    <w:rsid w:val="BF7E41BD"/>
    <w:rsid w:val="BFA7280C"/>
    <w:rsid w:val="BFCF33D8"/>
    <w:rsid w:val="BFDBD31C"/>
    <w:rsid w:val="CC2BD84C"/>
    <w:rsid w:val="CFDDC9C1"/>
    <w:rsid w:val="CFFFD231"/>
    <w:rsid w:val="D63B562A"/>
    <w:rsid w:val="D70BF01C"/>
    <w:rsid w:val="D7F380BC"/>
    <w:rsid w:val="D9FCC431"/>
    <w:rsid w:val="DA6BBCE8"/>
    <w:rsid w:val="DF5B48D7"/>
    <w:rsid w:val="DF5EDEDB"/>
    <w:rsid w:val="DF7F0A70"/>
    <w:rsid w:val="DFFE4C73"/>
    <w:rsid w:val="E2BBB211"/>
    <w:rsid w:val="EADF877E"/>
    <w:rsid w:val="EE778045"/>
    <w:rsid w:val="F3DBE2C0"/>
    <w:rsid w:val="F9FAC685"/>
    <w:rsid w:val="FAEF1FD1"/>
    <w:rsid w:val="FBEAB079"/>
    <w:rsid w:val="FD6FE326"/>
    <w:rsid w:val="FD974D66"/>
    <w:rsid w:val="FDAF670E"/>
    <w:rsid w:val="FEB36F64"/>
    <w:rsid w:val="FEE3BB7F"/>
    <w:rsid w:val="FEED0684"/>
    <w:rsid w:val="FF3FA2E3"/>
    <w:rsid w:val="FFBFF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jc w:val="distribute"/>
      <w:outlineLvl w:val="0"/>
    </w:pPr>
    <w:rPr>
      <w:rFonts w:eastAsia="文鼎小标宋简"/>
      <w:b/>
      <w:color w:val="FF0000"/>
      <w:kern w:val="44"/>
      <w:sz w:val="7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_GB2312"/>
      <w:sz w:val="32"/>
      <w:szCs w:val="20"/>
    </w:rPr>
  </w:style>
  <w:style w:type="paragraph" w:styleId="5">
    <w:name w:val="index 8"/>
    <w:next w:val="6"/>
    <w:unhideWhenUsed/>
    <w:qFormat/>
    <w:uiPriority w:val="99"/>
    <w:pPr>
      <w:widowControl w:val="0"/>
      <w:ind w:left="2940"/>
      <w:jc w:val="both"/>
    </w:pPr>
    <w:rPr>
      <w:rFonts w:ascii="Calibri" w:hAnsi="Calibri" w:eastAsia="宋体" w:cs="Times New Roman"/>
      <w:kern w:val="2"/>
      <w:sz w:val="21"/>
      <w:szCs w:val="24"/>
      <w:lang w:val="en-US" w:eastAsia="zh-CN" w:bidi="ar-SA"/>
    </w:rPr>
  </w:style>
  <w:style w:type="paragraph" w:customStyle="1" w:styleId="6">
    <w:name w:val="正文_0_0"/>
    <w:next w:val="7"/>
    <w:qFormat/>
    <w:uiPriority w:val="0"/>
    <w:pPr>
      <w:widowControl w:val="0"/>
      <w:jc w:val="both"/>
    </w:pPr>
    <w:rPr>
      <w:rFonts w:ascii="Calibri" w:hAnsi="Calibri" w:eastAsia="宋体" w:cs="Times New Roman"/>
      <w:kern w:val="2"/>
      <w:sz w:val="21"/>
      <w:szCs w:val="21"/>
      <w:lang w:val="en-US" w:eastAsia="zh-CN" w:bidi="ar-SA"/>
    </w:rPr>
  </w:style>
  <w:style w:type="paragraph" w:styleId="7">
    <w:name w:val="Plain Text"/>
    <w:basedOn w:val="1"/>
    <w:next w:val="5"/>
    <w:qFormat/>
    <w:uiPriority w:val="0"/>
    <w:pPr>
      <w:widowControl w:val="0"/>
      <w:jc w:val="both"/>
    </w:pPr>
    <w:rPr>
      <w:rFonts w:ascii="宋体" w:hAnsi="Courier New" w:eastAsia="宋体" w:cs="Times New Roman"/>
      <w:kern w:val="2"/>
      <w:sz w:val="21"/>
      <w:szCs w:val="24"/>
      <w:lang w:val="en-US" w:eastAsia="zh-CN" w:bidi="ar-SA"/>
    </w:rPr>
  </w:style>
  <w:style w:type="paragraph" w:styleId="8">
    <w:name w:val="Normal Indent"/>
    <w:basedOn w:val="1"/>
    <w:unhideWhenUsed/>
    <w:qFormat/>
    <w:uiPriority w:val="0"/>
    <w:pPr>
      <w:ind w:firstLine="630"/>
    </w:pPr>
    <w:rPr>
      <w:rFonts w:eastAsia="仿宋_GB2312"/>
      <w:kern w:val="0"/>
      <w:sz w:val="32"/>
      <w:szCs w:val="20"/>
    </w:rPr>
  </w:style>
  <w:style w:type="paragraph" w:styleId="9">
    <w:name w:val="Body Text Indent"/>
    <w:basedOn w:val="1"/>
    <w:qFormat/>
    <w:uiPriority w:val="0"/>
    <w:pPr>
      <w:tabs>
        <w:tab w:val="left" w:pos="540"/>
        <w:tab w:val="left" w:pos="720"/>
      </w:tabs>
      <w:ind w:firstLine="622" w:firstLineChars="200"/>
    </w:pPr>
    <w:rPr>
      <w:rFonts w:ascii="仿宋_GB2312" w:hAnsi="宋体" w:eastAsia="仿宋_GB2312"/>
      <w:sz w:val="32"/>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60"/>
    </w:pPr>
    <w:rPr>
      <w:rFonts w:ascii="楷体_GB2312" w:eastAsia="楷体_GB2312"/>
      <w:sz w:val="32"/>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before="80" w:after="180"/>
      <w:ind w:firstLine="643" w:firstLineChars="200"/>
    </w:pPr>
    <w:rPr>
      <w:rFonts w:ascii="仿宋_GB2312" w:eastAsia="仿宋_GB2312"/>
      <w:b/>
      <w:sz w:val="3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b/>
      <w:sz w:val="32"/>
    </w:rPr>
  </w:style>
  <w:style w:type="character" w:styleId="20">
    <w:name w:val="Strong"/>
    <w:basedOn w:val="19"/>
    <w:qFormat/>
    <w:uiPriority w:val="22"/>
    <w:rPr>
      <w:b/>
      <w:bCs/>
    </w:rPr>
  </w:style>
  <w:style w:type="character" w:styleId="21">
    <w:name w:val="page number"/>
    <w:basedOn w:val="19"/>
    <w:qFormat/>
    <w:uiPriority w:val="0"/>
  </w:style>
  <w:style w:type="paragraph" w:customStyle="1" w:styleId="22">
    <w:name w:val="秘密紧急"/>
    <w:basedOn w:val="1"/>
    <w:qFormat/>
    <w:uiPriority w:val="0"/>
    <w:pPr>
      <w:jc w:val="right"/>
    </w:pPr>
    <w:rPr>
      <w:rFonts w:ascii="黑体" w:eastAsia="黑体"/>
      <w:sz w:val="32"/>
      <w:szCs w:val="20"/>
    </w:rPr>
  </w:style>
  <w:style w:type="paragraph" w:customStyle="1" w:styleId="23">
    <w:name w:val="默认段落字体 Para Char Char Char Char Char Char Char Char Char Char"/>
    <w:basedOn w:val="1"/>
    <w:qFormat/>
    <w:uiPriority w:val="0"/>
    <w:rPr>
      <w:szCs w:val="21"/>
    </w:rPr>
  </w:style>
  <w:style w:type="paragraph" w:customStyle="1" w:styleId="2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25">
    <w:name w:val="List Paragraph"/>
    <w:basedOn w:val="1"/>
    <w:qFormat/>
    <w:uiPriority w:val="99"/>
    <w:pPr>
      <w:ind w:firstLine="420" w:firstLineChars="200"/>
    </w:pPr>
    <w:rPr>
      <w:rFonts w:ascii="Calibri" w:hAnsi="Calibri"/>
      <w:szCs w:val="22"/>
    </w:rPr>
  </w:style>
  <w:style w:type="paragraph" w:customStyle="1" w:styleId="26">
    <w:name w:val="列出段落1"/>
    <w:basedOn w:val="1"/>
    <w:qFormat/>
    <w:uiPriority w:val="99"/>
    <w:pPr>
      <w:ind w:firstLine="420" w:firstLineChars="200"/>
    </w:pPr>
    <w:rPr>
      <w:rFonts w:ascii="Calibri" w:hAnsi="Calibri"/>
      <w:szCs w:val="22"/>
    </w:r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zhang"/>
    <w:basedOn w:val="1"/>
    <w:qFormat/>
    <w:uiPriority w:val="0"/>
    <w:pPr>
      <w:widowControl/>
      <w:spacing w:before="100" w:beforeAutospacing="1" w:after="100" w:afterAutospacing="1"/>
      <w:jc w:val="left"/>
    </w:pPr>
    <w:rPr>
      <w:rFonts w:ascii="宋体" w:hAnsi="宋体" w:cs="宋体"/>
      <w:b/>
      <w:bCs/>
      <w:smallCaps/>
      <w:color w:val="000000"/>
      <w:kern w:val="0"/>
      <w:sz w:val="20"/>
    </w:rPr>
  </w:style>
  <w:style w:type="paragraph" w:styleId="3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ody text|1"/>
    <w:basedOn w:val="1"/>
    <w:qFormat/>
    <w:uiPriority w:val="0"/>
    <w:pPr>
      <w:spacing w:line="396" w:lineRule="auto"/>
      <w:ind w:firstLine="400"/>
      <w:jc w:val="left"/>
    </w:pPr>
    <w:rPr>
      <w:rFonts w:ascii="宋体" w:hAnsi="宋体" w:cs="宋体"/>
      <w:sz w:val="20"/>
      <w:szCs w:val="20"/>
      <w:lang w:val="zh-CN" w:bidi="zh-CN"/>
    </w:rPr>
  </w:style>
  <w:style w:type="paragraph" w:customStyle="1" w:styleId="32">
    <w:name w:val="标书正文1"/>
    <w:basedOn w:val="1"/>
    <w:qFormat/>
    <w:uiPriority w:val="0"/>
    <w:pPr>
      <w:spacing w:line="520" w:lineRule="exact"/>
      <w:ind w:firstLine="64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Documents%20and%20Settings\dell\Application%20Data\Microsoft\Templates\Normal&#25919;&#242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Normal政府</Template>
  <Company>盐田区政府</Company>
  <Pages>10</Pages>
  <Words>4292</Words>
  <Characters>282</Characters>
  <Lines>2</Lines>
  <Paragraphs>9</Paragraphs>
  <TotalTime>13</TotalTime>
  <ScaleCrop>false</ScaleCrop>
  <LinksUpToDate>false</LinksUpToDate>
  <CharactersWithSpaces>4565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2020-05-04T10:44:00Z</dcterms:created>
  <dc:creator>dell</dc:creator>
  <cp:lastModifiedBy>张梦文</cp:lastModifiedBy>
  <cp:lastPrinted>2019-12-16T07:02:00Z</cp:lastPrinted>
  <dcterms:modified xsi:type="dcterms:W3CDTF">2024-08-29T18:01:23Z</dcterms:modified>
  <dc:title>市委文件印制格式标准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