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24"/>
        </w:rPr>
      </w:pPr>
      <w:r>
        <w:rPr>
          <w:rFonts w:hint="eastAsia" w:ascii="仿宋_GB2312" w:eastAsia="仿宋_GB2312"/>
          <w:sz w:val="24"/>
        </w:rPr>
        <w:t>附件</w:t>
      </w:r>
      <w:r>
        <w:rPr>
          <w:rFonts w:ascii="仿宋_GB2312" w:eastAsia="仿宋_GB2312"/>
          <w:sz w:val="24"/>
        </w:rPr>
        <w:t>1</w:t>
      </w:r>
    </w:p>
    <w:p>
      <w:pPr>
        <w:spacing w:line="360" w:lineRule="auto"/>
        <w:rPr>
          <w:rFonts w:ascii="仿宋_GB2312" w:eastAsia="仿宋_GB2312"/>
          <w:sz w:val="44"/>
          <w:szCs w:val="44"/>
        </w:rPr>
      </w:pPr>
    </w:p>
    <w:p>
      <w:pPr>
        <w:spacing w:line="360" w:lineRule="auto"/>
        <w:rPr>
          <w:rFonts w:ascii="仿宋_GB2312" w:eastAsia="仿宋_GB2312"/>
          <w:sz w:val="44"/>
          <w:szCs w:val="44"/>
        </w:rPr>
      </w:pPr>
    </w:p>
    <w:p>
      <w:pPr>
        <w:spacing w:line="360" w:lineRule="auto"/>
        <w:rPr>
          <w:rFonts w:ascii="仿宋_GB2312" w:eastAsia="仿宋_GB2312"/>
          <w:sz w:val="44"/>
          <w:szCs w:val="44"/>
        </w:rPr>
      </w:pPr>
    </w:p>
    <w:p>
      <w:pPr>
        <w:spacing w:line="360" w:lineRule="auto"/>
        <w:rPr>
          <w:rFonts w:ascii="仿宋_GB2312" w:eastAsia="仿宋_GB2312"/>
          <w:sz w:val="44"/>
          <w:szCs w:val="44"/>
        </w:rPr>
      </w:pPr>
    </w:p>
    <w:p>
      <w:pPr>
        <w:spacing w:line="360" w:lineRule="auto"/>
        <w:rPr>
          <w:rFonts w:ascii="仿宋_GB2312" w:eastAsia="仿宋_GB2312"/>
          <w:sz w:val="44"/>
          <w:szCs w:val="44"/>
        </w:rPr>
      </w:pPr>
    </w:p>
    <w:p>
      <w:pPr>
        <w:jc w:val="center"/>
        <w:rPr>
          <w:rFonts w:ascii="宋体" w:hAnsi="宋体"/>
          <w:sz w:val="44"/>
          <w:szCs w:val="44"/>
        </w:rPr>
      </w:pPr>
      <w:r>
        <w:rPr>
          <w:rFonts w:ascii="宋体" w:hAnsi="宋体"/>
          <w:sz w:val="44"/>
          <w:szCs w:val="44"/>
        </w:rPr>
        <w:t>201</w:t>
      </w:r>
      <w:r>
        <w:rPr>
          <w:rFonts w:hint="eastAsia" w:ascii="宋体" w:hAnsi="宋体"/>
          <w:sz w:val="44"/>
          <w:szCs w:val="44"/>
        </w:rPr>
        <w:t>9</w:t>
      </w:r>
      <w:r>
        <w:rPr>
          <w:rFonts w:ascii="宋体" w:hAnsi="宋体"/>
          <w:sz w:val="44"/>
          <w:szCs w:val="44"/>
        </w:rPr>
        <w:t>年</w:t>
      </w:r>
      <w:r>
        <w:rPr>
          <w:rFonts w:hint="eastAsia" w:ascii="宋体" w:hAnsi="宋体"/>
          <w:sz w:val="44"/>
          <w:szCs w:val="44"/>
        </w:rPr>
        <w:t>度部门</w:t>
      </w:r>
      <w:r>
        <w:rPr>
          <w:rFonts w:ascii="宋体" w:hAnsi="宋体"/>
          <w:sz w:val="44"/>
          <w:szCs w:val="44"/>
        </w:rPr>
        <w:t>整体绩效自评报告</w:t>
      </w:r>
    </w:p>
    <w:p>
      <w:pPr>
        <w:spacing w:line="360" w:lineRule="auto"/>
        <w:jc w:val="center"/>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jc w:val="center"/>
        <w:rPr>
          <w:rFonts w:ascii="仿宋_GB2312" w:eastAsia="仿宋_GB2312"/>
          <w:sz w:val="32"/>
          <w:szCs w:val="32"/>
        </w:rPr>
      </w:pPr>
      <w:r>
        <w:rPr>
          <w:rFonts w:hint="eastAsia" w:ascii="仿宋_GB2312" w:eastAsia="仿宋_GB2312"/>
          <w:sz w:val="32"/>
          <w:szCs w:val="32"/>
        </w:rPr>
        <w:t>部门名称（公章）：</w:t>
      </w:r>
      <w:r>
        <w:rPr>
          <w:rFonts w:hint="eastAsia" w:ascii="仿宋_GB2312" w:hAnsi="Adobe 楷体 Std R" w:eastAsia="仿宋_GB2312"/>
          <w:color w:val="000000"/>
          <w:sz w:val="32"/>
          <w:szCs w:val="32"/>
        </w:rPr>
        <w:t>盐田区城市管理建设事务中心</w:t>
      </w:r>
    </w:p>
    <w:p>
      <w:pPr>
        <w:spacing w:line="360" w:lineRule="auto"/>
        <w:ind w:left="-210" w:leftChars="-100" w:firstLine="960" w:firstLineChars="300"/>
        <w:rPr>
          <w:rFonts w:hint="eastAsia" w:ascii="仿宋_GB2312" w:eastAsia="仿宋_GB2312"/>
          <w:sz w:val="32"/>
          <w:szCs w:val="32"/>
          <w:lang w:val="en-US" w:eastAsia="zh-CN"/>
        </w:rPr>
      </w:pPr>
      <w:r>
        <w:rPr>
          <w:rFonts w:hint="eastAsia" w:ascii="仿宋_GB2312" w:eastAsia="仿宋_GB2312"/>
          <w:sz w:val="32"/>
          <w:szCs w:val="32"/>
        </w:rPr>
        <w:t xml:space="preserve">填 </w:t>
      </w:r>
      <w:r>
        <w:rPr>
          <w:rFonts w:ascii="仿宋_GB2312" w:eastAsia="仿宋_GB2312"/>
          <w:sz w:val="32"/>
          <w:szCs w:val="32"/>
        </w:rPr>
        <w:t xml:space="preserve"> </w:t>
      </w:r>
      <w:r>
        <w:rPr>
          <w:rFonts w:hint="eastAsia" w:ascii="仿宋_GB2312" w:eastAsia="仿宋_GB2312"/>
          <w:sz w:val="32"/>
          <w:szCs w:val="32"/>
        </w:rPr>
        <w:t xml:space="preserve">报 </w:t>
      </w:r>
      <w:r>
        <w:rPr>
          <w:rFonts w:ascii="仿宋_GB2312" w:eastAsia="仿宋_GB2312"/>
          <w:sz w:val="32"/>
          <w:szCs w:val="32"/>
        </w:rPr>
        <w:t xml:space="preserve"> </w:t>
      </w:r>
      <w:r>
        <w:rPr>
          <w:rFonts w:hint="eastAsia" w:ascii="仿宋_GB2312" w:eastAsia="仿宋_GB2312"/>
          <w:sz w:val="32"/>
          <w:szCs w:val="32"/>
        </w:rPr>
        <w:t>人：</w:t>
      </w:r>
      <w:r>
        <w:rPr>
          <w:rFonts w:hint="eastAsia" w:ascii="仿宋_GB2312" w:eastAsia="仿宋_GB2312"/>
          <w:sz w:val="32"/>
          <w:szCs w:val="32"/>
          <w:lang w:eastAsia="zh-CN"/>
        </w:rPr>
        <w:t>卢静娴</w:t>
      </w:r>
    </w:p>
    <w:p>
      <w:pPr>
        <w:spacing w:line="360" w:lineRule="auto"/>
        <w:ind w:left="-210" w:leftChars="-100" w:firstLine="960" w:firstLineChars="300"/>
        <w:rPr>
          <w:rFonts w:ascii="仿宋_GB2312" w:eastAsia="仿宋_GB2312"/>
          <w:sz w:val="32"/>
          <w:szCs w:val="32"/>
        </w:rPr>
      </w:pPr>
      <w:r>
        <w:rPr>
          <w:rFonts w:hint="eastAsia" w:ascii="仿宋_GB2312" w:eastAsia="仿宋_GB2312"/>
          <w:sz w:val="32"/>
          <w:szCs w:val="32"/>
        </w:rPr>
        <w:t>联 系 电 话：</w:t>
      </w:r>
      <w:bookmarkStart w:id="1" w:name="_GoBack"/>
      <w:bookmarkEnd w:id="1"/>
    </w:p>
    <w:p>
      <w:pPr>
        <w:jc w:val="center"/>
        <w:rPr>
          <w:rFonts w:ascii="仿宋_GB2312" w:eastAsia="仿宋_GB2312"/>
          <w:sz w:val="32"/>
          <w:szCs w:val="32"/>
        </w:rPr>
      </w:pPr>
    </w:p>
    <w:p>
      <w:pPr>
        <w:jc w:val="center"/>
        <w:rPr>
          <w:rFonts w:ascii="宋体" w:hAnsi="宋体"/>
          <w:sz w:val="44"/>
          <w:szCs w:val="44"/>
        </w:rPr>
      </w:pPr>
    </w:p>
    <w:p>
      <w:pPr>
        <w:jc w:val="cente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snapToGrid w:val="0"/>
        <w:spacing w:line="58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一、部门（单位）基本情况</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（一）部门主要职能</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原盐田区市容环境管理中心，因2019年机构改革，更名为盐田区城市管理建设事务中心（以下简称建设事务中心），属盐田区城市管理和综合执法局下属的财政全额拨款的事业单位；机构改革后我中心编制人数为18名，截至2019年12月31日实有在编职工16人，雇员2人，临聘员工23人，退休员工64人。</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宗旨和业务范围：(一)负责对政府投资建设工程项目组织实施和监督管理。(二)负责建设项目前期研究、方案设计及具体建设工作。负责建设工程项目全过程的协调监管,控制工程造价、质量和工期。(三)负责政府投资建设项目的工程预算、结(决)算文件的编制及初审送审工作。(四)负责组织建设项目的竣工验收,负责工程竣工决算和财务决算工作。(五)负责办理工程款的支付和工程建设资金管理工作。(六)负责市政公共绿地(含公园)的日常监督管理、检查考核工作。(七)参与绿化迁移、移交接管等工作。(八)负责办理人大、政协交办的有关园林绿化日常监管考核方面的建议、议(提)案,并受理相关信访和群众投诉。(九)负责本系统内安全生产监督管理工作。(十)承担上级部门交办的其他工作。</w:t>
      </w:r>
      <w:r>
        <w:rPr>
          <w:rFonts w:hint="eastAsia" w:ascii="仿宋_GB2312" w:hAnsi="Adobe 楷体 Std R" w:eastAsia="仿宋_GB2312"/>
          <w:color w:val="000000"/>
          <w:sz w:val="32"/>
          <w:szCs w:val="32"/>
        </w:rPr>
        <w:tab/>
      </w:r>
      <w:r>
        <w:rPr>
          <w:rFonts w:hint="eastAsia" w:ascii="仿宋_GB2312" w:hAnsi="Adobe 楷体 Std R" w:eastAsia="仿宋_GB2312"/>
          <w:color w:val="000000"/>
          <w:sz w:val="32"/>
          <w:szCs w:val="32"/>
        </w:rPr>
        <w:tab/>
      </w:r>
      <w:r>
        <w:rPr>
          <w:rFonts w:hint="eastAsia" w:ascii="仿宋_GB2312" w:hAnsi="Adobe 楷体 Std R" w:eastAsia="仿宋_GB2312"/>
          <w:color w:val="000000"/>
          <w:sz w:val="32"/>
          <w:szCs w:val="32"/>
        </w:rPr>
        <w:tab/>
      </w:r>
      <w:r>
        <w:rPr>
          <w:rFonts w:hint="eastAsia" w:ascii="仿宋_GB2312" w:hAnsi="Adobe 楷体 Std R" w:eastAsia="仿宋_GB2312"/>
          <w:color w:val="000000"/>
          <w:sz w:val="32"/>
          <w:szCs w:val="32"/>
        </w:rPr>
        <w:tab/>
      </w:r>
      <w:r>
        <w:rPr>
          <w:rFonts w:hint="eastAsia" w:ascii="仿宋_GB2312" w:hAnsi="Adobe 楷体 Std R" w:eastAsia="仿宋_GB2312"/>
          <w:color w:val="000000"/>
          <w:sz w:val="32"/>
          <w:szCs w:val="32"/>
        </w:rPr>
        <w:tab/>
      </w:r>
      <w:r>
        <w:rPr>
          <w:rFonts w:hint="eastAsia" w:ascii="仿宋_GB2312" w:hAnsi="Adobe 楷体 Std R" w:eastAsia="仿宋_GB2312"/>
          <w:color w:val="000000"/>
          <w:sz w:val="32"/>
          <w:szCs w:val="32"/>
        </w:rPr>
        <w:tab/>
      </w:r>
      <w:r>
        <w:rPr>
          <w:rFonts w:hint="eastAsia" w:ascii="仿宋_GB2312" w:hAnsi="Adobe 楷体 Std R" w:eastAsia="仿宋_GB2312"/>
          <w:color w:val="000000"/>
          <w:sz w:val="32"/>
          <w:szCs w:val="32"/>
        </w:rPr>
        <w:tab/>
      </w:r>
      <w:r>
        <w:rPr>
          <w:rFonts w:hint="eastAsia" w:ascii="黑体" w:hAnsi="黑体" w:eastAsia="黑体" w:cs="黑体"/>
          <w:bCs/>
          <w:sz w:val="32"/>
          <w:szCs w:val="32"/>
        </w:rPr>
        <w:tab/>
      </w:r>
      <w:r>
        <w:rPr>
          <w:rFonts w:hint="eastAsia" w:ascii="黑体" w:hAnsi="黑体" w:eastAsia="黑体" w:cs="黑体"/>
          <w:bCs/>
          <w:sz w:val="32"/>
          <w:szCs w:val="32"/>
        </w:rPr>
        <w:tab/>
      </w:r>
      <w:r>
        <w:rPr>
          <w:rFonts w:hint="eastAsia" w:ascii="黑体" w:hAnsi="黑体" w:eastAsia="黑体" w:cs="黑体"/>
          <w:bCs/>
          <w:sz w:val="32"/>
          <w:szCs w:val="32"/>
        </w:rPr>
        <w:tab/>
      </w:r>
      <w:r>
        <w:rPr>
          <w:rFonts w:hint="eastAsia" w:ascii="黑体" w:hAnsi="黑体" w:eastAsia="黑体" w:cs="黑体"/>
          <w:bCs/>
          <w:sz w:val="32"/>
          <w:szCs w:val="32"/>
        </w:rPr>
        <w:tab/>
      </w:r>
      <w:r>
        <w:rPr>
          <w:rFonts w:hint="eastAsia" w:ascii="黑体" w:hAnsi="黑体" w:eastAsia="黑体" w:cs="黑体"/>
          <w:bCs/>
          <w:sz w:val="32"/>
          <w:szCs w:val="32"/>
        </w:rPr>
        <w:tab/>
      </w:r>
      <w:r>
        <w:rPr>
          <w:rFonts w:hint="eastAsia" w:ascii="黑体" w:hAnsi="黑体" w:eastAsia="黑体" w:cs="黑体"/>
          <w:bCs/>
          <w:sz w:val="32"/>
          <w:szCs w:val="32"/>
        </w:rPr>
        <w:tab/>
      </w:r>
      <w:r>
        <w:rPr>
          <w:rFonts w:hint="eastAsia" w:ascii="黑体" w:hAnsi="黑体" w:eastAsia="黑体" w:cs="黑体"/>
          <w:bCs/>
          <w:sz w:val="32"/>
          <w:szCs w:val="32"/>
        </w:rPr>
        <w:tab/>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（二）年度总体工作和重点工作任务。</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1、完善监督机制，城区绿化品质进一步提升</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（1）做好评估迎检工作</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（2）提高绿化管养水平</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2、落实责任，项目建设进一步加快</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（1）实施道路绿化提升，打造靓丽风景线</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（2）实施公园建设改造，完善公园功能</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3、严格规范，安全生产管理进一步加强</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（1）加强安全隐患排查</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（2）进行安全生产教育</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突出特色，持续推进公园之区建设</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积极推进公园之区建设</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（2）继续推进道路绿化提升和景观照明建设</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（3）大力推进花漾街区建设</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5、真心诚意，社情民意卓有成效</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6、从严治党，廉政建设进一步加强</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（三）2019年部门预算编制情况。</w:t>
      </w:r>
    </w:p>
    <w:p>
      <w:pPr>
        <w:snapToGrid w:val="0"/>
        <w:spacing w:line="560" w:lineRule="exact"/>
        <w:ind w:firstLine="640" w:firstLineChars="200"/>
        <w:rPr>
          <w:rFonts w:ascii="仿宋_GB2312" w:hAnsi="仿宋" w:eastAsia="仿宋_GB2312" w:cs="仿宋"/>
          <w:sz w:val="32"/>
          <w:szCs w:val="32"/>
        </w:rPr>
      </w:pPr>
      <w:r>
        <w:rPr>
          <w:rFonts w:hint="eastAsia" w:ascii="仿宋" w:hAnsi="仿宋" w:eastAsia="仿宋" w:cs="仿宋"/>
          <w:color w:val="000000"/>
          <w:sz w:val="32"/>
          <w:szCs w:val="32"/>
        </w:rPr>
        <w:t>根</w:t>
      </w:r>
      <w:r>
        <w:rPr>
          <w:rFonts w:hint="eastAsia" w:ascii="仿宋_GB2312" w:hAnsi="仿宋" w:eastAsia="仿宋_GB2312" w:cs="仿宋"/>
          <w:color w:val="000000"/>
          <w:sz w:val="32"/>
          <w:szCs w:val="32"/>
        </w:rPr>
        <w:t>据</w:t>
      </w:r>
      <w:r>
        <w:rPr>
          <w:rFonts w:hint="eastAsia" w:ascii="仿宋_GB2312" w:hAnsi="仿宋" w:eastAsia="仿宋_GB2312" w:cs="仿宋"/>
          <w:sz w:val="32"/>
          <w:szCs w:val="32"/>
        </w:rPr>
        <w:t>我中心职责，按照盐田区委区政府有关方针政策和工作要求，结合我中心中长期发展规划及年度工作计划，2019年度年初预算安排共计3,305.88万元。预算编制符合盐田区委区政府2019年度有关预算编制的原则，如严控“三公”经费以及会议、差旅和培训等一般公务支出预算等。根据2019年度部门预算编制要求，我中心在中期财政规划（2019-2021）框架下编制年度部门预算、达到盐田区委区政府对部门预算编制的细致程度要求，同时按要求对申请的财政资金设定绩效目标。在实际工作开展过程中，经批准，我中心整体支出预算总额调整为3,049.12万元。具体资金安排情况如下：</w:t>
      </w:r>
    </w:p>
    <w:p>
      <w:pPr>
        <w:numPr>
          <w:ilvl w:val="0"/>
          <w:numId w:val="1"/>
        </w:numPr>
        <w:snapToGrid w:val="0"/>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部门整体支出年初预算安排。</w:t>
      </w:r>
    </w:p>
    <w:p>
      <w:pPr>
        <w:snapToGrid w:val="0"/>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2019年我中心部门预算收入3,305.88万元，相比2018年预算收入3,718.72万元减少了412.84万元，降低11.1%，其中：财政预算拨款3,305.88万元。部门预算支出3,305.88万元，比2018年预算支出3,718.72万元减少了412.84万元，降低11.1%，主要是因为盐田区上级文件通知2019年预算项目压缩，故我中心预算缩减。其中：人员经费1,811.77万元、日常公用经费129.39万元、项目支出1,364.72万元。</w:t>
      </w:r>
    </w:p>
    <w:p>
      <w:pPr>
        <w:snapToGrid w:val="0"/>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2、部门整体支出预算调整情况。</w:t>
      </w:r>
    </w:p>
    <w:p>
      <w:pPr>
        <w:snapToGrid w:val="0"/>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根据2019年度履职需要，年中对部门整体支出预算进行了相应的调整，整体支出预算总额调整为3,049.12万元。按资金来源，其中：财政拨款收入调整为3,049.12万元（含年初财政拨款结转和结余0万元）；按资金用途，基本支出调整预算数为1,899.05万元（占比62.28%）；项目支出预算调整为1,150.08万元（占比37.72%）。</w:t>
      </w:r>
    </w:p>
    <w:p>
      <w:pPr>
        <w:snapToGrid w:val="0"/>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部门整体支出预算调整后，按照支出用途，调增了人员经费1.02万元、调减了日常公用经费43.13万元、行政事业类项目经费214.64万元。按照支出类别，调减了社会保障和就业支出26.11万元、卫生健康支出7.47万元，城乡社区支出180.94万元、住房保障支出42.23万元。</w:t>
      </w:r>
    </w:p>
    <w:p>
      <w:pPr>
        <w:pStyle w:val="7"/>
        <w:spacing w:line="560" w:lineRule="exact"/>
        <w:ind w:firstLine="640" w:firstLineChars="200"/>
        <w:rPr>
          <w:rFonts w:hint="default" w:ascii="仿宋" w:hAnsi="仿宋" w:eastAsia="仿宋" w:cs="仿宋"/>
          <w:color w:val="auto"/>
          <w:kern w:val="2"/>
          <w:sz w:val="32"/>
          <w:szCs w:val="32"/>
        </w:rPr>
      </w:pPr>
      <w:r>
        <w:rPr>
          <w:rFonts w:ascii="仿宋_GB2312" w:hAnsi="仿宋" w:eastAsia="仿宋_GB2312" w:cs="仿宋"/>
          <w:color w:val="auto"/>
          <w:kern w:val="2"/>
          <w:sz w:val="32"/>
          <w:szCs w:val="32"/>
        </w:rPr>
        <w:t>相关预算情况见下表：</w:t>
      </w:r>
    </w:p>
    <w:p>
      <w:pPr>
        <w:pStyle w:val="7"/>
        <w:spacing w:line="560" w:lineRule="exact"/>
        <w:ind w:firstLine="560" w:firstLineChars="200"/>
        <w:jc w:val="center"/>
        <w:rPr>
          <w:rFonts w:hint="default"/>
          <w:sz w:val="28"/>
          <w:szCs w:val="21"/>
        </w:rPr>
      </w:pPr>
      <w:r>
        <w:rPr>
          <w:rFonts w:ascii="黑体" w:hAnsi="黑体" w:eastAsia="黑体"/>
          <w:sz w:val="28"/>
          <w:szCs w:val="28"/>
        </w:rPr>
        <w:t>表 1 部门整体支出预算资金来源与调整情况</w:t>
      </w:r>
    </w:p>
    <w:tbl>
      <w:tblPr>
        <w:tblStyle w:val="5"/>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4"/>
        <w:gridCol w:w="2117"/>
        <w:gridCol w:w="2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8400" w:type="dxa"/>
            <w:gridSpan w:val="3"/>
          </w:tcPr>
          <w:p>
            <w:pPr>
              <w:pStyle w:val="7"/>
              <w:jc w:val="right"/>
              <w:rPr>
                <w:rFonts w:hint="default" w:ascii="仿宋_GB2312" w:hAnsi="仿宋" w:eastAsia="仿宋_GB2312" w:cs="仿宋"/>
                <w:kern w:val="2"/>
                <w:szCs w:val="24"/>
              </w:rPr>
            </w:pPr>
            <w:r>
              <w:rPr>
                <w:rFonts w:ascii="仿宋_GB2312" w:hAnsi="仿宋" w:eastAsia="仿宋_GB2312" w:cs="仿宋"/>
                <w:kern w:val="2"/>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974" w:type="dxa"/>
          </w:tcPr>
          <w:p>
            <w:pPr>
              <w:pStyle w:val="7"/>
              <w:jc w:val="center"/>
              <w:rPr>
                <w:rFonts w:hint="default" w:ascii="仿宋_GB2312" w:hAnsi="仿宋" w:eastAsia="仿宋_GB2312" w:cs="仿宋"/>
                <w:kern w:val="2"/>
                <w:szCs w:val="24"/>
              </w:rPr>
            </w:pPr>
            <w:r>
              <w:rPr>
                <w:rFonts w:ascii="仿宋_GB2312" w:hAnsi="仿宋" w:eastAsia="仿宋_GB2312" w:cs="仿宋"/>
                <w:kern w:val="2"/>
                <w:szCs w:val="24"/>
              </w:rPr>
              <w:t>支出预算资金来源</w:t>
            </w:r>
          </w:p>
        </w:tc>
        <w:tc>
          <w:tcPr>
            <w:tcW w:w="2117" w:type="dxa"/>
          </w:tcPr>
          <w:p>
            <w:pPr>
              <w:pStyle w:val="7"/>
              <w:jc w:val="center"/>
              <w:rPr>
                <w:rFonts w:hint="default" w:ascii="仿宋_GB2312" w:hAnsi="仿宋" w:eastAsia="仿宋_GB2312" w:cs="仿宋"/>
                <w:kern w:val="2"/>
                <w:szCs w:val="24"/>
              </w:rPr>
            </w:pPr>
            <w:r>
              <w:rPr>
                <w:rFonts w:ascii="仿宋_GB2312" w:hAnsi="仿宋" w:eastAsia="仿宋_GB2312" w:cs="仿宋"/>
                <w:kern w:val="2"/>
                <w:szCs w:val="24"/>
              </w:rPr>
              <w:t>年初预算数</w:t>
            </w:r>
          </w:p>
        </w:tc>
        <w:tc>
          <w:tcPr>
            <w:tcW w:w="2309" w:type="dxa"/>
          </w:tcPr>
          <w:p>
            <w:pPr>
              <w:pStyle w:val="7"/>
              <w:jc w:val="center"/>
              <w:rPr>
                <w:rFonts w:hint="default" w:ascii="仿宋_GB2312" w:hAnsi="仿宋" w:eastAsia="仿宋_GB2312" w:cs="仿宋"/>
                <w:kern w:val="2"/>
                <w:szCs w:val="24"/>
              </w:rPr>
            </w:pPr>
            <w:r>
              <w:rPr>
                <w:rFonts w:ascii="仿宋_GB2312" w:hAnsi="仿宋" w:eastAsia="仿宋_GB2312" w:cs="仿宋"/>
                <w:kern w:val="2"/>
                <w:szCs w:val="24"/>
              </w:rPr>
              <w:t>调整预算数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974" w:type="dxa"/>
            <w:vAlign w:val="bottom"/>
          </w:tcPr>
          <w:p>
            <w:pPr>
              <w:rPr>
                <w:rFonts w:ascii="仿宋_GB2312" w:hAnsi="仿宋" w:eastAsia="仿宋_GB2312" w:cs="仿宋"/>
                <w:color w:val="000000"/>
                <w:kern w:val="0"/>
                <w:sz w:val="24"/>
              </w:rPr>
            </w:pPr>
            <w:r>
              <w:rPr>
                <w:rFonts w:hint="eastAsia" w:ascii="仿宋_GB2312" w:hAnsi="仿宋_GB2312" w:eastAsia="仿宋_GB2312" w:cs="仿宋_GB2312"/>
                <w:color w:val="000000" w:themeColor="text1"/>
                <w:kern w:val="0"/>
                <w:sz w:val="24"/>
                <w14:textFill>
                  <w14:solidFill>
                    <w14:schemeClr w14:val="tx1"/>
                  </w14:solidFill>
                </w14:textFill>
              </w:rPr>
              <w:t>一、一般公共预算财政拨款收入</w:t>
            </w:r>
          </w:p>
        </w:tc>
        <w:tc>
          <w:tcPr>
            <w:tcW w:w="2117"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3,305.88</w:t>
            </w:r>
          </w:p>
        </w:tc>
        <w:tc>
          <w:tcPr>
            <w:tcW w:w="2309"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3,049.12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974" w:type="dxa"/>
            <w:vAlign w:val="bottom"/>
          </w:tcPr>
          <w:p>
            <w:pPr>
              <w:rPr>
                <w:rFonts w:ascii="仿宋_GB2312" w:hAnsi="仿宋" w:eastAsia="仿宋_GB2312" w:cs="仿宋"/>
                <w:color w:val="000000"/>
                <w:kern w:val="0"/>
                <w:sz w:val="24"/>
              </w:rPr>
            </w:pPr>
            <w:r>
              <w:rPr>
                <w:rFonts w:hint="eastAsia" w:ascii="仿宋_GB2312" w:hAnsi="仿宋_GB2312" w:eastAsia="仿宋_GB2312" w:cs="仿宋_GB2312"/>
                <w:color w:val="000000" w:themeColor="text1"/>
                <w:kern w:val="0"/>
                <w:sz w:val="24"/>
                <w14:textFill>
                  <w14:solidFill>
                    <w14:schemeClr w14:val="tx1"/>
                  </w14:solidFill>
                </w14:textFill>
              </w:rPr>
              <w:t>二、政府性基金预算财政拨款</w:t>
            </w:r>
          </w:p>
        </w:tc>
        <w:tc>
          <w:tcPr>
            <w:tcW w:w="2117"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0.00</w:t>
            </w:r>
          </w:p>
        </w:tc>
        <w:tc>
          <w:tcPr>
            <w:tcW w:w="2309"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974" w:type="dxa"/>
            <w:vAlign w:val="bottom"/>
          </w:tcPr>
          <w:p>
            <w:pPr>
              <w:rPr>
                <w:rFonts w:ascii="仿宋_GB2312" w:hAnsi="仿宋" w:eastAsia="仿宋_GB2312" w:cs="仿宋"/>
                <w:color w:val="000000"/>
                <w:kern w:val="0"/>
                <w:sz w:val="24"/>
              </w:rPr>
            </w:pPr>
            <w:r>
              <w:rPr>
                <w:rFonts w:hint="eastAsia" w:ascii="仿宋_GB2312" w:hAnsi="仿宋_GB2312" w:eastAsia="仿宋_GB2312" w:cs="仿宋_GB2312"/>
                <w:color w:val="000000" w:themeColor="text1"/>
                <w:kern w:val="0"/>
                <w:sz w:val="24"/>
                <w14:textFill>
                  <w14:solidFill>
                    <w14:schemeClr w14:val="tx1"/>
                  </w14:solidFill>
                </w14:textFill>
              </w:rPr>
              <w:t>三、上级补助收入</w:t>
            </w:r>
          </w:p>
        </w:tc>
        <w:tc>
          <w:tcPr>
            <w:tcW w:w="2117" w:type="dxa"/>
            <w:vAlign w:val="bottom"/>
          </w:tcPr>
          <w:p>
            <w:pPr>
              <w:pStyle w:val="7"/>
              <w:jc w:val="right"/>
              <w:rPr>
                <w:rFonts w:hint="default" w:ascii="仿宋" w:hAnsi="仿宋" w:eastAsia="仿宋" w:cs="仿宋"/>
                <w:kern w:val="2"/>
                <w:szCs w:val="24"/>
              </w:rPr>
            </w:pPr>
            <w:r>
              <w:rPr>
                <w:rFonts w:ascii="仿宋_GB2312" w:hAnsi="仿宋_GB2312" w:eastAsia="仿宋_GB2312" w:cs="仿宋_GB2312"/>
                <w:color w:val="000000" w:themeColor="text1"/>
                <w:kern w:val="2"/>
                <w:szCs w:val="24"/>
                <w14:textFill>
                  <w14:solidFill>
                    <w14:schemeClr w14:val="tx1"/>
                  </w14:solidFill>
                </w14:textFill>
              </w:rPr>
              <w:t>0.00</w:t>
            </w:r>
          </w:p>
        </w:tc>
        <w:tc>
          <w:tcPr>
            <w:tcW w:w="2309" w:type="dxa"/>
            <w:vAlign w:val="bottom"/>
          </w:tcPr>
          <w:p>
            <w:pPr>
              <w:pStyle w:val="7"/>
              <w:jc w:val="right"/>
              <w:rPr>
                <w:rFonts w:hint="default" w:ascii="仿宋" w:hAnsi="仿宋" w:eastAsia="仿宋" w:cs="仿宋"/>
                <w:kern w:val="2"/>
                <w:szCs w:val="24"/>
              </w:rPr>
            </w:pPr>
            <w:r>
              <w:rPr>
                <w:rFonts w:ascii="仿宋_GB2312" w:hAnsi="仿宋_GB2312" w:eastAsia="仿宋_GB2312" w:cs="仿宋_GB2312"/>
                <w:color w:val="000000" w:themeColor="text1"/>
                <w:kern w:val="2"/>
                <w:szCs w:val="24"/>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974" w:type="dxa"/>
            <w:vAlign w:val="bottom"/>
          </w:tcPr>
          <w:p>
            <w:pPr>
              <w:rPr>
                <w:rFonts w:ascii="仿宋_GB2312" w:hAnsi="仿宋" w:eastAsia="仿宋_GB2312" w:cs="仿宋"/>
                <w:color w:val="000000"/>
                <w:kern w:val="0"/>
                <w:sz w:val="24"/>
              </w:rPr>
            </w:pPr>
            <w:r>
              <w:rPr>
                <w:rFonts w:hint="eastAsia" w:ascii="仿宋_GB2312" w:hAnsi="仿宋_GB2312" w:eastAsia="仿宋_GB2312" w:cs="仿宋_GB2312"/>
                <w:color w:val="000000" w:themeColor="text1"/>
                <w:kern w:val="0"/>
                <w:sz w:val="24"/>
                <w14:textFill>
                  <w14:solidFill>
                    <w14:schemeClr w14:val="tx1"/>
                  </w14:solidFill>
                </w14:textFill>
              </w:rPr>
              <w:t>四、事业收入</w:t>
            </w:r>
          </w:p>
        </w:tc>
        <w:tc>
          <w:tcPr>
            <w:tcW w:w="2117" w:type="dxa"/>
            <w:vAlign w:val="bottom"/>
          </w:tcPr>
          <w:p>
            <w:pPr>
              <w:pStyle w:val="7"/>
              <w:jc w:val="right"/>
              <w:rPr>
                <w:rFonts w:hint="default" w:ascii="仿宋" w:hAnsi="仿宋" w:eastAsia="仿宋" w:cs="仿宋"/>
                <w:kern w:val="2"/>
                <w:szCs w:val="24"/>
              </w:rPr>
            </w:pPr>
            <w:r>
              <w:rPr>
                <w:rFonts w:ascii="仿宋_GB2312" w:hAnsi="仿宋_GB2312" w:eastAsia="仿宋_GB2312" w:cs="仿宋_GB2312"/>
                <w:color w:val="000000" w:themeColor="text1"/>
                <w:kern w:val="2"/>
                <w:szCs w:val="24"/>
                <w14:textFill>
                  <w14:solidFill>
                    <w14:schemeClr w14:val="tx1"/>
                  </w14:solidFill>
                </w14:textFill>
              </w:rPr>
              <w:t>0.00</w:t>
            </w:r>
          </w:p>
        </w:tc>
        <w:tc>
          <w:tcPr>
            <w:tcW w:w="2309" w:type="dxa"/>
            <w:vAlign w:val="bottom"/>
          </w:tcPr>
          <w:p>
            <w:pPr>
              <w:pStyle w:val="7"/>
              <w:jc w:val="right"/>
              <w:rPr>
                <w:rFonts w:hint="default" w:ascii="仿宋" w:hAnsi="仿宋" w:eastAsia="仿宋" w:cs="仿宋"/>
                <w:kern w:val="2"/>
                <w:szCs w:val="24"/>
              </w:rPr>
            </w:pPr>
            <w:r>
              <w:rPr>
                <w:rFonts w:ascii="仿宋_GB2312" w:hAnsi="仿宋_GB2312" w:eastAsia="仿宋_GB2312" w:cs="仿宋_GB2312"/>
                <w:color w:val="000000" w:themeColor="text1"/>
                <w:kern w:val="2"/>
                <w:szCs w:val="24"/>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974" w:type="dxa"/>
            <w:vAlign w:val="bottom"/>
          </w:tcPr>
          <w:p>
            <w:pPr>
              <w:rPr>
                <w:rFonts w:ascii="仿宋_GB2312" w:hAnsi="仿宋" w:eastAsia="仿宋_GB2312" w:cs="仿宋"/>
                <w:color w:val="000000"/>
                <w:kern w:val="0"/>
                <w:sz w:val="24"/>
              </w:rPr>
            </w:pPr>
            <w:r>
              <w:rPr>
                <w:rFonts w:hint="eastAsia" w:ascii="仿宋_GB2312" w:hAnsi="仿宋_GB2312" w:eastAsia="仿宋_GB2312" w:cs="仿宋_GB2312"/>
                <w:color w:val="000000" w:themeColor="text1"/>
                <w:kern w:val="0"/>
                <w:sz w:val="24"/>
                <w14:textFill>
                  <w14:solidFill>
                    <w14:schemeClr w14:val="tx1"/>
                  </w14:solidFill>
                </w14:textFill>
              </w:rPr>
              <w:t>五、经营收入</w:t>
            </w:r>
          </w:p>
        </w:tc>
        <w:tc>
          <w:tcPr>
            <w:tcW w:w="2117" w:type="dxa"/>
            <w:vAlign w:val="bottom"/>
          </w:tcPr>
          <w:p>
            <w:pPr>
              <w:pStyle w:val="7"/>
              <w:jc w:val="right"/>
              <w:rPr>
                <w:rFonts w:hint="default" w:ascii="仿宋" w:hAnsi="仿宋" w:eastAsia="仿宋" w:cs="仿宋"/>
                <w:kern w:val="2"/>
                <w:szCs w:val="24"/>
              </w:rPr>
            </w:pPr>
            <w:r>
              <w:rPr>
                <w:rFonts w:ascii="仿宋_GB2312" w:hAnsi="仿宋_GB2312" w:eastAsia="仿宋_GB2312" w:cs="仿宋_GB2312"/>
                <w:color w:val="000000" w:themeColor="text1"/>
                <w:kern w:val="2"/>
                <w:szCs w:val="24"/>
                <w14:textFill>
                  <w14:solidFill>
                    <w14:schemeClr w14:val="tx1"/>
                  </w14:solidFill>
                </w14:textFill>
              </w:rPr>
              <w:t>0.00</w:t>
            </w:r>
          </w:p>
        </w:tc>
        <w:tc>
          <w:tcPr>
            <w:tcW w:w="2309" w:type="dxa"/>
            <w:vAlign w:val="bottom"/>
          </w:tcPr>
          <w:p>
            <w:pPr>
              <w:pStyle w:val="7"/>
              <w:jc w:val="right"/>
              <w:rPr>
                <w:rFonts w:hint="default" w:ascii="仿宋" w:hAnsi="仿宋" w:eastAsia="仿宋" w:cs="仿宋"/>
                <w:kern w:val="2"/>
                <w:szCs w:val="24"/>
              </w:rPr>
            </w:pPr>
            <w:r>
              <w:rPr>
                <w:rFonts w:ascii="仿宋_GB2312" w:hAnsi="仿宋_GB2312" w:eastAsia="仿宋_GB2312" w:cs="仿宋_GB2312"/>
                <w:color w:val="000000" w:themeColor="text1"/>
                <w:kern w:val="2"/>
                <w:szCs w:val="24"/>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974" w:type="dxa"/>
            <w:vAlign w:val="bottom"/>
          </w:tcPr>
          <w:p>
            <w:pPr>
              <w:rPr>
                <w:rFonts w:ascii="仿宋_GB2312" w:hAnsi="仿宋" w:eastAsia="仿宋_GB2312" w:cs="仿宋"/>
                <w:color w:val="000000"/>
                <w:kern w:val="0"/>
                <w:sz w:val="24"/>
              </w:rPr>
            </w:pPr>
            <w:r>
              <w:rPr>
                <w:rFonts w:hint="eastAsia" w:ascii="仿宋_GB2312" w:hAnsi="仿宋_GB2312" w:eastAsia="仿宋_GB2312" w:cs="仿宋_GB2312"/>
                <w:color w:val="000000" w:themeColor="text1"/>
                <w:kern w:val="0"/>
                <w:sz w:val="24"/>
                <w14:textFill>
                  <w14:solidFill>
                    <w14:schemeClr w14:val="tx1"/>
                  </w14:solidFill>
                </w14:textFill>
              </w:rPr>
              <w:t>六、附属单位上缴收入</w:t>
            </w:r>
          </w:p>
        </w:tc>
        <w:tc>
          <w:tcPr>
            <w:tcW w:w="2117" w:type="dxa"/>
            <w:vAlign w:val="bottom"/>
          </w:tcPr>
          <w:p>
            <w:pPr>
              <w:pStyle w:val="7"/>
              <w:jc w:val="right"/>
              <w:rPr>
                <w:rFonts w:hint="default" w:ascii="仿宋" w:hAnsi="仿宋" w:eastAsia="仿宋" w:cs="仿宋"/>
                <w:kern w:val="2"/>
                <w:szCs w:val="24"/>
              </w:rPr>
            </w:pPr>
            <w:r>
              <w:rPr>
                <w:rFonts w:ascii="仿宋_GB2312" w:hAnsi="仿宋_GB2312" w:eastAsia="仿宋_GB2312" w:cs="仿宋_GB2312"/>
                <w:color w:val="000000" w:themeColor="text1"/>
                <w:kern w:val="2"/>
                <w:szCs w:val="24"/>
                <w14:textFill>
                  <w14:solidFill>
                    <w14:schemeClr w14:val="tx1"/>
                  </w14:solidFill>
                </w14:textFill>
              </w:rPr>
              <w:t>0.00</w:t>
            </w:r>
          </w:p>
        </w:tc>
        <w:tc>
          <w:tcPr>
            <w:tcW w:w="2309" w:type="dxa"/>
            <w:vAlign w:val="bottom"/>
          </w:tcPr>
          <w:p>
            <w:pPr>
              <w:pStyle w:val="7"/>
              <w:jc w:val="right"/>
              <w:rPr>
                <w:rFonts w:hint="default" w:ascii="仿宋" w:hAnsi="仿宋" w:eastAsia="仿宋" w:cs="仿宋"/>
                <w:kern w:val="2"/>
                <w:szCs w:val="24"/>
              </w:rPr>
            </w:pPr>
            <w:r>
              <w:rPr>
                <w:rFonts w:ascii="仿宋_GB2312" w:hAnsi="仿宋_GB2312" w:eastAsia="仿宋_GB2312" w:cs="仿宋_GB2312"/>
                <w:color w:val="000000" w:themeColor="text1"/>
                <w:kern w:val="2"/>
                <w:szCs w:val="24"/>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974" w:type="dxa"/>
            <w:vAlign w:val="bottom"/>
          </w:tcPr>
          <w:p>
            <w:pPr>
              <w:rPr>
                <w:rFonts w:ascii="仿宋_GB2312" w:hAnsi="仿宋" w:eastAsia="仿宋_GB2312" w:cs="仿宋"/>
                <w:color w:val="000000"/>
                <w:kern w:val="0"/>
                <w:sz w:val="24"/>
              </w:rPr>
            </w:pPr>
            <w:r>
              <w:rPr>
                <w:rFonts w:hint="eastAsia" w:ascii="仿宋_GB2312" w:hAnsi="仿宋_GB2312" w:eastAsia="仿宋_GB2312" w:cs="仿宋_GB2312"/>
                <w:color w:val="000000" w:themeColor="text1"/>
                <w:kern w:val="0"/>
                <w:sz w:val="24"/>
                <w14:textFill>
                  <w14:solidFill>
                    <w14:schemeClr w14:val="tx1"/>
                  </w14:solidFill>
                </w14:textFill>
              </w:rPr>
              <w:t>七、其他收入</w:t>
            </w:r>
          </w:p>
        </w:tc>
        <w:tc>
          <w:tcPr>
            <w:tcW w:w="2117" w:type="dxa"/>
            <w:vAlign w:val="bottom"/>
          </w:tcPr>
          <w:p>
            <w:pPr>
              <w:pStyle w:val="7"/>
              <w:jc w:val="right"/>
              <w:rPr>
                <w:rFonts w:hint="default" w:ascii="仿宋" w:hAnsi="仿宋" w:eastAsia="仿宋" w:cs="仿宋"/>
                <w:kern w:val="2"/>
                <w:szCs w:val="24"/>
              </w:rPr>
            </w:pPr>
            <w:r>
              <w:rPr>
                <w:rFonts w:ascii="仿宋_GB2312" w:hAnsi="仿宋_GB2312" w:eastAsia="仿宋_GB2312" w:cs="仿宋_GB2312"/>
                <w:color w:val="000000" w:themeColor="text1"/>
                <w:kern w:val="2"/>
                <w:szCs w:val="24"/>
                <w14:textFill>
                  <w14:solidFill>
                    <w14:schemeClr w14:val="tx1"/>
                  </w14:solidFill>
                </w14:textFill>
              </w:rPr>
              <w:t>0.00</w:t>
            </w:r>
          </w:p>
        </w:tc>
        <w:tc>
          <w:tcPr>
            <w:tcW w:w="2309" w:type="dxa"/>
            <w:vAlign w:val="bottom"/>
          </w:tcPr>
          <w:p>
            <w:pPr>
              <w:pStyle w:val="7"/>
              <w:jc w:val="right"/>
              <w:rPr>
                <w:rFonts w:hint="default" w:ascii="仿宋" w:hAnsi="仿宋" w:eastAsia="仿宋" w:cs="仿宋"/>
                <w:kern w:val="2"/>
                <w:szCs w:val="24"/>
              </w:rPr>
            </w:pPr>
            <w:r>
              <w:rPr>
                <w:rFonts w:ascii="仿宋_GB2312" w:hAnsi="仿宋_GB2312" w:eastAsia="仿宋_GB2312" w:cs="仿宋_GB2312"/>
                <w:color w:val="000000" w:themeColor="text1"/>
                <w:kern w:val="2"/>
                <w:szCs w:val="24"/>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974" w:type="dxa"/>
          </w:tcPr>
          <w:p>
            <w:pPr>
              <w:jc w:val="center"/>
              <w:rPr>
                <w:rFonts w:ascii="仿宋_GB2312" w:hAnsi="仿宋" w:eastAsia="仿宋_GB2312" w:cs="仿宋"/>
                <w:color w:val="000000"/>
                <w:kern w:val="0"/>
                <w:sz w:val="24"/>
              </w:rPr>
            </w:pPr>
            <w:r>
              <w:rPr>
                <w:rFonts w:hint="eastAsia" w:ascii="仿宋_GB2312" w:hAnsi="仿宋" w:eastAsia="仿宋_GB2312" w:cs="仿宋"/>
                <w:b/>
                <w:bCs/>
                <w:color w:val="000000"/>
                <w:kern w:val="0"/>
                <w:sz w:val="24"/>
              </w:rPr>
              <w:t>本年收入合计</w:t>
            </w:r>
          </w:p>
        </w:tc>
        <w:tc>
          <w:tcPr>
            <w:tcW w:w="2117"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3,305.88</w:t>
            </w:r>
          </w:p>
        </w:tc>
        <w:tc>
          <w:tcPr>
            <w:tcW w:w="2309"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3,049.12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974" w:type="dxa"/>
          </w:tcPr>
          <w:p>
            <w:pPr>
              <w:rPr>
                <w:rFonts w:ascii="仿宋_GB2312" w:hAnsi="仿宋" w:eastAsia="仿宋_GB2312" w:cs="仿宋"/>
                <w:color w:val="000000"/>
                <w:kern w:val="0"/>
                <w:sz w:val="24"/>
              </w:rPr>
            </w:pPr>
            <w:r>
              <w:rPr>
                <w:rFonts w:hint="eastAsia" w:ascii="仿宋_GB2312" w:hAnsi="仿宋" w:eastAsia="仿宋_GB2312" w:cs="仿宋"/>
                <w:color w:val="000000"/>
                <w:kern w:val="0"/>
                <w:sz w:val="24"/>
              </w:rPr>
              <w:t xml:space="preserve">    用事业基金弥补收支差额</w:t>
            </w:r>
          </w:p>
        </w:tc>
        <w:tc>
          <w:tcPr>
            <w:tcW w:w="2117"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0.00</w:t>
            </w:r>
          </w:p>
        </w:tc>
        <w:tc>
          <w:tcPr>
            <w:tcW w:w="2309"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974" w:type="dxa"/>
          </w:tcPr>
          <w:p>
            <w:pPr>
              <w:rPr>
                <w:rFonts w:ascii="仿宋_GB2312" w:hAnsi="仿宋" w:eastAsia="仿宋_GB2312" w:cs="仿宋"/>
                <w:color w:val="000000"/>
                <w:kern w:val="0"/>
                <w:sz w:val="24"/>
              </w:rPr>
            </w:pPr>
            <w:r>
              <w:rPr>
                <w:rFonts w:hint="eastAsia" w:ascii="仿宋_GB2312" w:hAnsi="仿宋" w:eastAsia="仿宋_GB2312" w:cs="仿宋"/>
                <w:color w:val="000000"/>
                <w:kern w:val="0"/>
                <w:sz w:val="24"/>
              </w:rPr>
              <w:t xml:space="preserve">    年初结转和结余</w:t>
            </w:r>
          </w:p>
        </w:tc>
        <w:tc>
          <w:tcPr>
            <w:tcW w:w="2117"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0.00</w:t>
            </w:r>
          </w:p>
        </w:tc>
        <w:tc>
          <w:tcPr>
            <w:tcW w:w="2309"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974" w:type="dxa"/>
          </w:tcPr>
          <w:p>
            <w:pPr>
              <w:pStyle w:val="7"/>
              <w:jc w:val="center"/>
              <w:rPr>
                <w:rFonts w:hint="default" w:ascii="仿宋_GB2312" w:hAnsi="仿宋" w:eastAsia="仿宋_GB2312" w:cs="仿宋"/>
                <w:kern w:val="2"/>
                <w:szCs w:val="24"/>
              </w:rPr>
            </w:pPr>
            <w:r>
              <w:rPr>
                <w:rFonts w:ascii="仿宋_GB2312" w:hAnsi="仿宋" w:eastAsia="仿宋_GB2312" w:cs="仿宋"/>
                <w:b/>
                <w:bCs/>
                <w:kern w:val="2"/>
                <w:szCs w:val="24"/>
              </w:rPr>
              <w:t>总计</w:t>
            </w:r>
          </w:p>
        </w:tc>
        <w:tc>
          <w:tcPr>
            <w:tcW w:w="2117"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3,305.88</w:t>
            </w:r>
          </w:p>
        </w:tc>
        <w:tc>
          <w:tcPr>
            <w:tcW w:w="2309"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3,049.12</w:t>
            </w:r>
          </w:p>
        </w:tc>
      </w:tr>
    </w:tbl>
    <w:p>
      <w:pPr>
        <w:pStyle w:val="7"/>
        <w:rPr>
          <w:rFonts w:hint="default" w:ascii="仿宋" w:hAnsi="仿宋" w:eastAsia="仿宋" w:cs="仿宋"/>
          <w:szCs w:val="24"/>
          <w:highlight w:val="yellow"/>
        </w:rPr>
      </w:pPr>
    </w:p>
    <w:p>
      <w:pPr>
        <w:pStyle w:val="8"/>
        <w:spacing w:after="220"/>
        <w:ind w:firstLine="490" w:firstLineChars="175"/>
        <w:jc w:val="center"/>
        <w:rPr>
          <w:rFonts w:ascii="黑体" w:hAnsi="黑体" w:eastAsia="黑体" w:cs="黑体"/>
          <w:sz w:val="28"/>
          <w:szCs w:val="28"/>
        </w:rPr>
      </w:pPr>
      <w:r>
        <w:rPr>
          <w:rFonts w:hint="eastAsia" w:ascii="黑体" w:hAnsi="黑体" w:eastAsia="黑体" w:cs="黑体"/>
          <w:sz w:val="28"/>
          <w:szCs w:val="28"/>
        </w:rPr>
        <w:t>表 2 部门整体支出构成与调整情况（按支出功能分类）</w:t>
      </w:r>
    </w:p>
    <w:tbl>
      <w:tblPr>
        <w:tblStyle w:val="5"/>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8"/>
        <w:gridCol w:w="1731"/>
        <w:gridCol w:w="1810"/>
        <w:gridCol w:w="1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8528" w:type="dxa"/>
            <w:gridSpan w:val="4"/>
          </w:tcPr>
          <w:p>
            <w:pPr>
              <w:pStyle w:val="7"/>
              <w:jc w:val="right"/>
              <w:rPr>
                <w:rFonts w:hint="default" w:ascii="仿宋_GB2312" w:hAnsi="仿宋" w:eastAsia="仿宋_GB2312" w:cs="仿宋"/>
                <w:kern w:val="2"/>
                <w:szCs w:val="24"/>
              </w:rPr>
            </w:pPr>
            <w:r>
              <w:rPr>
                <w:rFonts w:ascii="仿宋_GB2312" w:hAnsi="仿宋" w:eastAsia="仿宋_GB2312" w:cs="仿宋"/>
                <w:kern w:val="2"/>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tcPr>
          <w:p>
            <w:pPr>
              <w:pStyle w:val="7"/>
              <w:rPr>
                <w:rFonts w:hint="default" w:ascii="仿宋_GB2312" w:hAnsi="仿宋" w:eastAsia="仿宋_GB2312" w:cs="仿宋"/>
                <w:kern w:val="2"/>
                <w:szCs w:val="24"/>
              </w:rPr>
            </w:pPr>
            <w:r>
              <w:rPr>
                <w:rFonts w:ascii="仿宋_GB2312" w:hAnsi="仿宋" w:eastAsia="仿宋_GB2312" w:cs="仿宋"/>
                <w:kern w:val="2"/>
                <w:szCs w:val="24"/>
              </w:rPr>
              <w:t>支出功能分类</w:t>
            </w:r>
          </w:p>
        </w:tc>
        <w:tc>
          <w:tcPr>
            <w:tcW w:w="1731" w:type="dxa"/>
          </w:tcPr>
          <w:p>
            <w:pPr>
              <w:pStyle w:val="7"/>
              <w:jc w:val="center"/>
              <w:rPr>
                <w:rFonts w:hint="default" w:ascii="仿宋_GB2312" w:hAnsi="仿宋" w:eastAsia="仿宋_GB2312" w:cs="仿宋"/>
                <w:kern w:val="2"/>
                <w:szCs w:val="24"/>
              </w:rPr>
            </w:pPr>
            <w:r>
              <w:rPr>
                <w:rFonts w:ascii="仿宋_GB2312" w:hAnsi="仿宋" w:eastAsia="仿宋_GB2312" w:cs="仿宋"/>
                <w:kern w:val="2"/>
                <w:szCs w:val="24"/>
              </w:rPr>
              <w:t>年初预算数</w:t>
            </w:r>
          </w:p>
        </w:tc>
        <w:tc>
          <w:tcPr>
            <w:tcW w:w="1810" w:type="dxa"/>
          </w:tcPr>
          <w:p>
            <w:pPr>
              <w:pStyle w:val="7"/>
              <w:jc w:val="center"/>
              <w:rPr>
                <w:rFonts w:hint="default" w:ascii="仿宋_GB2312" w:hAnsi="仿宋" w:eastAsia="仿宋_GB2312" w:cs="仿宋"/>
                <w:kern w:val="2"/>
                <w:szCs w:val="24"/>
              </w:rPr>
            </w:pPr>
            <w:r>
              <w:rPr>
                <w:rFonts w:ascii="仿宋_GB2312" w:hAnsi="仿宋" w:eastAsia="仿宋_GB2312" w:cs="仿宋"/>
                <w:kern w:val="2"/>
                <w:szCs w:val="24"/>
              </w:rPr>
              <w:t>调整预算数</w:t>
            </w:r>
          </w:p>
        </w:tc>
        <w:tc>
          <w:tcPr>
            <w:tcW w:w="1809" w:type="dxa"/>
          </w:tcPr>
          <w:p>
            <w:pPr>
              <w:pStyle w:val="7"/>
              <w:jc w:val="center"/>
              <w:rPr>
                <w:rFonts w:hint="default" w:ascii="仿宋_GB2312" w:hAnsi="仿宋" w:eastAsia="仿宋_GB2312" w:cs="仿宋"/>
                <w:kern w:val="2"/>
                <w:szCs w:val="24"/>
              </w:rPr>
            </w:pPr>
            <w:r>
              <w:rPr>
                <w:rFonts w:ascii="仿宋_GB2312" w:hAnsi="仿宋" w:eastAsia="仿宋_GB2312" w:cs="仿宋"/>
                <w:kern w:val="2"/>
                <w:szCs w:val="24"/>
              </w:rPr>
              <w:t>部门决算数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tcPr>
          <w:p>
            <w:pPr>
              <w:rPr>
                <w:rFonts w:ascii="仿宋_GB2312" w:hAnsi="仿宋" w:eastAsia="仿宋_GB2312" w:cs="仿宋"/>
                <w:color w:val="000000"/>
                <w:kern w:val="0"/>
                <w:sz w:val="24"/>
              </w:rPr>
            </w:pPr>
            <w:r>
              <w:rPr>
                <w:rFonts w:hint="eastAsia" w:ascii="仿宋_GB2312" w:hAnsi="Calibri" w:eastAsia="仿宋_GB2312"/>
                <w:kern w:val="0"/>
                <w:sz w:val="24"/>
              </w:rPr>
              <w:t>社会保障和就业支出</w:t>
            </w:r>
          </w:p>
        </w:tc>
        <w:tc>
          <w:tcPr>
            <w:tcW w:w="1731"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860.79 </w:t>
            </w:r>
          </w:p>
        </w:tc>
        <w:tc>
          <w:tcPr>
            <w:tcW w:w="1810"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834.68 </w:t>
            </w:r>
          </w:p>
        </w:tc>
        <w:tc>
          <w:tcPr>
            <w:tcW w:w="1809"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736.64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tcPr>
          <w:p>
            <w:pPr>
              <w:rPr>
                <w:rFonts w:ascii="仿宋_GB2312" w:hAnsi="仿宋" w:eastAsia="仿宋_GB2312" w:cs="仿宋"/>
                <w:color w:val="000000"/>
                <w:kern w:val="0"/>
                <w:sz w:val="24"/>
              </w:rPr>
            </w:pPr>
            <w:r>
              <w:rPr>
                <w:rFonts w:hint="eastAsia" w:ascii="仿宋_GB2312" w:hAnsi="Calibri" w:eastAsia="仿宋_GB2312"/>
                <w:kern w:val="0"/>
                <w:sz w:val="24"/>
              </w:rPr>
              <w:t>卫生健康支出</w:t>
            </w:r>
          </w:p>
        </w:tc>
        <w:tc>
          <w:tcPr>
            <w:tcW w:w="1731"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29.49 </w:t>
            </w:r>
          </w:p>
        </w:tc>
        <w:tc>
          <w:tcPr>
            <w:tcW w:w="1810"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22.02 </w:t>
            </w:r>
          </w:p>
        </w:tc>
        <w:tc>
          <w:tcPr>
            <w:tcW w:w="1809"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18.24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tcPr>
          <w:p>
            <w:pPr>
              <w:rPr>
                <w:rFonts w:ascii="仿宋_GB2312" w:hAnsi="仿宋" w:eastAsia="仿宋_GB2312" w:cs="仿宋"/>
                <w:color w:val="000000"/>
                <w:kern w:val="0"/>
                <w:sz w:val="24"/>
              </w:rPr>
            </w:pPr>
            <w:r>
              <w:rPr>
                <w:rFonts w:hint="eastAsia" w:ascii="仿宋_GB2312" w:hAnsi="Calibri" w:eastAsia="仿宋_GB2312"/>
                <w:kern w:val="0"/>
                <w:sz w:val="24"/>
              </w:rPr>
              <w:t>城乡社区支出</w:t>
            </w:r>
          </w:p>
        </w:tc>
        <w:tc>
          <w:tcPr>
            <w:tcW w:w="1731"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2,165.30 </w:t>
            </w:r>
          </w:p>
        </w:tc>
        <w:tc>
          <w:tcPr>
            <w:tcW w:w="1810"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1,984.36 </w:t>
            </w:r>
          </w:p>
        </w:tc>
        <w:tc>
          <w:tcPr>
            <w:tcW w:w="1809"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1,862.96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tcPr>
          <w:p>
            <w:pPr>
              <w:rPr>
                <w:rFonts w:ascii="仿宋_GB2312" w:hAnsi="仿宋" w:eastAsia="仿宋_GB2312" w:cs="仿宋"/>
                <w:color w:val="000000"/>
                <w:kern w:val="0"/>
                <w:sz w:val="24"/>
              </w:rPr>
            </w:pPr>
            <w:r>
              <w:rPr>
                <w:rFonts w:hint="eastAsia" w:ascii="仿宋_GB2312" w:hAnsi="Calibri" w:eastAsia="仿宋_GB2312"/>
                <w:kern w:val="0"/>
                <w:sz w:val="24"/>
              </w:rPr>
              <w:t>住房保障支出</w:t>
            </w:r>
          </w:p>
        </w:tc>
        <w:tc>
          <w:tcPr>
            <w:tcW w:w="1731"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250.29 </w:t>
            </w:r>
          </w:p>
        </w:tc>
        <w:tc>
          <w:tcPr>
            <w:tcW w:w="1810"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208.07 </w:t>
            </w:r>
          </w:p>
        </w:tc>
        <w:tc>
          <w:tcPr>
            <w:tcW w:w="1809"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192.52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tcPr>
          <w:p>
            <w:pPr>
              <w:pStyle w:val="7"/>
              <w:jc w:val="center"/>
              <w:rPr>
                <w:rFonts w:hint="default" w:ascii="仿宋_GB2312" w:hAnsi="仿宋" w:eastAsia="仿宋_GB2312" w:cs="仿宋"/>
                <w:kern w:val="2"/>
                <w:szCs w:val="24"/>
              </w:rPr>
            </w:pPr>
            <w:r>
              <w:rPr>
                <w:rFonts w:ascii="仿宋_GB2312" w:hAnsi="仿宋" w:eastAsia="仿宋_GB2312" w:cs="仿宋"/>
                <w:kern w:val="2"/>
                <w:szCs w:val="24"/>
              </w:rPr>
              <w:t>总计</w:t>
            </w:r>
          </w:p>
        </w:tc>
        <w:tc>
          <w:tcPr>
            <w:tcW w:w="1731"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3,305.88</w:t>
            </w:r>
          </w:p>
        </w:tc>
        <w:tc>
          <w:tcPr>
            <w:tcW w:w="1810"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3,049.12 </w:t>
            </w:r>
          </w:p>
        </w:tc>
        <w:tc>
          <w:tcPr>
            <w:tcW w:w="1809" w:type="dxa"/>
            <w:vAlign w:val="bottom"/>
          </w:tcPr>
          <w:p>
            <w:pPr>
              <w:pStyle w:val="7"/>
              <w:jc w:val="right"/>
              <w:rPr>
                <w:rFonts w:hint="default" w:ascii="仿宋_GB2312" w:hAnsi="仿宋_GB2312" w:eastAsia="仿宋_GB2312" w:cs="仿宋_GB2312"/>
                <w:color w:val="000000" w:themeColor="text1"/>
                <w:kern w:val="2"/>
                <w:szCs w:val="24"/>
                <w14:textFill>
                  <w14:solidFill>
                    <w14:schemeClr w14:val="tx1"/>
                  </w14:solidFill>
                </w14:textFill>
              </w:rPr>
            </w:pPr>
            <w:r>
              <w:rPr>
                <w:rFonts w:ascii="仿宋_GB2312" w:hAnsi="仿宋_GB2312" w:eastAsia="仿宋_GB2312" w:cs="仿宋_GB2312"/>
                <w:color w:val="000000" w:themeColor="text1"/>
                <w:kern w:val="2"/>
                <w:szCs w:val="24"/>
                <w14:textFill>
                  <w14:solidFill>
                    <w14:schemeClr w14:val="tx1"/>
                  </w14:solidFill>
                </w14:textFill>
              </w:rPr>
              <w:t xml:space="preserve"> 2,810.36 </w:t>
            </w:r>
          </w:p>
        </w:tc>
      </w:tr>
    </w:tbl>
    <w:p>
      <w:pPr>
        <w:pStyle w:val="7"/>
        <w:rPr>
          <w:rFonts w:hint="default" w:ascii="仿宋" w:hAnsi="仿宋" w:eastAsia="仿宋" w:cs="仿宋"/>
          <w:szCs w:val="24"/>
        </w:rPr>
      </w:pPr>
    </w:p>
    <w:p>
      <w:pPr>
        <w:pStyle w:val="8"/>
        <w:spacing w:after="220"/>
        <w:ind w:firstLine="490" w:firstLineChars="175"/>
        <w:jc w:val="center"/>
        <w:rPr>
          <w:rFonts w:ascii="仿宋" w:hAnsi="仿宋" w:eastAsia="仿宋" w:cs="仿宋"/>
          <w:sz w:val="28"/>
          <w:szCs w:val="28"/>
        </w:rPr>
      </w:pPr>
      <w:r>
        <w:rPr>
          <w:rFonts w:hint="eastAsia" w:ascii="黑体" w:hAnsi="黑体" w:eastAsia="黑体" w:cs="黑体"/>
          <w:sz w:val="28"/>
          <w:szCs w:val="28"/>
        </w:rPr>
        <w:t>表 3 部门整体支出构成与调整情况（按支出用途）</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89"/>
        <w:gridCol w:w="1665"/>
        <w:gridCol w:w="1957"/>
        <w:gridCol w:w="1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000" w:type="pct"/>
            <w:gridSpan w:val="4"/>
          </w:tcPr>
          <w:p>
            <w:pPr>
              <w:pStyle w:val="7"/>
              <w:jc w:val="right"/>
              <w:rPr>
                <w:rFonts w:hint="default" w:ascii="仿宋" w:hAnsi="仿宋" w:eastAsia="仿宋" w:cs="仿宋"/>
                <w:kern w:val="2"/>
                <w:szCs w:val="24"/>
              </w:rPr>
            </w:pPr>
            <w:r>
              <w:rPr>
                <w:rFonts w:ascii="仿宋" w:hAnsi="仿宋" w:eastAsia="仿宋" w:cs="仿宋"/>
                <w:kern w:val="2"/>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54" w:type="pct"/>
          </w:tcPr>
          <w:p>
            <w:pPr>
              <w:pStyle w:val="7"/>
              <w:jc w:val="center"/>
              <w:rPr>
                <w:rFonts w:hint="default" w:ascii="仿宋" w:hAnsi="仿宋" w:eastAsia="仿宋" w:cs="仿宋"/>
                <w:kern w:val="2"/>
                <w:szCs w:val="24"/>
              </w:rPr>
            </w:pPr>
            <w:r>
              <w:rPr>
                <w:rFonts w:ascii="仿宋" w:hAnsi="仿宋" w:eastAsia="仿宋" w:cs="仿宋"/>
                <w:kern w:val="2"/>
                <w:szCs w:val="24"/>
              </w:rPr>
              <w:t>支出用途</w:t>
            </w:r>
          </w:p>
        </w:tc>
        <w:tc>
          <w:tcPr>
            <w:tcW w:w="977" w:type="pct"/>
          </w:tcPr>
          <w:p>
            <w:pPr>
              <w:pStyle w:val="7"/>
              <w:jc w:val="center"/>
              <w:rPr>
                <w:rFonts w:hint="default" w:ascii="仿宋" w:hAnsi="仿宋" w:eastAsia="仿宋" w:cs="仿宋"/>
                <w:kern w:val="2"/>
                <w:szCs w:val="24"/>
              </w:rPr>
            </w:pPr>
            <w:r>
              <w:rPr>
                <w:rFonts w:ascii="仿宋" w:hAnsi="仿宋" w:eastAsia="仿宋" w:cs="仿宋"/>
                <w:kern w:val="2"/>
                <w:szCs w:val="24"/>
              </w:rPr>
              <w:t>年初预算数</w:t>
            </w:r>
          </w:p>
        </w:tc>
        <w:tc>
          <w:tcPr>
            <w:tcW w:w="1148" w:type="pct"/>
          </w:tcPr>
          <w:p>
            <w:pPr>
              <w:pStyle w:val="7"/>
              <w:jc w:val="center"/>
              <w:rPr>
                <w:rFonts w:hint="default" w:ascii="仿宋" w:hAnsi="仿宋" w:eastAsia="仿宋" w:cs="仿宋"/>
                <w:kern w:val="2"/>
                <w:szCs w:val="24"/>
              </w:rPr>
            </w:pPr>
            <w:r>
              <w:rPr>
                <w:rFonts w:ascii="仿宋" w:hAnsi="仿宋" w:eastAsia="仿宋" w:cs="仿宋"/>
                <w:kern w:val="2"/>
                <w:szCs w:val="24"/>
              </w:rPr>
              <w:t>调整预算数</w:t>
            </w:r>
          </w:p>
        </w:tc>
        <w:tc>
          <w:tcPr>
            <w:tcW w:w="1121" w:type="pct"/>
          </w:tcPr>
          <w:p>
            <w:pPr>
              <w:pStyle w:val="7"/>
              <w:jc w:val="center"/>
              <w:rPr>
                <w:rFonts w:hint="default" w:ascii="仿宋" w:hAnsi="仿宋" w:eastAsia="仿宋" w:cs="仿宋"/>
                <w:kern w:val="2"/>
                <w:szCs w:val="24"/>
              </w:rPr>
            </w:pPr>
            <w:r>
              <w:rPr>
                <w:rFonts w:ascii="仿宋_GB2312" w:hAnsi="仿宋" w:eastAsia="仿宋_GB2312" w:cs="仿宋"/>
                <w:kern w:val="2"/>
                <w:szCs w:val="24"/>
              </w:rPr>
              <w:t>部门决算数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54" w:type="pct"/>
            <w:vAlign w:val="bottom"/>
          </w:tcPr>
          <w:p>
            <w:pPr>
              <w:rPr>
                <w:rFonts w:ascii="仿宋" w:hAnsi="仿宋" w:eastAsia="仿宋" w:cs="仿宋"/>
                <w:color w:val="000000"/>
                <w:kern w:val="0"/>
                <w:sz w:val="24"/>
              </w:rPr>
            </w:pPr>
            <w:r>
              <w:rPr>
                <w:rFonts w:hint="eastAsia" w:ascii="仿宋" w:hAnsi="仿宋" w:eastAsia="仿宋" w:cs="仿宋"/>
                <w:color w:val="000000"/>
                <w:kern w:val="0"/>
                <w:sz w:val="24"/>
              </w:rPr>
              <w:t>一、基本支出</w:t>
            </w:r>
          </w:p>
        </w:tc>
        <w:tc>
          <w:tcPr>
            <w:tcW w:w="977"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1,941.16 </w:t>
            </w:r>
          </w:p>
        </w:tc>
        <w:tc>
          <w:tcPr>
            <w:tcW w:w="1148"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1,899.05 </w:t>
            </w:r>
          </w:p>
        </w:tc>
        <w:tc>
          <w:tcPr>
            <w:tcW w:w="1121"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1,753.56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54" w:type="pct"/>
            <w:vAlign w:val="bottom"/>
          </w:tcPr>
          <w:p>
            <w:pPr>
              <w:rPr>
                <w:rFonts w:ascii="仿宋" w:hAnsi="仿宋" w:eastAsia="仿宋" w:cs="仿宋"/>
                <w:color w:val="000000"/>
                <w:kern w:val="0"/>
                <w:sz w:val="24"/>
              </w:rPr>
            </w:pPr>
            <w:r>
              <w:rPr>
                <w:rFonts w:hint="eastAsia" w:ascii="仿宋" w:hAnsi="仿宋" w:eastAsia="仿宋" w:cs="仿宋"/>
                <w:color w:val="000000"/>
                <w:kern w:val="0"/>
                <w:sz w:val="24"/>
              </w:rPr>
              <w:t xml:space="preserve">    人员经费</w:t>
            </w:r>
          </w:p>
        </w:tc>
        <w:tc>
          <w:tcPr>
            <w:tcW w:w="977"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1,811.77 </w:t>
            </w:r>
          </w:p>
        </w:tc>
        <w:tc>
          <w:tcPr>
            <w:tcW w:w="1148"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1,812.79 </w:t>
            </w:r>
          </w:p>
        </w:tc>
        <w:tc>
          <w:tcPr>
            <w:tcW w:w="1121"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1,672.01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54" w:type="pct"/>
            <w:vAlign w:val="bottom"/>
          </w:tcPr>
          <w:p>
            <w:pPr>
              <w:rPr>
                <w:rFonts w:ascii="仿宋" w:hAnsi="仿宋" w:eastAsia="仿宋" w:cs="仿宋"/>
                <w:color w:val="000000"/>
                <w:kern w:val="0"/>
                <w:sz w:val="24"/>
              </w:rPr>
            </w:pPr>
            <w:r>
              <w:rPr>
                <w:rFonts w:hint="eastAsia" w:ascii="仿宋" w:hAnsi="仿宋" w:eastAsia="仿宋" w:cs="仿宋"/>
                <w:color w:val="000000"/>
                <w:kern w:val="0"/>
                <w:sz w:val="24"/>
              </w:rPr>
              <w:t xml:space="preserve">    日常公用经费</w:t>
            </w:r>
          </w:p>
        </w:tc>
        <w:tc>
          <w:tcPr>
            <w:tcW w:w="977"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129.39 </w:t>
            </w:r>
          </w:p>
        </w:tc>
        <w:tc>
          <w:tcPr>
            <w:tcW w:w="1148"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86.26 </w:t>
            </w:r>
          </w:p>
        </w:tc>
        <w:tc>
          <w:tcPr>
            <w:tcW w:w="1121"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81.56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54" w:type="pct"/>
            <w:vAlign w:val="bottom"/>
          </w:tcPr>
          <w:p>
            <w:pPr>
              <w:rPr>
                <w:rFonts w:ascii="仿宋" w:hAnsi="仿宋" w:eastAsia="仿宋" w:cs="仿宋"/>
                <w:color w:val="000000"/>
                <w:kern w:val="0"/>
                <w:sz w:val="24"/>
              </w:rPr>
            </w:pPr>
            <w:r>
              <w:rPr>
                <w:rFonts w:hint="eastAsia" w:ascii="仿宋" w:hAnsi="仿宋" w:eastAsia="仿宋" w:cs="仿宋"/>
                <w:color w:val="000000"/>
                <w:kern w:val="0"/>
                <w:sz w:val="24"/>
              </w:rPr>
              <w:t>二、项目支出</w:t>
            </w:r>
          </w:p>
        </w:tc>
        <w:tc>
          <w:tcPr>
            <w:tcW w:w="977"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1,364.72 </w:t>
            </w:r>
          </w:p>
        </w:tc>
        <w:tc>
          <w:tcPr>
            <w:tcW w:w="1148"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1,150.08 </w:t>
            </w:r>
          </w:p>
        </w:tc>
        <w:tc>
          <w:tcPr>
            <w:tcW w:w="1121"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1,056.79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54" w:type="pct"/>
            <w:vAlign w:val="bottom"/>
          </w:tcPr>
          <w:p>
            <w:pPr>
              <w:rPr>
                <w:rFonts w:ascii="仿宋" w:hAnsi="仿宋" w:eastAsia="仿宋" w:cs="仿宋"/>
                <w:color w:val="000000"/>
                <w:kern w:val="0"/>
                <w:sz w:val="24"/>
              </w:rPr>
            </w:pPr>
            <w:r>
              <w:rPr>
                <w:rFonts w:hint="eastAsia" w:ascii="仿宋" w:hAnsi="仿宋" w:eastAsia="仿宋" w:cs="仿宋"/>
                <w:color w:val="000000"/>
                <w:kern w:val="0"/>
                <w:sz w:val="24"/>
              </w:rPr>
              <w:t xml:space="preserve">    基本建设类项目</w:t>
            </w:r>
          </w:p>
        </w:tc>
        <w:tc>
          <w:tcPr>
            <w:tcW w:w="977"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   </w:t>
            </w:r>
          </w:p>
        </w:tc>
        <w:tc>
          <w:tcPr>
            <w:tcW w:w="1148"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   </w:t>
            </w:r>
          </w:p>
        </w:tc>
        <w:tc>
          <w:tcPr>
            <w:tcW w:w="1121"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54" w:type="pct"/>
            <w:vAlign w:val="bottom"/>
          </w:tcPr>
          <w:p>
            <w:pPr>
              <w:rPr>
                <w:rFonts w:ascii="仿宋" w:hAnsi="仿宋" w:eastAsia="仿宋" w:cs="仿宋"/>
                <w:color w:val="000000"/>
                <w:kern w:val="0"/>
                <w:sz w:val="24"/>
              </w:rPr>
            </w:pPr>
            <w:r>
              <w:rPr>
                <w:rFonts w:hint="eastAsia" w:ascii="仿宋" w:hAnsi="仿宋" w:eastAsia="仿宋" w:cs="仿宋"/>
                <w:color w:val="000000"/>
                <w:kern w:val="0"/>
                <w:sz w:val="24"/>
              </w:rPr>
              <w:t xml:space="preserve">    行政事业类项目</w:t>
            </w:r>
          </w:p>
        </w:tc>
        <w:tc>
          <w:tcPr>
            <w:tcW w:w="977"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1,364.72 </w:t>
            </w:r>
          </w:p>
        </w:tc>
        <w:tc>
          <w:tcPr>
            <w:tcW w:w="1148"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1,150.08 </w:t>
            </w:r>
          </w:p>
        </w:tc>
        <w:tc>
          <w:tcPr>
            <w:tcW w:w="1121"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1,056.79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54" w:type="pct"/>
            <w:vAlign w:val="bottom"/>
          </w:tcPr>
          <w:p>
            <w:pPr>
              <w:rPr>
                <w:rFonts w:ascii="仿宋" w:hAnsi="仿宋" w:eastAsia="仿宋" w:cs="仿宋"/>
                <w:color w:val="000000"/>
                <w:kern w:val="0"/>
                <w:sz w:val="24"/>
              </w:rPr>
            </w:pPr>
            <w:r>
              <w:rPr>
                <w:rFonts w:hint="eastAsia" w:ascii="仿宋" w:hAnsi="仿宋" w:eastAsia="仿宋" w:cs="仿宋"/>
                <w:color w:val="000000"/>
                <w:kern w:val="0"/>
                <w:sz w:val="24"/>
              </w:rPr>
              <w:t>三、上缴上级支出</w:t>
            </w:r>
          </w:p>
        </w:tc>
        <w:tc>
          <w:tcPr>
            <w:tcW w:w="977"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   </w:t>
            </w:r>
          </w:p>
        </w:tc>
        <w:tc>
          <w:tcPr>
            <w:tcW w:w="1148"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   </w:t>
            </w:r>
          </w:p>
        </w:tc>
        <w:tc>
          <w:tcPr>
            <w:tcW w:w="1121"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54" w:type="pct"/>
            <w:vAlign w:val="bottom"/>
          </w:tcPr>
          <w:p>
            <w:pPr>
              <w:rPr>
                <w:rFonts w:ascii="仿宋" w:hAnsi="仿宋" w:eastAsia="仿宋" w:cs="仿宋"/>
                <w:color w:val="000000"/>
                <w:kern w:val="0"/>
                <w:sz w:val="24"/>
              </w:rPr>
            </w:pPr>
            <w:r>
              <w:rPr>
                <w:rFonts w:hint="eastAsia" w:ascii="仿宋" w:hAnsi="仿宋" w:eastAsia="仿宋" w:cs="仿宋"/>
                <w:color w:val="000000"/>
                <w:kern w:val="0"/>
                <w:sz w:val="24"/>
              </w:rPr>
              <w:t>四、经营支出</w:t>
            </w:r>
          </w:p>
        </w:tc>
        <w:tc>
          <w:tcPr>
            <w:tcW w:w="977"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   </w:t>
            </w:r>
          </w:p>
        </w:tc>
        <w:tc>
          <w:tcPr>
            <w:tcW w:w="1148"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   </w:t>
            </w:r>
          </w:p>
        </w:tc>
        <w:tc>
          <w:tcPr>
            <w:tcW w:w="1121"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54" w:type="pct"/>
            <w:vAlign w:val="bottom"/>
          </w:tcPr>
          <w:p>
            <w:pPr>
              <w:rPr>
                <w:rFonts w:ascii="仿宋" w:hAnsi="仿宋" w:eastAsia="仿宋" w:cs="仿宋"/>
                <w:color w:val="000000"/>
                <w:kern w:val="0"/>
                <w:sz w:val="24"/>
              </w:rPr>
            </w:pPr>
            <w:r>
              <w:rPr>
                <w:rFonts w:hint="eastAsia" w:ascii="仿宋" w:hAnsi="仿宋" w:eastAsia="仿宋" w:cs="仿宋"/>
                <w:color w:val="000000"/>
                <w:kern w:val="0"/>
                <w:sz w:val="24"/>
              </w:rPr>
              <w:t>五、对附属单位补助支出</w:t>
            </w:r>
          </w:p>
        </w:tc>
        <w:tc>
          <w:tcPr>
            <w:tcW w:w="977"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   </w:t>
            </w:r>
          </w:p>
        </w:tc>
        <w:tc>
          <w:tcPr>
            <w:tcW w:w="1148"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   </w:t>
            </w:r>
          </w:p>
        </w:tc>
        <w:tc>
          <w:tcPr>
            <w:tcW w:w="1121"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54" w:type="pct"/>
            <w:vAlign w:val="bottom"/>
          </w:tcPr>
          <w:p>
            <w:pPr>
              <w:pStyle w:val="7"/>
              <w:jc w:val="center"/>
              <w:rPr>
                <w:rFonts w:hint="default" w:ascii="仿宋" w:hAnsi="仿宋" w:eastAsia="仿宋" w:cs="仿宋"/>
                <w:kern w:val="2"/>
                <w:szCs w:val="24"/>
              </w:rPr>
            </w:pPr>
            <w:r>
              <w:rPr>
                <w:rFonts w:ascii="仿宋" w:hAnsi="仿宋" w:eastAsia="仿宋" w:cs="仿宋"/>
                <w:kern w:val="2"/>
                <w:szCs w:val="24"/>
              </w:rPr>
              <w:t>总计</w:t>
            </w:r>
          </w:p>
        </w:tc>
        <w:tc>
          <w:tcPr>
            <w:tcW w:w="977"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3,305.88 </w:t>
            </w:r>
          </w:p>
        </w:tc>
        <w:tc>
          <w:tcPr>
            <w:tcW w:w="1148"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3,049.12 </w:t>
            </w:r>
          </w:p>
        </w:tc>
        <w:tc>
          <w:tcPr>
            <w:tcW w:w="1121" w:type="pct"/>
            <w:vAlign w:val="bottom"/>
          </w:tcPr>
          <w:p>
            <w:pPr>
              <w:pStyle w:val="7"/>
              <w:jc w:val="right"/>
              <w:rPr>
                <w:rFonts w:hint="default" w:ascii="仿宋_GB2312" w:hAnsi="仿宋" w:eastAsia="仿宋_GB2312" w:cs="仿宋"/>
                <w:kern w:val="2"/>
                <w:szCs w:val="24"/>
              </w:rPr>
            </w:pPr>
            <w:r>
              <w:rPr>
                <w:rFonts w:ascii="仿宋_GB2312" w:eastAsia="仿宋_GB2312"/>
              </w:rPr>
              <w:t xml:space="preserve"> 2,810.36 </w:t>
            </w:r>
          </w:p>
        </w:tc>
      </w:tr>
    </w:tbl>
    <w:p>
      <w:pPr>
        <w:pStyle w:val="8"/>
        <w:ind w:left="2364"/>
        <w:jc w:val="both"/>
        <w:rPr>
          <w:rFonts w:ascii="仿宋" w:hAnsi="仿宋" w:eastAsia="仿宋" w:cs="仿宋"/>
          <w:szCs w:val="24"/>
        </w:rPr>
      </w:pPr>
    </w:p>
    <w:p>
      <w:pPr>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3、绩效目标管理情况。</w:t>
      </w:r>
    </w:p>
    <w:p>
      <w:pPr>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按财政部门要求，</w:t>
      </w:r>
      <w:r>
        <w:rPr>
          <w:rFonts w:hint="eastAsia" w:ascii="仿宋" w:hAnsi="仿宋" w:eastAsia="仿宋" w:cs="仿宋"/>
          <w:sz w:val="32"/>
          <w:szCs w:val="32"/>
        </w:rPr>
        <w:t>我中心</w:t>
      </w:r>
      <w:r>
        <w:rPr>
          <w:rFonts w:hint="eastAsia" w:ascii="仿宋" w:hAnsi="仿宋" w:eastAsia="仿宋" w:cs="仿宋"/>
          <w:color w:val="000000"/>
          <w:sz w:val="32"/>
          <w:szCs w:val="32"/>
        </w:rPr>
        <w:t>201</w:t>
      </w:r>
      <w:r>
        <w:rPr>
          <w:rFonts w:ascii="仿宋" w:hAnsi="仿宋" w:eastAsia="仿宋" w:cs="仿宋"/>
          <w:color w:val="000000"/>
          <w:sz w:val="32"/>
          <w:szCs w:val="32"/>
        </w:rPr>
        <w:t>9</w:t>
      </w:r>
      <w:r>
        <w:rPr>
          <w:rFonts w:hint="eastAsia" w:ascii="仿宋" w:hAnsi="仿宋" w:eastAsia="仿宋" w:cs="仿宋"/>
          <w:color w:val="000000"/>
          <w:sz w:val="32"/>
          <w:szCs w:val="32"/>
        </w:rPr>
        <w:t>年将</w:t>
      </w:r>
      <w:r>
        <w:rPr>
          <w:rFonts w:hint="eastAsia" w:ascii="仿宋" w:hAnsi="仿宋" w:eastAsia="仿宋" w:cs="仿宋"/>
          <w:sz w:val="32"/>
          <w:szCs w:val="32"/>
        </w:rPr>
        <w:t>市政绿化及公园治理经费</w:t>
      </w:r>
      <w:r>
        <w:rPr>
          <w:rFonts w:hint="eastAsia" w:ascii="仿宋" w:hAnsi="仿宋" w:eastAsia="仿宋" w:cs="仿宋"/>
          <w:color w:val="000000"/>
          <w:sz w:val="32"/>
          <w:szCs w:val="32"/>
        </w:rPr>
        <w:t>纳入部门预算绩效管理并编制预算绩效目标，涉及一般公共预算当</w:t>
      </w:r>
      <w:r>
        <w:rPr>
          <w:rFonts w:hint="eastAsia" w:ascii="仿宋" w:hAnsi="仿宋" w:eastAsia="仿宋" w:cs="仿宋"/>
          <w:sz w:val="32"/>
          <w:szCs w:val="32"/>
        </w:rPr>
        <w:t>年拨款</w:t>
      </w:r>
      <w:r>
        <w:rPr>
          <w:rFonts w:ascii="仿宋" w:hAnsi="仿宋" w:eastAsia="仿宋" w:cs="仿宋"/>
          <w:sz w:val="32"/>
          <w:szCs w:val="32"/>
        </w:rPr>
        <w:t>260.00</w:t>
      </w:r>
      <w:r>
        <w:rPr>
          <w:rFonts w:hint="eastAsia" w:ascii="仿宋" w:hAnsi="仿宋" w:eastAsia="仿宋" w:cs="仿宋"/>
          <w:sz w:val="32"/>
          <w:szCs w:val="32"/>
        </w:rPr>
        <w:t>万元。</w:t>
      </w:r>
    </w:p>
    <w:p>
      <w:pPr>
        <w:snapToGrid w:val="0"/>
        <w:spacing w:line="580" w:lineRule="exact"/>
        <w:ind w:firstLine="640" w:firstLineChars="200"/>
        <w:rPr>
          <w:rFonts w:ascii="仿宋_GB2312" w:hAnsi="楷体_GB2312" w:eastAsia="仿宋_GB2312" w:cs="楷体_GB2312"/>
          <w:bCs/>
          <w:sz w:val="32"/>
          <w:szCs w:val="32"/>
        </w:rPr>
      </w:pPr>
      <w:r>
        <w:rPr>
          <w:rFonts w:hint="eastAsia" w:ascii="仿宋_GB2312" w:hAnsi="楷体_GB2312" w:eastAsia="仿宋_GB2312" w:cs="楷体_GB2312"/>
          <w:bCs/>
          <w:sz w:val="32"/>
          <w:szCs w:val="32"/>
        </w:rPr>
        <w:t>（四）2019年部门预算执行情况。</w:t>
      </w:r>
    </w:p>
    <w:p>
      <w:pPr>
        <w:pStyle w:val="9"/>
        <w:spacing w:line="560" w:lineRule="exact"/>
        <w:ind w:firstLine="640" w:firstLineChars="200"/>
        <w:jc w:val="both"/>
        <w:rPr>
          <w:rFonts w:ascii="仿宋" w:hAnsi="仿宋" w:eastAsia="仿宋" w:cs="仿宋"/>
          <w:kern w:val="2"/>
          <w:sz w:val="32"/>
          <w:szCs w:val="32"/>
        </w:rPr>
      </w:pPr>
      <w:r>
        <w:rPr>
          <w:rFonts w:hint="eastAsia" w:ascii="仿宋" w:hAnsi="仿宋" w:eastAsia="仿宋" w:cs="仿宋"/>
          <w:kern w:val="2"/>
          <w:sz w:val="32"/>
          <w:szCs w:val="32"/>
        </w:rPr>
        <w:t>201</w:t>
      </w:r>
      <w:r>
        <w:rPr>
          <w:rFonts w:ascii="仿宋" w:hAnsi="仿宋" w:eastAsia="仿宋" w:cs="仿宋"/>
          <w:kern w:val="2"/>
          <w:sz w:val="32"/>
          <w:szCs w:val="32"/>
        </w:rPr>
        <w:t>9</w:t>
      </w:r>
      <w:r>
        <w:rPr>
          <w:rFonts w:hint="eastAsia" w:ascii="仿宋" w:hAnsi="仿宋" w:eastAsia="仿宋" w:cs="仿宋"/>
          <w:kern w:val="2"/>
          <w:sz w:val="32"/>
          <w:szCs w:val="32"/>
        </w:rPr>
        <w:t>年度</w:t>
      </w:r>
      <w:r>
        <w:rPr>
          <w:rFonts w:hint="eastAsia" w:ascii="仿宋" w:hAnsi="仿宋" w:eastAsia="仿宋" w:cs="仿宋"/>
          <w:color w:val="auto"/>
          <w:sz w:val="32"/>
          <w:szCs w:val="32"/>
        </w:rPr>
        <w:t>我中心</w:t>
      </w:r>
      <w:r>
        <w:rPr>
          <w:rFonts w:hint="eastAsia" w:ascii="仿宋" w:hAnsi="仿宋" w:eastAsia="仿宋" w:cs="仿宋"/>
          <w:color w:val="auto"/>
          <w:kern w:val="2"/>
          <w:sz w:val="32"/>
          <w:szCs w:val="32"/>
        </w:rPr>
        <w:t>基本建立健全了部门内部管理制度，资金支出、项目管理较为规范，资产配置合理</w:t>
      </w:r>
      <w:r>
        <w:rPr>
          <w:rFonts w:hint="eastAsia" w:ascii="仿宋" w:hAnsi="仿宋" w:eastAsia="仿宋" w:cs="仿宋"/>
          <w:kern w:val="2"/>
          <w:sz w:val="32"/>
          <w:szCs w:val="32"/>
        </w:rPr>
        <w:t>。具体情况如下：</w:t>
      </w:r>
    </w:p>
    <w:p>
      <w:pPr>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1.预算资金执行情况较好。</w:t>
      </w:r>
    </w:p>
    <w:p>
      <w:pPr>
        <w:widowControl/>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201</w:t>
      </w:r>
      <w:r>
        <w:rPr>
          <w:rFonts w:ascii="仿宋" w:hAnsi="仿宋" w:eastAsia="仿宋" w:cs="仿宋"/>
          <w:sz w:val="32"/>
          <w:szCs w:val="32"/>
        </w:rPr>
        <w:t>9</w:t>
      </w:r>
      <w:r>
        <w:rPr>
          <w:rFonts w:hint="eastAsia" w:ascii="仿宋" w:hAnsi="仿宋" w:eastAsia="仿宋" w:cs="仿宋"/>
          <w:sz w:val="32"/>
          <w:szCs w:val="32"/>
        </w:rPr>
        <w:t>年，我中心财政拨款预算资金总额为</w:t>
      </w:r>
      <w:r>
        <w:rPr>
          <w:rFonts w:ascii="仿宋" w:hAnsi="仿宋" w:eastAsia="仿宋" w:cs="仿宋"/>
          <w:sz w:val="32"/>
          <w:szCs w:val="32"/>
        </w:rPr>
        <w:t>3,049.12</w:t>
      </w:r>
      <w:r>
        <w:rPr>
          <w:rFonts w:hint="eastAsia" w:ascii="仿宋" w:hAnsi="仿宋" w:eastAsia="仿宋" w:cs="仿宋"/>
          <w:sz w:val="32"/>
          <w:szCs w:val="32"/>
        </w:rPr>
        <w:t>万元，实际支出</w:t>
      </w:r>
      <w:r>
        <w:rPr>
          <w:rFonts w:ascii="仿宋" w:hAnsi="仿宋" w:eastAsia="仿宋" w:cs="仿宋"/>
          <w:sz w:val="32"/>
          <w:szCs w:val="32"/>
        </w:rPr>
        <w:t>2,810.36</w:t>
      </w:r>
      <w:r>
        <w:rPr>
          <w:rFonts w:hint="eastAsia" w:ascii="仿宋" w:hAnsi="仿宋" w:eastAsia="仿宋" w:cs="仿宋"/>
          <w:sz w:val="32"/>
          <w:szCs w:val="32"/>
        </w:rPr>
        <w:t>万元，执行率为</w:t>
      </w:r>
      <w:r>
        <w:rPr>
          <w:rFonts w:ascii="仿宋" w:hAnsi="仿宋" w:eastAsia="仿宋" w:cs="仿宋"/>
          <w:sz w:val="32"/>
          <w:szCs w:val="32"/>
        </w:rPr>
        <w:t>92.17%</w:t>
      </w:r>
      <w:r>
        <w:rPr>
          <w:rFonts w:hint="eastAsia" w:ascii="仿宋" w:hAnsi="仿宋" w:eastAsia="仿宋" w:cs="仿宋"/>
          <w:sz w:val="32"/>
          <w:szCs w:val="32"/>
        </w:rPr>
        <w:t>。年末财政拨款结转和结余</w:t>
      </w:r>
      <w:r>
        <w:rPr>
          <w:rFonts w:ascii="仿宋" w:hAnsi="仿宋" w:eastAsia="仿宋" w:cs="仿宋"/>
          <w:sz w:val="32"/>
          <w:szCs w:val="32"/>
        </w:rPr>
        <w:t>34.06</w:t>
      </w:r>
      <w:r>
        <w:rPr>
          <w:rFonts w:hint="eastAsia" w:ascii="仿宋" w:hAnsi="仿宋" w:eastAsia="仿宋" w:cs="仿宋"/>
          <w:sz w:val="32"/>
          <w:szCs w:val="32"/>
        </w:rPr>
        <w:t>万元，占当年度预算总额</w:t>
      </w:r>
      <w:r>
        <w:rPr>
          <w:rFonts w:ascii="仿宋" w:hAnsi="仿宋" w:eastAsia="仿宋" w:cs="仿宋"/>
          <w:sz w:val="32"/>
          <w:szCs w:val="32"/>
        </w:rPr>
        <w:t>1.12%</w:t>
      </w:r>
      <w:r>
        <w:rPr>
          <w:rFonts w:hint="eastAsia" w:ascii="仿宋" w:hAnsi="仿宋" w:eastAsia="仿宋" w:cs="仿宋"/>
          <w:sz w:val="32"/>
          <w:szCs w:val="32"/>
        </w:rPr>
        <w:t>，其中项目支出结转和结余</w:t>
      </w:r>
      <w:r>
        <w:rPr>
          <w:rFonts w:ascii="仿宋" w:hAnsi="仿宋" w:eastAsia="仿宋" w:cs="仿宋"/>
          <w:sz w:val="32"/>
          <w:szCs w:val="32"/>
        </w:rPr>
        <w:t>31.59</w:t>
      </w:r>
      <w:r>
        <w:rPr>
          <w:rFonts w:hint="eastAsia" w:ascii="仿宋" w:hAnsi="仿宋" w:eastAsia="仿宋" w:cs="仿宋"/>
          <w:sz w:val="32"/>
          <w:szCs w:val="32"/>
        </w:rPr>
        <w:t>万元。采购计划金额</w:t>
      </w:r>
      <w:r>
        <w:rPr>
          <w:rFonts w:ascii="仿宋" w:hAnsi="仿宋" w:eastAsia="仿宋" w:cs="仿宋"/>
          <w:sz w:val="32"/>
          <w:szCs w:val="32"/>
        </w:rPr>
        <w:t>6.08</w:t>
      </w:r>
      <w:r>
        <w:rPr>
          <w:rFonts w:hint="eastAsia" w:ascii="仿宋" w:hAnsi="仿宋" w:eastAsia="仿宋" w:cs="仿宋"/>
          <w:sz w:val="32"/>
          <w:szCs w:val="32"/>
        </w:rPr>
        <w:t>万元，实际采购金额</w:t>
      </w:r>
      <w:r>
        <w:rPr>
          <w:rFonts w:ascii="仿宋" w:hAnsi="仿宋" w:eastAsia="仿宋" w:cs="仿宋"/>
          <w:sz w:val="32"/>
          <w:szCs w:val="32"/>
        </w:rPr>
        <w:t>5.98</w:t>
      </w:r>
      <w:r>
        <w:rPr>
          <w:rFonts w:hint="eastAsia" w:ascii="仿宋" w:hAnsi="仿宋" w:eastAsia="仿宋" w:cs="仿宋"/>
          <w:sz w:val="32"/>
          <w:szCs w:val="32"/>
        </w:rPr>
        <w:t>万元，均属于货物类。</w:t>
      </w:r>
    </w:p>
    <w:p>
      <w:pPr>
        <w:widowControl/>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2.财务管理合法合规。</w:t>
      </w:r>
    </w:p>
    <w:p>
      <w:pPr>
        <w:widowControl/>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我中心</w:t>
      </w:r>
      <w:r>
        <w:rPr>
          <w:rFonts w:hint="eastAsia" w:ascii="仿宋" w:hAnsi="仿宋" w:eastAsia="仿宋" w:cs="仿宋"/>
          <w:color w:val="000000"/>
          <w:sz w:val="32"/>
          <w:szCs w:val="32"/>
        </w:rPr>
        <w:t>资金支出严格按</w:t>
      </w:r>
      <w:r>
        <w:rPr>
          <w:rFonts w:hint="eastAsia" w:ascii="仿宋" w:hAnsi="仿宋" w:eastAsia="仿宋" w:cs="仿宋"/>
          <w:sz w:val="32"/>
          <w:szCs w:val="32"/>
        </w:rPr>
        <w:t>照收支业务管理制度等相关财务制度执行，会计核算规范，不存在超范围、超标准、虚列支出等情况。预决算信息公开严格按照财政部门关于201</w:t>
      </w:r>
      <w:r>
        <w:rPr>
          <w:rFonts w:ascii="仿宋" w:hAnsi="仿宋" w:eastAsia="仿宋" w:cs="仿宋"/>
          <w:sz w:val="32"/>
          <w:szCs w:val="32"/>
        </w:rPr>
        <w:t>9</w:t>
      </w:r>
      <w:r>
        <w:rPr>
          <w:rFonts w:hint="eastAsia" w:ascii="仿宋" w:hAnsi="仿宋" w:eastAsia="仿宋" w:cs="仿宋"/>
          <w:sz w:val="32"/>
          <w:szCs w:val="32"/>
        </w:rPr>
        <w:t>年度预决算公开要求，在规定时间以规定的方式公开201</w:t>
      </w:r>
      <w:r>
        <w:rPr>
          <w:rFonts w:ascii="仿宋" w:hAnsi="仿宋" w:eastAsia="仿宋" w:cs="仿宋"/>
          <w:sz w:val="32"/>
          <w:szCs w:val="32"/>
        </w:rPr>
        <w:t>9</w:t>
      </w:r>
      <w:r>
        <w:rPr>
          <w:rFonts w:hint="eastAsia" w:ascii="仿宋" w:hAnsi="仿宋" w:eastAsia="仿宋" w:cs="仿宋"/>
          <w:sz w:val="32"/>
          <w:szCs w:val="32"/>
        </w:rPr>
        <w:t>年部门预算及201</w:t>
      </w:r>
      <w:r>
        <w:rPr>
          <w:rFonts w:ascii="仿宋" w:hAnsi="仿宋" w:eastAsia="仿宋" w:cs="仿宋"/>
          <w:sz w:val="32"/>
          <w:szCs w:val="32"/>
        </w:rPr>
        <w:t>8</w:t>
      </w:r>
      <w:r>
        <w:rPr>
          <w:rFonts w:hint="eastAsia" w:ascii="仿宋" w:hAnsi="仿宋" w:eastAsia="仿宋" w:cs="仿宋"/>
          <w:sz w:val="32"/>
          <w:szCs w:val="32"/>
        </w:rPr>
        <w:t>年部门决算。</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3.项目管理规范有效。</w:t>
      </w:r>
    </w:p>
    <w:p>
      <w:pPr>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sz w:val="32"/>
          <w:szCs w:val="32"/>
        </w:rPr>
        <w:t>我中心项目管理严格按照《建设项目管理制度》，项目实施流程规范，招投标建设、验收等关键环节均严格把关，项目监管机制得到落实。出现</w:t>
      </w:r>
      <w:r>
        <w:rPr>
          <w:rFonts w:hint="eastAsia" w:ascii="仿宋" w:hAnsi="仿宋" w:eastAsia="仿宋" w:cs="仿宋"/>
          <w:color w:val="000000"/>
          <w:sz w:val="32"/>
          <w:szCs w:val="32"/>
        </w:rPr>
        <w:t>项目调整时，</w:t>
      </w:r>
      <w:r>
        <w:rPr>
          <w:rFonts w:hint="eastAsia" w:ascii="仿宋" w:hAnsi="仿宋" w:eastAsia="仿宋" w:cs="仿宋"/>
          <w:sz w:val="32"/>
          <w:szCs w:val="32"/>
        </w:rPr>
        <w:t>我中心</w:t>
      </w:r>
      <w:r>
        <w:rPr>
          <w:rFonts w:hint="eastAsia" w:ascii="仿宋" w:hAnsi="仿宋" w:eastAsia="仿宋" w:cs="仿宋"/>
          <w:color w:val="000000"/>
          <w:sz w:val="32"/>
          <w:szCs w:val="32"/>
        </w:rPr>
        <w:t>也均按有关规定履行报批手续。</w:t>
      </w:r>
    </w:p>
    <w:p>
      <w:pPr>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4.资产管理安全高效。</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我中心资产保存完整，使用合规，配置合理，处置规范，总体使用效率较高。截至201</w:t>
      </w:r>
      <w:r>
        <w:rPr>
          <w:rFonts w:ascii="仿宋" w:hAnsi="仿宋" w:eastAsia="仿宋" w:cs="仿宋"/>
          <w:sz w:val="32"/>
          <w:szCs w:val="32"/>
        </w:rPr>
        <w:t>9</w:t>
      </w:r>
      <w:r>
        <w:rPr>
          <w:rFonts w:hint="eastAsia" w:ascii="仿宋" w:hAnsi="仿宋" w:eastAsia="仿宋" w:cs="仿宋"/>
          <w:sz w:val="32"/>
          <w:szCs w:val="32"/>
        </w:rPr>
        <w:t>年12月31日，我中心国有资产总额为</w:t>
      </w:r>
      <w:r>
        <w:rPr>
          <w:rFonts w:ascii="仿宋" w:hAnsi="仿宋" w:eastAsia="仿宋" w:cs="仿宋"/>
          <w:sz w:val="32"/>
          <w:szCs w:val="32"/>
        </w:rPr>
        <w:t>161.87</w:t>
      </w:r>
      <w:r>
        <w:rPr>
          <w:rFonts w:hint="eastAsia" w:ascii="仿宋" w:hAnsi="仿宋" w:eastAsia="仿宋" w:cs="仿宋"/>
          <w:sz w:val="32"/>
          <w:szCs w:val="32"/>
        </w:rPr>
        <w:t>万元，其中：流动资产41.</w:t>
      </w:r>
      <w:r>
        <w:rPr>
          <w:rFonts w:ascii="仿宋" w:hAnsi="仿宋" w:eastAsia="仿宋" w:cs="仿宋"/>
          <w:sz w:val="32"/>
          <w:szCs w:val="32"/>
        </w:rPr>
        <w:t>82</w:t>
      </w:r>
      <w:r>
        <w:rPr>
          <w:rFonts w:hint="eastAsia" w:ascii="仿宋" w:hAnsi="仿宋" w:eastAsia="仿宋" w:cs="仿宋"/>
          <w:sz w:val="32"/>
          <w:szCs w:val="32"/>
        </w:rPr>
        <w:t>万元，固定资产</w:t>
      </w:r>
      <w:r>
        <w:rPr>
          <w:rFonts w:ascii="仿宋" w:hAnsi="仿宋" w:eastAsia="仿宋" w:cs="仿宋"/>
          <w:sz w:val="32"/>
          <w:szCs w:val="32"/>
        </w:rPr>
        <w:t>50.08</w:t>
      </w:r>
      <w:r>
        <w:rPr>
          <w:rFonts w:hint="eastAsia" w:ascii="仿宋" w:hAnsi="仿宋" w:eastAsia="仿宋" w:cs="仿宋"/>
          <w:sz w:val="32"/>
          <w:szCs w:val="32"/>
        </w:rPr>
        <w:t>万元，无形资产0</w:t>
      </w:r>
      <w:r>
        <w:rPr>
          <w:rFonts w:ascii="仿宋" w:hAnsi="仿宋" w:eastAsia="仿宋" w:cs="仿宋"/>
          <w:sz w:val="32"/>
          <w:szCs w:val="32"/>
        </w:rPr>
        <w:t>.00</w:t>
      </w:r>
      <w:r>
        <w:rPr>
          <w:rFonts w:hint="eastAsia" w:ascii="仿宋" w:hAnsi="仿宋" w:eastAsia="仿宋" w:cs="仿宋"/>
          <w:sz w:val="32"/>
          <w:szCs w:val="32"/>
        </w:rPr>
        <w:t>万元；负债总额</w:t>
      </w:r>
      <w:r>
        <w:rPr>
          <w:rFonts w:ascii="仿宋" w:hAnsi="仿宋" w:eastAsia="仿宋" w:cs="仿宋"/>
          <w:sz w:val="32"/>
          <w:szCs w:val="32"/>
        </w:rPr>
        <w:t>8.72</w:t>
      </w:r>
      <w:r>
        <w:rPr>
          <w:rFonts w:hint="eastAsia" w:ascii="仿宋" w:hAnsi="仿宋" w:eastAsia="仿宋" w:cs="仿宋"/>
          <w:sz w:val="32"/>
          <w:szCs w:val="32"/>
        </w:rPr>
        <w:t>万元，均为流动负债；净资产</w:t>
      </w:r>
      <w:r>
        <w:rPr>
          <w:rFonts w:ascii="仿宋" w:hAnsi="仿宋" w:eastAsia="仿宋" w:cs="仿宋"/>
          <w:sz w:val="32"/>
          <w:szCs w:val="32"/>
        </w:rPr>
        <w:t>153.15</w:t>
      </w:r>
      <w:r>
        <w:rPr>
          <w:rFonts w:hint="eastAsia" w:ascii="仿宋" w:hAnsi="仿宋" w:eastAsia="仿宋" w:cs="仿宋"/>
          <w:sz w:val="32"/>
          <w:szCs w:val="32"/>
        </w:rPr>
        <w:t>万元；固定资产总体使用率达到100%。</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固定资产保有及使用情况如下：</w:t>
      </w:r>
    </w:p>
    <w:p>
      <w:pPr>
        <w:spacing w:line="560" w:lineRule="exact"/>
        <w:ind w:firstLine="480" w:firstLineChars="200"/>
        <w:jc w:val="center"/>
        <w:rPr>
          <w:rFonts w:ascii="黑体" w:hAnsi="黑体" w:eastAsia="黑体" w:cs="黑体"/>
          <w:color w:val="000000"/>
          <w:sz w:val="24"/>
        </w:rPr>
      </w:pPr>
      <w:r>
        <w:rPr>
          <w:rFonts w:hint="eastAsia" w:ascii="黑体" w:hAnsi="黑体" w:eastAsia="黑体" w:cs="黑体"/>
          <w:sz w:val="24"/>
        </w:rPr>
        <w:t>表 5 201</w:t>
      </w:r>
      <w:r>
        <w:rPr>
          <w:rFonts w:ascii="黑体" w:hAnsi="黑体" w:eastAsia="黑体" w:cs="黑体"/>
          <w:sz w:val="24"/>
        </w:rPr>
        <w:t>9</w:t>
      </w:r>
      <w:r>
        <w:rPr>
          <w:rFonts w:hint="eastAsia" w:ascii="黑体" w:hAnsi="黑体" w:eastAsia="黑体" w:cs="黑体"/>
          <w:sz w:val="24"/>
        </w:rPr>
        <w:t>年度固定资产保有及使用情况表</w:t>
      </w:r>
    </w:p>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3538"/>
        <w:gridCol w:w="1147"/>
        <w:gridCol w:w="1147"/>
        <w:gridCol w:w="1230"/>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122" w:type="pct"/>
            <w:vAlign w:val="center"/>
          </w:tcPr>
          <w:p>
            <w:pPr>
              <w:spacing w:line="400" w:lineRule="exact"/>
              <w:ind w:firstLine="723" w:firstLineChars="300"/>
              <w:jc w:val="center"/>
              <w:rPr>
                <w:rFonts w:ascii="仿宋" w:hAnsi="仿宋" w:eastAsia="仿宋" w:cs="仿宋"/>
                <w:b/>
                <w:bCs/>
                <w:color w:val="000000"/>
                <w:sz w:val="24"/>
              </w:rPr>
            </w:pPr>
            <w:r>
              <w:rPr>
                <w:rFonts w:hint="eastAsia" w:ascii="仿宋" w:hAnsi="仿宋" w:eastAsia="仿宋" w:cs="仿宋"/>
                <w:b/>
                <w:bCs/>
                <w:color w:val="000000"/>
                <w:sz w:val="24"/>
              </w:rPr>
              <w:t>固定资产类别</w:t>
            </w:r>
          </w:p>
        </w:tc>
        <w:tc>
          <w:tcPr>
            <w:tcW w:w="688" w:type="pct"/>
          </w:tcPr>
          <w:p>
            <w:pPr>
              <w:spacing w:line="400" w:lineRule="exact"/>
              <w:jc w:val="center"/>
              <w:rPr>
                <w:rFonts w:ascii="仿宋" w:hAnsi="仿宋" w:eastAsia="仿宋" w:cs="仿宋"/>
                <w:b/>
                <w:bCs/>
                <w:color w:val="000000"/>
                <w:sz w:val="24"/>
              </w:rPr>
            </w:pPr>
            <w:r>
              <w:rPr>
                <w:rFonts w:hint="eastAsia" w:ascii="仿宋" w:hAnsi="仿宋" w:eastAsia="仿宋" w:cs="仿宋"/>
                <w:b/>
                <w:bCs/>
                <w:color w:val="000000"/>
                <w:sz w:val="24"/>
              </w:rPr>
              <w:t>原值（万元）</w:t>
            </w:r>
          </w:p>
        </w:tc>
        <w:tc>
          <w:tcPr>
            <w:tcW w:w="688" w:type="pct"/>
            <w:vAlign w:val="center"/>
          </w:tcPr>
          <w:p>
            <w:pPr>
              <w:spacing w:line="400" w:lineRule="exact"/>
              <w:jc w:val="center"/>
              <w:rPr>
                <w:rFonts w:ascii="仿宋" w:hAnsi="仿宋" w:eastAsia="仿宋" w:cs="仿宋"/>
                <w:b/>
                <w:bCs/>
                <w:color w:val="000000"/>
                <w:sz w:val="24"/>
              </w:rPr>
            </w:pPr>
            <w:r>
              <w:rPr>
                <w:rFonts w:hint="eastAsia" w:ascii="仿宋" w:hAnsi="仿宋" w:eastAsia="仿宋" w:cs="仿宋"/>
                <w:b/>
                <w:bCs/>
                <w:color w:val="000000"/>
                <w:sz w:val="24"/>
              </w:rPr>
              <w:t>其中：在用（万元）</w:t>
            </w:r>
          </w:p>
        </w:tc>
        <w:tc>
          <w:tcPr>
            <w:tcW w:w="738" w:type="pct"/>
            <w:vAlign w:val="center"/>
          </w:tcPr>
          <w:p>
            <w:pPr>
              <w:spacing w:line="400" w:lineRule="exact"/>
              <w:jc w:val="center"/>
              <w:rPr>
                <w:rFonts w:ascii="仿宋" w:hAnsi="仿宋" w:eastAsia="仿宋" w:cs="仿宋"/>
                <w:b/>
                <w:bCs/>
                <w:color w:val="000000"/>
                <w:sz w:val="24"/>
              </w:rPr>
            </w:pPr>
            <w:r>
              <w:rPr>
                <w:rFonts w:hint="eastAsia" w:ascii="仿宋" w:hAnsi="仿宋" w:eastAsia="仿宋" w:cs="仿宋"/>
                <w:b/>
                <w:bCs/>
                <w:color w:val="000000"/>
                <w:sz w:val="24"/>
              </w:rPr>
              <w:t>净值（万元）</w:t>
            </w:r>
          </w:p>
        </w:tc>
        <w:tc>
          <w:tcPr>
            <w:tcW w:w="764" w:type="pct"/>
            <w:vAlign w:val="center"/>
          </w:tcPr>
          <w:p>
            <w:pPr>
              <w:spacing w:line="400" w:lineRule="exact"/>
              <w:jc w:val="center"/>
              <w:rPr>
                <w:rFonts w:ascii="仿宋" w:hAnsi="仿宋" w:eastAsia="仿宋" w:cs="仿宋"/>
                <w:b/>
                <w:bCs/>
                <w:color w:val="000000"/>
                <w:sz w:val="24"/>
              </w:rPr>
            </w:pPr>
            <w:r>
              <w:rPr>
                <w:rFonts w:hint="eastAsia" w:ascii="仿宋" w:hAnsi="仿宋" w:eastAsia="仿宋" w:cs="仿宋"/>
                <w:b/>
                <w:bCs/>
                <w:color w:val="000000"/>
                <w:sz w:val="24"/>
              </w:rPr>
              <w:t>利用率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122" w:type="pct"/>
            <w:vAlign w:val="center"/>
          </w:tcPr>
          <w:p>
            <w:pPr>
              <w:spacing w:line="400" w:lineRule="exact"/>
              <w:jc w:val="left"/>
              <w:rPr>
                <w:rFonts w:ascii="仿宋" w:hAnsi="仿宋" w:eastAsia="仿宋" w:cs="仿宋"/>
                <w:color w:val="000000"/>
                <w:sz w:val="24"/>
              </w:rPr>
            </w:pPr>
            <w:r>
              <w:rPr>
                <w:rFonts w:hint="eastAsia" w:ascii="仿宋" w:hAnsi="仿宋" w:eastAsia="仿宋" w:cs="仿宋"/>
                <w:color w:val="000000"/>
                <w:sz w:val="24"/>
              </w:rPr>
              <w:t>合计</w:t>
            </w:r>
          </w:p>
        </w:tc>
        <w:tc>
          <w:tcPr>
            <w:tcW w:w="68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1,390.15</w:t>
            </w:r>
          </w:p>
        </w:tc>
        <w:tc>
          <w:tcPr>
            <w:tcW w:w="68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1,390.15</w:t>
            </w:r>
          </w:p>
        </w:tc>
        <w:tc>
          <w:tcPr>
            <w:tcW w:w="73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50.08</w:t>
            </w:r>
          </w:p>
        </w:tc>
        <w:tc>
          <w:tcPr>
            <w:tcW w:w="764"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122" w:type="pct"/>
            <w:vAlign w:val="center"/>
          </w:tcPr>
          <w:p>
            <w:pPr>
              <w:spacing w:line="400" w:lineRule="exact"/>
              <w:jc w:val="left"/>
              <w:rPr>
                <w:rFonts w:ascii="仿宋" w:hAnsi="仿宋" w:eastAsia="仿宋" w:cs="仿宋"/>
                <w:color w:val="000000"/>
                <w:sz w:val="24"/>
              </w:rPr>
            </w:pPr>
            <w:r>
              <w:rPr>
                <w:rFonts w:hint="eastAsia" w:ascii="仿宋" w:hAnsi="仿宋" w:eastAsia="仿宋" w:cs="仿宋"/>
                <w:color w:val="000000"/>
                <w:sz w:val="24"/>
              </w:rPr>
              <w:t>一、土地、房屋及构筑物</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w:t>
            </w:r>
            <w:r>
              <w:rPr>
                <w:rFonts w:ascii="仿宋" w:hAnsi="仿宋" w:eastAsia="仿宋" w:cs="仿宋"/>
                <w:color w:val="000000"/>
                <w:sz w:val="24"/>
              </w:rPr>
              <w:t>,221.91</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w:t>
            </w:r>
            <w:r>
              <w:rPr>
                <w:rFonts w:ascii="仿宋" w:hAnsi="仿宋" w:eastAsia="仿宋" w:cs="仿宋"/>
                <w:color w:val="000000"/>
                <w:sz w:val="24"/>
              </w:rPr>
              <w:t>221.91</w:t>
            </w:r>
          </w:p>
        </w:tc>
        <w:tc>
          <w:tcPr>
            <w:tcW w:w="73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0.00</w:t>
            </w:r>
          </w:p>
        </w:tc>
        <w:tc>
          <w:tcPr>
            <w:tcW w:w="764"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122" w:type="pct"/>
            <w:vAlign w:val="center"/>
          </w:tcPr>
          <w:p>
            <w:pPr>
              <w:spacing w:line="40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其中：房屋(平方米)</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0</w:t>
            </w:r>
            <w:r>
              <w:rPr>
                <w:rFonts w:ascii="仿宋" w:hAnsi="仿宋" w:eastAsia="仿宋" w:cs="仿宋"/>
                <w:color w:val="000000"/>
                <w:sz w:val="24"/>
              </w:rPr>
              <w:t>.00</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0</w:t>
            </w:r>
            <w:r>
              <w:rPr>
                <w:rFonts w:ascii="仿宋" w:hAnsi="仿宋" w:eastAsia="仿宋" w:cs="仿宋"/>
                <w:color w:val="000000"/>
                <w:sz w:val="24"/>
              </w:rPr>
              <w:t>.00</w:t>
            </w:r>
          </w:p>
        </w:tc>
        <w:tc>
          <w:tcPr>
            <w:tcW w:w="73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0.00</w:t>
            </w:r>
          </w:p>
        </w:tc>
        <w:tc>
          <w:tcPr>
            <w:tcW w:w="764"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122" w:type="pct"/>
            <w:vAlign w:val="center"/>
          </w:tcPr>
          <w:p>
            <w:pPr>
              <w:spacing w:line="400" w:lineRule="exact"/>
              <w:jc w:val="left"/>
              <w:rPr>
                <w:rFonts w:ascii="仿宋" w:hAnsi="仿宋" w:eastAsia="仿宋" w:cs="仿宋"/>
                <w:color w:val="000000"/>
                <w:sz w:val="24"/>
              </w:rPr>
            </w:pPr>
            <w:r>
              <w:rPr>
                <w:rFonts w:hint="eastAsia" w:ascii="仿宋" w:hAnsi="仿宋" w:eastAsia="仿宋" w:cs="仿宋"/>
                <w:color w:val="000000"/>
                <w:sz w:val="24"/>
              </w:rPr>
              <w:t>二、通用设备(个、台、辆等)</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w:t>
            </w:r>
            <w:r>
              <w:rPr>
                <w:rFonts w:ascii="仿宋" w:hAnsi="仿宋" w:eastAsia="仿宋" w:cs="仿宋"/>
                <w:color w:val="000000"/>
                <w:sz w:val="24"/>
              </w:rPr>
              <w:t>32.45</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w:t>
            </w:r>
            <w:r>
              <w:rPr>
                <w:rFonts w:ascii="仿宋" w:hAnsi="仿宋" w:eastAsia="仿宋" w:cs="仿宋"/>
                <w:color w:val="000000"/>
                <w:sz w:val="24"/>
              </w:rPr>
              <w:t>32.45</w:t>
            </w:r>
          </w:p>
        </w:tc>
        <w:tc>
          <w:tcPr>
            <w:tcW w:w="73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26.21</w:t>
            </w:r>
          </w:p>
        </w:tc>
        <w:tc>
          <w:tcPr>
            <w:tcW w:w="764"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122" w:type="pct"/>
            <w:vAlign w:val="center"/>
          </w:tcPr>
          <w:p>
            <w:pPr>
              <w:spacing w:line="40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其中：汽车(辆)</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4</w:t>
            </w:r>
            <w:r>
              <w:rPr>
                <w:rFonts w:ascii="仿宋" w:hAnsi="仿宋" w:eastAsia="仿宋" w:cs="仿宋"/>
                <w:color w:val="000000"/>
                <w:sz w:val="24"/>
              </w:rPr>
              <w:t>8.66</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4</w:t>
            </w:r>
            <w:r>
              <w:rPr>
                <w:rFonts w:ascii="仿宋" w:hAnsi="仿宋" w:eastAsia="仿宋" w:cs="仿宋"/>
                <w:color w:val="000000"/>
                <w:sz w:val="24"/>
              </w:rPr>
              <w:t>8.66</w:t>
            </w:r>
          </w:p>
        </w:tc>
        <w:tc>
          <w:tcPr>
            <w:tcW w:w="73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0.00</w:t>
            </w:r>
          </w:p>
        </w:tc>
        <w:tc>
          <w:tcPr>
            <w:tcW w:w="764"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122" w:type="pct"/>
            <w:vAlign w:val="center"/>
          </w:tcPr>
          <w:p>
            <w:pPr>
              <w:spacing w:line="400" w:lineRule="exact"/>
              <w:jc w:val="left"/>
              <w:rPr>
                <w:rFonts w:ascii="仿宋" w:hAnsi="仿宋" w:eastAsia="仿宋" w:cs="仿宋"/>
                <w:color w:val="000000"/>
                <w:sz w:val="24"/>
              </w:rPr>
            </w:pPr>
            <w:r>
              <w:rPr>
                <w:rFonts w:hint="eastAsia" w:ascii="仿宋" w:hAnsi="仿宋" w:eastAsia="仿宋" w:cs="仿宋"/>
                <w:color w:val="000000"/>
                <w:sz w:val="24"/>
              </w:rPr>
              <w:t>三、专用设备(个、台等)</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w:t>
            </w:r>
            <w:r>
              <w:rPr>
                <w:rFonts w:ascii="仿宋" w:hAnsi="仿宋" w:eastAsia="仿宋" w:cs="仿宋"/>
                <w:color w:val="000000"/>
                <w:sz w:val="24"/>
              </w:rPr>
              <w:t>.02</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w:t>
            </w:r>
            <w:r>
              <w:rPr>
                <w:rFonts w:ascii="仿宋" w:hAnsi="仿宋" w:eastAsia="仿宋" w:cs="仿宋"/>
                <w:color w:val="000000"/>
                <w:sz w:val="24"/>
              </w:rPr>
              <w:t>.02</w:t>
            </w:r>
          </w:p>
        </w:tc>
        <w:tc>
          <w:tcPr>
            <w:tcW w:w="73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0.04</w:t>
            </w:r>
          </w:p>
        </w:tc>
        <w:tc>
          <w:tcPr>
            <w:tcW w:w="764"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122" w:type="pct"/>
            <w:vAlign w:val="center"/>
          </w:tcPr>
          <w:p>
            <w:pPr>
              <w:spacing w:line="400" w:lineRule="exact"/>
              <w:jc w:val="left"/>
              <w:rPr>
                <w:rFonts w:ascii="仿宋" w:hAnsi="仿宋" w:eastAsia="仿宋" w:cs="仿宋"/>
                <w:color w:val="000000"/>
                <w:sz w:val="24"/>
              </w:rPr>
            </w:pPr>
            <w:r>
              <w:rPr>
                <w:rFonts w:hint="eastAsia" w:ascii="仿宋" w:hAnsi="仿宋" w:eastAsia="仿宋" w:cs="仿宋"/>
                <w:color w:val="000000"/>
                <w:sz w:val="24"/>
              </w:rPr>
              <w:t>四、文物和陈列品(个、件等)</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0</w:t>
            </w:r>
            <w:r>
              <w:rPr>
                <w:rFonts w:ascii="仿宋" w:hAnsi="仿宋" w:eastAsia="仿宋" w:cs="仿宋"/>
                <w:color w:val="000000"/>
                <w:sz w:val="24"/>
              </w:rPr>
              <w:t>.00</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0</w:t>
            </w:r>
            <w:r>
              <w:rPr>
                <w:rFonts w:ascii="仿宋" w:hAnsi="仿宋" w:eastAsia="仿宋" w:cs="仿宋"/>
                <w:color w:val="000000"/>
                <w:sz w:val="24"/>
              </w:rPr>
              <w:t>.00</w:t>
            </w:r>
          </w:p>
        </w:tc>
        <w:tc>
          <w:tcPr>
            <w:tcW w:w="73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0.00</w:t>
            </w:r>
          </w:p>
        </w:tc>
        <w:tc>
          <w:tcPr>
            <w:tcW w:w="764"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122" w:type="pct"/>
            <w:vAlign w:val="center"/>
          </w:tcPr>
          <w:p>
            <w:pPr>
              <w:spacing w:line="40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其中：文物</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0</w:t>
            </w:r>
            <w:r>
              <w:rPr>
                <w:rFonts w:ascii="仿宋" w:hAnsi="仿宋" w:eastAsia="仿宋" w:cs="仿宋"/>
                <w:color w:val="000000"/>
                <w:sz w:val="24"/>
              </w:rPr>
              <w:t>.00</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0</w:t>
            </w:r>
            <w:r>
              <w:rPr>
                <w:rFonts w:ascii="仿宋" w:hAnsi="仿宋" w:eastAsia="仿宋" w:cs="仿宋"/>
                <w:color w:val="000000"/>
                <w:sz w:val="24"/>
              </w:rPr>
              <w:t>.00</w:t>
            </w:r>
          </w:p>
        </w:tc>
        <w:tc>
          <w:tcPr>
            <w:tcW w:w="73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0.00</w:t>
            </w:r>
          </w:p>
        </w:tc>
        <w:tc>
          <w:tcPr>
            <w:tcW w:w="764"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122" w:type="pct"/>
            <w:vAlign w:val="center"/>
          </w:tcPr>
          <w:p>
            <w:pPr>
              <w:spacing w:line="400" w:lineRule="exact"/>
              <w:jc w:val="left"/>
              <w:rPr>
                <w:rFonts w:ascii="仿宋" w:hAnsi="仿宋" w:eastAsia="仿宋" w:cs="仿宋"/>
                <w:color w:val="000000"/>
                <w:sz w:val="24"/>
              </w:rPr>
            </w:pPr>
            <w:r>
              <w:rPr>
                <w:rFonts w:hint="eastAsia" w:ascii="仿宋" w:hAnsi="仿宋" w:eastAsia="仿宋" w:cs="仿宋"/>
                <w:color w:val="000000"/>
                <w:sz w:val="24"/>
              </w:rPr>
              <w:t>五、图书档案(本、套等)</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0</w:t>
            </w:r>
            <w:r>
              <w:rPr>
                <w:rFonts w:ascii="仿宋" w:hAnsi="仿宋" w:eastAsia="仿宋" w:cs="仿宋"/>
                <w:color w:val="000000"/>
                <w:sz w:val="24"/>
              </w:rPr>
              <w:t>.00</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0</w:t>
            </w:r>
            <w:r>
              <w:rPr>
                <w:rFonts w:ascii="仿宋" w:hAnsi="仿宋" w:eastAsia="仿宋" w:cs="仿宋"/>
                <w:color w:val="000000"/>
                <w:sz w:val="24"/>
              </w:rPr>
              <w:t>.00</w:t>
            </w:r>
          </w:p>
        </w:tc>
        <w:tc>
          <w:tcPr>
            <w:tcW w:w="73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0.00</w:t>
            </w:r>
          </w:p>
        </w:tc>
        <w:tc>
          <w:tcPr>
            <w:tcW w:w="764"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122" w:type="pct"/>
            <w:vAlign w:val="center"/>
          </w:tcPr>
          <w:p>
            <w:pPr>
              <w:spacing w:line="400" w:lineRule="exact"/>
              <w:jc w:val="left"/>
              <w:rPr>
                <w:rFonts w:ascii="仿宋" w:hAnsi="仿宋" w:eastAsia="仿宋" w:cs="仿宋"/>
                <w:color w:val="000000"/>
                <w:sz w:val="24"/>
              </w:rPr>
            </w:pPr>
            <w:r>
              <w:rPr>
                <w:rFonts w:hint="eastAsia" w:ascii="仿宋" w:hAnsi="仿宋" w:eastAsia="仿宋" w:cs="仿宋"/>
                <w:color w:val="000000"/>
                <w:sz w:val="24"/>
              </w:rPr>
              <w:t>六、家具、用具、装具及动植物(个、套等)</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3</w:t>
            </w:r>
            <w:r>
              <w:rPr>
                <w:rFonts w:ascii="仿宋" w:hAnsi="仿宋" w:eastAsia="仿宋" w:cs="仿宋"/>
                <w:color w:val="000000"/>
                <w:sz w:val="24"/>
              </w:rPr>
              <w:t>4.76</w:t>
            </w:r>
          </w:p>
        </w:tc>
        <w:tc>
          <w:tcPr>
            <w:tcW w:w="688"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3</w:t>
            </w:r>
            <w:r>
              <w:rPr>
                <w:rFonts w:ascii="仿宋" w:hAnsi="仿宋" w:eastAsia="仿宋" w:cs="仿宋"/>
                <w:color w:val="000000"/>
                <w:sz w:val="24"/>
              </w:rPr>
              <w:t>4.76</w:t>
            </w:r>
          </w:p>
        </w:tc>
        <w:tc>
          <w:tcPr>
            <w:tcW w:w="73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23.83</w:t>
            </w:r>
          </w:p>
        </w:tc>
        <w:tc>
          <w:tcPr>
            <w:tcW w:w="764"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122" w:type="pct"/>
            <w:vAlign w:val="center"/>
          </w:tcPr>
          <w:p>
            <w:pPr>
              <w:spacing w:line="400" w:lineRule="exact"/>
              <w:ind w:firstLine="360" w:firstLineChars="150"/>
              <w:jc w:val="left"/>
              <w:rPr>
                <w:rFonts w:ascii="仿宋" w:hAnsi="仿宋" w:eastAsia="仿宋" w:cs="仿宋"/>
                <w:color w:val="000000"/>
                <w:sz w:val="24"/>
              </w:rPr>
            </w:pPr>
            <w:r>
              <w:rPr>
                <w:rFonts w:hint="eastAsia" w:ascii="仿宋" w:hAnsi="仿宋" w:eastAsia="仿宋" w:cs="仿宋"/>
                <w:color w:val="000000"/>
                <w:sz w:val="24"/>
              </w:rPr>
              <w:t>其中：家具用具</w:t>
            </w:r>
          </w:p>
        </w:tc>
        <w:tc>
          <w:tcPr>
            <w:tcW w:w="68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34.76</w:t>
            </w:r>
          </w:p>
        </w:tc>
        <w:tc>
          <w:tcPr>
            <w:tcW w:w="68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34.76</w:t>
            </w:r>
          </w:p>
        </w:tc>
        <w:tc>
          <w:tcPr>
            <w:tcW w:w="738" w:type="pct"/>
            <w:vAlign w:val="bottom"/>
          </w:tcPr>
          <w:p>
            <w:pPr>
              <w:spacing w:line="400" w:lineRule="exact"/>
              <w:jc w:val="right"/>
              <w:rPr>
                <w:rFonts w:ascii="仿宋" w:hAnsi="仿宋" w:eastAsia="仿宋" w:cs="仿宋"/>
                <w:color w:val="000000"/>
                <w:sz w:val="24"/>
              </w:rPr>
            </w:pPr>
            <w:r>
              <w:rPr>
                <w:rFonts w:ascii="仿宋" w:hAnsi="仿宋" w:eastAsia="仿宋" w:cs="仿宋"/>
                <w:color w:val="000000"/>
                <w:sz w:val="24"/>
              </w:rPr>
              <w:t>23.83</w:t>
            </w:r>
          </w:p>
        </w:tc>
        <w:tc>
          <w:tcPr>
            <w:tcW w:w="764" w:type="pct"/>
            <w:vAlign w:val="bottom"/>
          </w:tcPr>
          <w:p>
            <w:pPr>
              <w:spacing w:line="400" w:lineRule="exact"/>
              <w:jc w:val="right"/>
              <w:rPr>
                <w:rFonts w:ascii="仿宋" w:hAnsi="仿宋" w:eastAsia="仿宋" w:cs="仿宋"/>
                <w:color w:val="000000"/>
                <w:sz w:val="24"/>
              </w:rPr>
            </w:pPr>
            <w:r>
              <w:rPr>
                <w:rFonts w:hint="eastAsia" w:ascii="仿宋" w:hAnsi="仿宋" w:eastAsia="仿宋" w:cs="仿宋"/>
                <w:color w:val="000000"/>
                <w:sz w:val="24"/>
              </w:rPr>
              <w:t>100%</w:t>
            </w:r>
          </w:p>
        </w:tc>
      </w:tr>
    </w:tbl>
    <w:p>
      <w:pPr>
        <w:spacing w:line="56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5.人员规模有效控制。</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color w:val="000000"/>
          <w:sz w:val="32"/>
          <w:szCs w:val="32"/>
        </w:rPr>
        <w:t>截止201</w:t>
      </w:r>
      <w:r>
        <w:rPr>
          <w:rFonts w:ascii="仿宋" w:hAnsi="仿宋" w:eastAsia="仿宋" w:cs="仿宋"/>
          <w:color w:val="000000"/>
          <w:sz w:val="32"/>
          <w:szCs w:val="32"/>
        </w:rPr>
        <w:t>9</w:t>
      </w:r>
      <w:r>
        <w:rPr>
          <w:rFonts w:hint="eastAsia" w:ascii="仿宋" w:hAnsi="仿宋" w:eastAsia="仿宋" w:cs="仿宋"/>
          <w:color w:val="000000"/>
          <w:sz w:val="32"/>
          <w:szCs w:val="32"/>
        </w:rPr>
        <w:t>年</w:t>
      </w:r>
      <w:r>
        <w:rPr>
          <w:rFonts w:hint="eastAsia" w:ascii="仿宋" w:hAnsi="仿宋" w:eastAsia="仿宋" w:cs="仿宋"/>
          <w:sz w:val="32"/>
          <w:szCs w:val="32"/>
        </w:rPr>
        <w:t>12月31日,我中心编制人数</w:t>
      </w:r>
      <w:r>
        <w:rPr>
          <w:rFonts w:ascii="仿宋" w:hAnsi="仿宋" w:eastAsia="仿宋" w:cs="仿宋"/>
          <w:sz w:val="32"/>
          <w:szCs w:val="32"/>
        </w:rPr>
        <w:t>18</w:t>
      </w:r>
      <w:r>
        <w:rPr>
          <w:rFonts w:hint="eastAsia" w:ascii="仿宋" w:hAnsi="仿宋" w:eastAsia="仿宋" w:cs="仿宋"/>
          <w:sz w:val="32"/>
          <w:szCs w:val="32"/>
        </w:rPr>
        <w:t>人，截至2019年12月31日实有在编职工16人，雇员2人，临聘员工23人，退休员工64人。</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6.管理制度健全。</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sz w:val="32"/>
          <w:szCs w:val="32"/>
        </w:rPr>
        <w:t>我中心</w:t>
      </w:r>
      <w:r>
        <w:rPr>
          <w:rFonts w:hint="eastAsia" w:ascii="仿宋" w:hAnsi="仿宋" w:eastAsia="仿宋" w:cs="仿宋"/>
          <w:color w:val="000000"/>
          <w:sz w:val="32"/>
          <w:szCs w:val="32"/>
        </w:rPr>
        <w:t>建</w:t>
      </w:r>
      <w:r>
        <w:rPr>
          <w:rFonts w:hint="eastAsia" w:ascii="仿宋" w:hAnsi="仿宋" w:eastAsia="仿宋" w:cs="仿宋"/>
          <w:sz w:val="32"/>
          <w:szCs w:val="32"/>
        </w:rPr>
        <w:t>立了《内部控制基本制度》、《预算业务管理制度》、《收支业务管理制度》、《政府采购业务管理制度》、《资产管理制度》、《建设项目管理制度》、《合同管理制度》、《评价与监督管理制度》等一系列管理制度</w:t>
      </w:r>
      <w:r>
        <w:rPr>
          <w:rFonts w:hint="eastAsia" w:ascii="仿宋" w:hAnsi="仿宋" w:eastAsia="仿宋" w:cs="仿宋"/>
          <w:color w:val="000000"/>
          <w:sz w:val="32"/>
          <w:szCs w:val="32"/>
        </w:rPr>
        <w:t>，基本涵盖内部控制预算管理、收支管理、政府采购管理、资产管理、建设项目管理、合同管理六大经济业务活动，部门职能履行与预算执行得以保障。</w:t>
      </w:r>
    </w:p>
    <w:p>
      <w:pPr>
        <w:spacing w:line="580" w:lineRule="exact"/>
        <w:ind w:firstLine="627" w:firstLineChars="196"/>
        <w:rPr>
          <w:rFonts w:ascii="黑体" w:hAnsi="黑体" w:eastAsia="黑体"/>
          <w:sz w:val="32"/>
          <w:szCs w:val="32"/>
        </w:rPr>
      </w:pPr>
      <w:r>
        <w:rPr>
          <w:rFonts w:hint="eastAsia" w:ascii="黑体" w:hAnsi="黑体" w:eastAsia="黑体"/>
          <w:sz w:val="32"/>
          <w:szCs w:val="32"/>
        </w:rPr>
        <w:t>二、部门（单位）主要履职绩效分析</w:t>
      </w:r>
    </w:p>
    <w:p>
      <w:pPr>
        <w:spacing w:line="580" w:lineRule="exact"/>
        <w:ind w:firstLine="640" w:firstLineChars="200"/>
        <w:rPr>
          <w:rFonts w:ascii="仿宋_GB2312" w:eastAsia="仿宋_GB2312"/>
          <w:sz w:val="32"/>
          <w:szCs w:val="32"/>
        </w:rPr>
      </w:pPr>
      <w:r>
        <w:rPr>
          <w:rFonts w:hint="eastAsia" w:ascii="仿宋_GB2312" w:eastAsia="仿宋_GB2312"/>
          <w:color w:val="000000"/>
          <w:kern w:val="0"/>
          <w:sz w:val="32"/>
          <w:szCs w:val="32"/>
        </w:rPr>
        <w:t>本中心按照“部门职责—工作任务—预算项目”三个层级规范部门预算绩效管理结构，</w:t>
      </w:r>
      <w:r>
        <w:rPr>
          <w:rFonts w:hint="eastAsia" w:ascii="仿宋_GB2312" w:eastAsia="仿宋_GB2312"/>
          <w:sz w:val="32"/>
          <w:szCs w:val="32"/>
        </w:rPr>
        <w:t>结合中心主要职责和2019年重点工作任务，对预算使用绩效进行分析。</w:t>
      </w:r>
    </w:p>
    <w:p>
      <w:pPr>
        <w:spacing w:line="580" w:lineRule="exact"/>
        <w:ind w:firstLine="643" w:firstLineChars="200"/>
        <w:rPr>
          <w:rFonts w:ascii="楷体_GB2312" w:hAnsi="楷体" w:eastAsia="楷体_GB2312"/>
          <w:b/>
          <w:sz w:val="32"/>
          <w:szCs w:val="32"/>
        </w:rPr>
      </w:pPr>
      <w:r>
        <w:rPr>
          <w:rFonts w:hint="eastAsia" w:ascii="楷体_GB2312" w:hAnsi="楷体" w:eastAsia="楷体_GB2312"/>
          <w:b/>
          <w:sz w:val="32"/>
          <w:szCs w:val="32"/>
        </w:rPr>
        <w:t>（一）主要履职目标</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019</w:t>
      </w:r>
      <w:r>
        <w:rPr>
          <w:rFonts w:hint="eastAsia" w:ascii="仿宋_GB2312" w:eastAsia="仿宋_GB2312"/>
          <w:sz w:val="32"/>
          <w:szCs w:val="32"/>
        </w:rPr>
        <w:t>年中心以打造“全市最干净城区”和“世界级山海花城”为目标，以“美丽深圳绿化提升行动”与市容环境综合考核为抓手，不断提升城区美化、绿化品质，全力推进城市管理建设各项工作的落实。</w:t>
      </w:r>
    </w:p>
    <w:p>
      <w:pPr>
        <w:spacing w:line="580" w:lineRule="exact"/>
        <w:ind w:firstLine="643" w:firstLineChars="200"/>
        <w:rPr>
          <w:rFonts w:ascii="楷体_GB2312" w:hAnsi="楷体" w:eastAsia="楷体_GB2312"/>
          <w:b/>
          <w:sz w:val="32"/>
          <w:szCs w:val="32"/>
        </w:rPr>
      </w:pPr>
      <w:r>
        <w:rPr>
          <w:rFonts w:hint="eastAsia" w:ascii="楷体_GB2312" w:hAnsi="楷体" w:eastAsia="楷体_GB2312"/>
          <w:b/>
          <w:sz w:val="32"/>
          <w:szCs w:val="32"/>
        </w:rPr>
        <w:t>（二）主要履职情况</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1.完善监督机制，城区绿化品质进一步提升。</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根据全市2019年绿化精细化考核方案，结合辖区绿化实际情况，我中心紧扣高品质与精细化的管理要求，进一步完善监管机制。一是严格落实管养考核的制度化、常态化、具体化，高标准要求公园、道路绿化、路灯管养质量，提高精细化管理。二是认真落实养护职责，狠抓管养工作。全面加强市政绿化（公园）日常监管力度，督促各绿化养护管理公司科学养护，认真加强乔、灌木造型修剪，按季节防止病虫害，全面整治黄土裸露区域，扎实整改辖区各绿化短板问题。全年共治理人为踩踏黄土裸露约14880平方米，组织人员修剪遮挡交通指示牌、路灯设施、影响居民生活的行道树约4240棵。</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2.落实责任，项目建设进一步加快。</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完成与上级相关部门项目交接工作和新项目承接工作，日常严格执行施工程序，攻坚克难，严把质量关，努力打造“精品工程”。按照“生态化、精品化”思路，持续提升主要道路绿化景观，打造道路绿化精品和亮点，同时不断加大公园建设和改造力度，通过新建花园社区、花漾街区等项目，不断完善辖区公园布局，逐步实现世界级“山海花城”的目标。本年度启动的15个项目中8个项目已完工，恩上水库绿道工程和恩上公园入口瀑布景观营造等工程顺利完成并获得了广大群众的一致好评。</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3.严格规范，安全生产管理进一步加强。</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1）加强安全隐患排查。坚持以突出重点，强化实效，有效地开展安全生产工作，每月组织不少于2次安全生产检查，并定时组织管养单位深入开展安全检查专项行动。通过突出重点，对中心管辖范围内的市政绿化（公园）设施，在建工程项目等进行安全隐患排查，将安全隐患消除在萌芽状态，切实提升安全生产管理水平。</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2）进行安全生产教育。一方面，加强对各管养单位工作人员的安全生产教育，提高工作人员的安全意识，另一方面，中心与各管养单位签订安全责任书，将安全生产管理清单落实到位，严格按规范开展各项工作。</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4.真心诚意，社情民意卓有成效。</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指定专人负责社情民意相关工作，及时回复处理，跟踪到位。认真对待民众对市政绿化（公园）管理、建设项目的建议和意见，并积极处理群众投诉的问题。据统计，全年数字化城管综合业务系统处理案件506起，12345渠道处理案件11宗，社情民意系统处理案件210宗,日常舆情、网络论坛、电话、期刊等其他渠道处理12宗，所有案件均在时效期内妥善处理，有效地沟通了辖区民意，解决群众生活中遇到的实际困难，使中心管理工作真正做到立足本职、服务于民。</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5.从严治党，廉政建设进一步加强。</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以习近平新时代中国特色社会主义思想和党的十九大精神为指引，中心切实抓好党支部建设，组织全体党员深入学习贯彻习近平总书记对广东重要讲话和对深圳重要指示精神。以高的标准、严的要求、实的作风落实好全面从严治党各项工作。严格遵守《中国共产党党员领导干部廉洁从政若干准则》和廉洁自律的有关规定，始终坚决执行中央八项规定，从严落实“两个责任”要求。加强纪律教育，定期召开党风廉政建设、纪律教育专题会议，进一步改进全体党员干部的作风，努力营造爱岗敬业、勤政务实、严格管理、纪律严明的工作作风。</w:t>
      </w:r>
    </w:p>
    <w:p>
      <w:pPr>
        <w:spacing w:line="580" w:lineRule="exact"/>
        <w:ind w:firstLine="803" w:firstLineChars="250"/>
        <w:rPr>
          <w:rFonts w:ascii="楷体_GB2312" w:hAnsi="楷体" w:eastAsia="楷体_GB2312"/>
          <w:b/>
          <w:sz w:val="32"/>
          <w:szCs w:val="32"/>
        </w:rPr>
      </w:pPr>
      <w:r>
        <w:rPr>
          <w:rFonts w:hint="eastAsia" w:ascii="楷体_GB2312" w:hAnsi="楷体" w:eastAsia="楷体_GB2312"/>
          <w:b/>
          <w:sz w:val="32"/>
          <w:szCs w:val="32"/>
        </w:rPr>
        <w:t>（三）部门履职绩效情况。</w:t>
      </w:r>
    </w:p>
    <w:p>
      <w:pPr>
        <w:spacing w:line="58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经济性方面，2019年度我中心实际支出的“三公”经费总额为</w:t>
      </w:r>
      <w:r>
        <w:rPr>
          <w:rFonts w:ascii="仿宋_GB2312" w:eastAsia="仿宋_GB2312"/>
          <w:sz w:val="32"/>
          <w:szCs w:val="32"/>
          <w:highlight w:val="none"/>
        </w:rPr>
        <w:t>0.89</w:t>
      </w:r>
      <w:r>
        <w:rPr>
          <w:rFonts w:hint="eastAsia" w:ascii="仿宋_GB2312" w:eastAsia="仿宋_GB2312"/>
          <w:sz w:val="32"/>
          <w:szCs w:val="32"/>
          <w:highlight w:val="none"/>
        </w:rPr>
        <w:t>万元，小于预算安排的“三公”经费总额</w:t>
      </w:r>
      <w:r>
        <w:rPr>
          <w:rFonts w:ascii="仿宋_GB2312" w:eastAsia="仿宋_GB2312"/>
          <w:sz w:val="32"/>
          <w:szCs w:val="32"/>
          <w:highlight w:val="none"/>
        </w:rPr>
        <w:t>3.57</w:t>
      </w:r>
      <w:r>
        <w:rPr>
          <w:rFonts w:hint="eastAsia" w:ascii="仿宋_GB2312" w:eastAsia="仿宋_GB2312"/>
          <w:sz w:val="32"/>
          <w:szCs w:val="32"/>
          <w:highlight w:val="none"/>
        </w:rPr>
        <w:t>万元，无扣分。日常公用经费决算数为</w:t>
      </w:r>
      <w:r>
        <w:rPr>
          <w:rFonts w:ascii="仿宋_GB2312" w:eastAsia="仿宋_GB2312"/>
          <w:sz w:val="32"/>
          <w:szCs w:val="32"/>
          <w:highlight w:val="none"/>
        </w:rPr>
        <w:t>81.56</w:t>
      </w:r>
      <w:r>
        <w:rPr>
          <w:rFonts w:hint="eastAsia" w:ascii="仿宋_GB2312" w:eastAsia="仿宋_GB2312"/>
          <w:sz w:val="32"/>
          <w:szCs w:val="32"/>
          <w:highlight w:val="none"/>
        </w:rPr>
        <w:t>万元，小于日常公用经费调整预算数</w:t>
      </w:r>
      <w:r>
        <w:rPr>
          <w:rFonts w:ascii="仿宋_GB2312" w:eastAsia="仿宋_GB2312"/>
          <w:sz w:val="32"/>
          <w:szCs w:val="32"/>
          <w:highlight w:val="none"/>
        </w:rPr>
        <w:t>86.26</w:t>
      </w:r>
      <w:r>
        <w:rPr>
          <w:rFonts w:hint="eastAsia" w:ascii="仿宋_GB2312" w:eastAsia="仿宋_GB2312"/>
          <w:sz w:val="32"/>
          <w:szCs w:val="32"/>
          <w:highlight w:val="none"/>
        </w:rPr>
        <w:t>万元，无扣分。</w:t>
      </w:r>
    </w:p>
    <w:p>
      <w:pPr>
        <w:spacing w:line="58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效率性方面，2019年我中心重点工作完成率为100%，2019年度我中心所有部门预算安排的项目均按计划时间完成，无扣分情况。</w:t>
      </w:r>
    </w:p>
    <w:p>
      <w:pPr>
        <w:spacing w:line="58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效果性方面，完成职能转变，全力加速推进工程项目建设按照“生态化、精品化”思路，持续提升主要道路绿化景观，打造道路绿化精品和亮点，同时不断加大公园建设和改造力度，通过新建花园社区、花漾街区等项目，不断完善辖区公园布局，逐步实现世界级“山海花城”的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本年度启动的15个项目中8个项目已完工，恩上水库绿道工程和恩上公园入口瀑布景观营造等工程顺利完成并获得了广大群众的一致好评；完善监管机制，提升市政绿化（公园）面貌，根据全市2019年绿化精细化考核方案，结合辖区绿化实际情况，进一步提高管理水平，严格落实管养考核的制度化、常态化、具体化，高标准要求公园、道路绿化</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路灯管养质量，加大投入全面提升公园内市政基础设施，提高公园管理水平，全年共治理人为踩踏黄土裸露约14880平方米，组织人员修剪遮挡交通指示牌、路灯设施、影响居民生活的行道树约4240棵</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切实为辖区居民提供环境整洁的休闲娱乐环境；做好投诉件处理，为群众诚心诚意办实事，认真对待并积极处理群众投诉的问题，全年数字化城管综合业务系统处理案件506起，12345渠道处理案件11宗，社情民意系统处理案件210宗,日常舆情、网络论坛、电话、期刊等其他渠道处理12宗，所有案件均在时效期内妥善处理。</w:t>
      </w:r>
    </w:p>
    <w:p>
      <w:pPr>
        <w:spacing w:line="58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公平性方面，广大群众有多种渠道对我中心提出意见，2019年，我中心共接受公民、法人及其他组织网上信访共4</w:t>
      </w:r>
      <w:r>
        <w:rPr>
          <w:rFonts w:hint="eastAsia" w:ascii="仿宋_GB2312" w:eastAsia="仿宋_GB2312"/>
          <w:sz w:val="32"/>
          <w:szCs w:val="32"/>
          <w:highlight w:val="none"/>
          <w:lang w:val="en-US" w:eastAsia="zh-CN"/>
        </w:rPr>
        <w:t>60</w:t>
      </w:r>
      <w:r>
        <w:rPr>
          <w:rFonts w:hint="eastAsia" w:ascii="仿宋_GB2312" w:eastAsia="仿宋_GB2312"/>
          <w:sz w:val="32"/>
          <w:szCs w:val="32"/>
          <w:highlight w:val="none"/>
        </w:rPr>
        <w:t>件，并及时回复处理，公众或服务对象满意度高。</w:t>
      </w:r>
    </w:p>
    <w:p>
      <w:pPr>
        <w:spacing w:line="580" w:lineRule="exact"/>
        <w:ind w:firstLine="627" w:firstLineChars="196"/>
        <w:rPr>
          <w:rFonts w:ascii="黑体" w:hAnsi="黑体" w:eastAsia="黑体"/>
          <w:sz w:val="32"/>
          <w:szCs w:val="32"/>
          <w:highlight w:val="none"/>
        </w:rPr>
      </w:pPr>
      <w:r>
        <w:rPr>
          <w:rFonts w:hint="eastAsia" w:ascii="黑体" w:hAnsi="黑体" w:eastAsia="黑体"/>
          <w:sz w:val="32"/>
          <w:szCs w:val="32"/>
          <w:highlight w:val="none"/>
        </w:rPr>
        <w:t>三、总体评价和整改措施</w:t>
      </w:r>
    </w:p>
    <w:p>
      <w:pPr>
        <w:widowControl/>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highlight w:val="none"/>
        </w:rPr>
        <w:t>通过近年来高强度绩效评价工作的开展，工作取得了一定成效。一是单位绩效管理理念进一步加强。从评</w:t>
      </w:r>
      <w:r>
        <w:rPr>
          <w:rFonts w:hint="eastAsia" w:ascii="仿宋_GB2312" w:eastAsia="仿宋_GB2312" w:cs="宋体"/>
          <w:color w:val="000000"/>
          <w:kern w:val="0"/>
          <w:sz w:val="32"/>
          <w:szCs w:val="32"/>
        </w:rPr>
        <w:t>价项目来看，单位在项目立项依据、项目实施过程、项目的监督以及项目达到的效果等方面进行了有效管理，工作过程进一步得到了规范，绩效管理理念进一步得到了强化。二是实现绩效管理单位全覆盖。从年初单位项目绩效目标编制到开展自评，均实现单位全覆盖，单位绩效管理工作正步入常态化、长效化管理轨道。</w:t>
      </w:r>
    </w:p>
    <w:p>
      <w:pPr>
        <w:spacing w:line="580" w:lineRule="exact"/>
        <w:ind w:firstLine="803" w:firstLineChars="250"/>
        <w:rPr>
          <w:rFonts w:ascii="仿宋_GB2312" w:eastAsia="仿宋_GB2312"/>
          <w:sz w:val="32"/>
          <w:szCs w:val="32"/>
        </w:rPr>
      </w:pPr>
      <w:r>
        <w:rPr>
          <w:rFonts w:hint="eastAsia" w:ascii="楷体_GB2312" w:eastAsia="楷体_GB2312"/>
          <w:b/>
          <w:sz w:val="32"/>
          <w:szCs w:val="32"/>
        </w:rPr>
        <w:t>（一）</w:t>
      </w:r>
      <w:r>
        <w:rPr>
          <w:rFonts w:hint="eastAsia" w:ascii="仿宋_GB2312" w:eastAsia="仿宋_GB2312"/>
          <w:sz w:val="32"/>
          <w:szCs w:val="32"/>
        </w:rPr>
        <w:t>预算绩效管理工作主要经验、做法。</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（1）政府重视、部门协调、政策支持</w:t>
      </w:r>
    </w:p>
    <w:p>
      <w:pPr>
        <w:spacing w:line="580" w:lineRule="exact"/>
        <w:ind w:firstLine="800" w:firstLineChars="250"/>
        <w:rPr>
          <w:rFonts w:ascii="仿宋_GB2312" w:eastAsia="仿宋_GB2312" w:cs="宋体"/>
          <w:color w:val="000000"/>
          <w:kern w:val="0"/>
          <w:sz w:val="32"/>
          <w:szCs w:val="32"/>
        </w:rPr>
      </w:pPr>
      <w:r>
        <w:rPr>
          <w:rFonts w:hint="eastAsia" w:ascii="仿宋_GB2312" w:eastAsia="仿宋_GB2312" w:cs="宋体"/>
          <w:color w:val="000000"/>
          <w:kern w:val="0"/>
          <w:sz w:val="32"/>
          <w:szCs w:val="32"/>
        </w:rPr>
        <w:t>深圳市政府近年积极推进单位的预算绩效评价工作，2019年为推动绩效考核盐田区财政局印（深盐财〔2020〕39号）深圳市盐田区财政局关于做好2019年预算绩效评价工作的通知，对本单位绩效自评工作做出指引性规定。本单位按照市、区财政对绩效管理工作进行部署，认真贯彻市、区有关文件精神，积极推进预算绩效管理工作，不断提高预算绩效管理工作的质量和水平，提高财政资金使用效益,尽量用最少的资金做到更好、更多的事情。</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（2）制定了适合本单位的预算管理制度</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2019年本单位与时俱进，根据上一年度提出的意见就收入预算管理、支出预算管理制度、年终决算制度、绩效考核制度等方面修订了较为详细的管理制度，为2019年度及以后的预算编制及考核提供具有政策性指导制度，使本单位有关工作有据可依。</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（3）明确各职能部门职责，充分调动各职能部门积极性</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各职能部门是各项目的具体执行人，熟悉各类项目的实际情况，从编制项目预算、制定绩效指标、绩效自我评价及总结等，各职能部门都积极参与并保证项目落实到实处，高质量的完成年初计划任务。</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（4）认真制定各关键指标，共同参与绩效管理</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对重点项目各职能部门积极参与项目绩效评价指标的制定，使项目绩效评价具有可操作性，而不是一纸空文</w:t>
      </w:r>
    </w:p>
    <w:p>
      <w:pPr>
        <w:spacing w:line="580" w:lineRule="exact"/>
        <w:ind w:firstLine="803" w:firstLineChars="250"/>
        <w:rPr>
          <w:rFonts w:ascii="仿宋_GB2312" w:eastAsia="仿宋_GB2312"/>
          <w:sz w:val="32"/>
          <w:szCs w:val="32"/>
        </w:rPr>
      </w:pPr>
      <w:r>
        <w:rPr>
          <w:rFonts w:hint="eastAsia" w:ascii="楷体_GB2312" w:eastAsia="楷体_GB2312"/>
          <w:b/>
          <w:sz w:val="32"/>
          <w:szCs w:val="32"/>
        </w:rPr>
        <w:t>（二）</w:t>
      </w:r>
      <w:r>
        <w:rPr>
          <w:rFonts w:hint="eastAsia" w:ascii="仿宋_GB2312" w:eastAsia="仿宋_GB2312"/>
          <w:sz w:val="32"/>
          <w:szCs w:val="32"/>
        </w:rPr>
        <w:t>部门整体支出绩效存在问题及改进措施。</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（1）存在问题</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主要存在问题：绩效指标尚有改善空间以及缺乏过程监督机制，预算执行中，出现没有按照计划进度执行的情况。</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（2）改进措施</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1）细化预算编制工作。在申报预算前对预算项目申报内容进行深入的必要性和可行性研究，设定和编制绩效目标。</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2）需进一步强化项目预算调研工作，确保预算编制更加准确详细，更具有可操作性。</w:t>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p>
    <w:p>
      <w:pPr>
        <w:spacing w:line="580" w:lineRule="exact"/>
        <w:ind w:firstLine="800" w:firstLineChars="250"/>
        <w:rPr>
          <w:rFonts w:ascii="仿宋_GB2312" w:eastAsia="仿宋_GB2312"/>
          <w:sz w:val="32"/>
          <w:szCs w:val="32"/>
          <w:shd w:val="clear" w:color="auto" w:fill="FFFF00"/>
        </w:rPr>
      </w:pPr>
      <w:r>
        <w:rPr>
          <w:rFonts w:ascii="仿宋_GB2312" w:eastAsia="仿宋_GB2312"/>
          <w:sz w:val="32"/>
          <w:szCs w:val="32"/>
        </w:rPr>
        <w:t>3</w:t>
      </w:r>
      <w:r>
        <w:rPr>
          <w:rFonts w:hint="eastAsia" w:ascii="仿宋_GB2312" w:eastAsia="仿宋_GB2312"/>
          <w:sz w:val="32"/>
          <w:szCs w:val="32"/>
        </w:rPr>
        <w:t>）加强新《预算法》、《行政事业单位会计制度》等学习培训，规范部门预算收支核算，一是制定和完善基本支出、项目支出等各项支出标准，严格按项目和进度执行预算，增强预算的约束力和严肃性。二是提升观念，认识预算工作的重要性；明确预算目标，加强预算编制工作的科学性和有效性。</w:t>
      </w:r>
      <w:r>
        <w:rPr>
          <w:rFonts w:hint="eastAsia" w:ascii="仿宋_GB2312" w:eastAsia="仿宋_GB2312"/>
          <w:sz w:val="32"/>
          <w:szCs w:val="32"/>
        </w:rPr>
        <w:tab/>
      </w:r>
    </w:p>
    <w:p>
      <w:pPr>
        <w:spacing w:line="580" w:lineRule="exact"/>
        <w:ind w:firstLine="803" w:firstLineChars="250"/>
        <w:rPr>
          <w:rFonts w:ascii="仿宋_GB2312" w:eastAsia="仿宋_GB2312"/>
          <w:sz w:val="32"/>
          <w:szCs w:val="32"/>
        </w:rPr>
      </w:pPr>
      <w:r>
        <w:rPr>
          <w:rFonts w:hint="eastAsia" w:ascii="楷体_GB2312" w:eastAsia="楷体_GB2312"/>
          <w:b/>
          <w:sz w:val="32"/>
          <w:szCs w:val="32"/>
        </w:rPr>
        <w:t>（三）</w:t>
      </w:r>
      <w:r>
        <w:rPr>
          <w:rFonts w:hint="eastAsia" w:ascii="仿宋_GB2312" w:eastAsia="仿宋_GB2312"/>
          <w:sz w:val="32"/>
          <w:szCs w:val="32"/>
        </w:rPr>
        <w:t>后续工作计划、相关建议等。</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ab/>
      </w:r>
      <w:r>
        <w:rPr>
          <w:rFonts w:ascii="仿宋_GB2312" w:eastAsia="仿宋_GB2312"/>
          <w:sz w:val="32"/>
          <w:szCs w:val="32"/>
        </w:rPr>
        <w:t>1</w:t>
      </w:r>
      <w:r>
        <w:rPr>
          <w:rFonts w:hint="eastAsia" w:ascii="仿宋_GB2312" w:eastAsia="仿宋_GB2312"/>
          <w:sz w:val="32"/>
          <w:szCs w:val="32"/>
        </w:rPr>
        <w:t>）提高项目预算编制的准确性。按照《预算法》及有关管理办法的要求，结合职能职责，加强调研，确定下年度工作重点，做好分析、测算，做好项目预算绩效目标编制，提高预算编制质量，确保预算的科学性、合理性、准确性。</w:t>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2）推进项目预算执行的时效性。严格按照批准的预算，有序推进项目开展，确保项目早落地、早见效。认真开展中期评估，根据情况适时对绩效不佳的项目进行调整，强化预算执行，完善专项资金分配和拨付管理，避免资金闲置，切实提高资金使用效率。</w:t>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p>
    <w:p>
      <w:pPr>
        <w:spacing w:line="580" w:lineRule="exact"/>
        <w:ind w:firstLine="800" w:firstLineChars="250"/>
        <w:rPr>
          <w:rFonts w:ascii="仿宋_GB2312" w:eastAsia="仿宋_GB2312"/>
          <w:sz w:val="32"/>
          <w:szCs w:val="32"/>
        </w:rPr>
      </w:pPr>
      <w:r>
        <w:rPr>
          <w:rFonts w:hint="eastAsia" w:ascii="仿宋_GB2312" w:eastAsia="仿宋_GB2312"/>
          <w:sz w:val="32"/>
          <w:szCs w:val="32"/>
        </w:rPr>
        <w:t>3）引进电子监督，充分利用网络等信息产品带来的便利，使信息接受更加顺畅，审批更加及时，从而提高预算执行工作效率。</w:t>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p>
    <w:p>
      <w:pPr>
        <w:spacing w:line="580" w:lineRule="exact"/>
        <w:ind w:firstLine="800" w:firstLineChars="25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）加强沟通与辅导、提高认识。根据制定的考核目标及关键考核指标，预算执行监督部门应积极与预算执行部门进行沟通，确定指标制定的合理性、执行的有效性等，为将来目标制定提供可参考的依据。</w:t>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p>
    <w:p>
      <w:pPr>
        <w:spacing w:line="580" w:lineRule="exact"/>
        <w:ind w:firstLine="800" w:firstLineChars="250"/>
        <w:rPr>
          <w:rFonts w:ascii="仿宋_GB2312" w:eastAsia="仿宋_GB2312"/>
          <w:sz w:val="32"/>
          <w:szCs w:val="32"/>
          <w:highlight w:val="yellow"/>
        </w:rPr>
      </w:pPr>
      <w:r>
        <w:rPr>
          <w:rFonts w:hint="eastAsia" w:ascii="仿宋_GB2312" w:eastAsia="仿宋_GB2312"/>
          <w:sz w:val="32"/>
          <w:szCs w:val="32"/>
        </w:rPr>
        <w:t>5）突出预算项目管理的绩效性。以深入推进绩效评价为核心，结合本单位项目实际，建立科学、准确的指标体系，体现“经济、效率、效果”，严格评价流程，切实提高评价结果的客观、公正。</w:t>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p>
    <w:p>
      <w:pPr>
        <w:spacing w:line="580" w:lineRule="exact"/>
        <w:ind w:firstLine="800" w:firstLineChars="250"/>
        <w:rPr>
          <w:rFonts w:ascii="黑体" w:hAnsi="黑体" w:eastAsia="黑体"/>
          <w:sz w:val="32"/>
          <w:szCs w:val="32"/>
        </w:rPr>
      </w:pPr>
      <w:r>
        <w:rPr>
          <w:rFonts w:hint="eastAsia" w:ascii="黑体" w:hAnsi="黑体" w:eastAsia="黑体"/>
          <w:sz w:val="32"/>
          <w:szCs w:val="32"/>
        </w:rPr>
        <w:t>四、部门整体支出绩效评价指标评分情况</w:t>
      </w:r>
    </w:p>
    <w:p>
      <w:pPr>
        <w:spacing w:line="580" w:lineRule="exact"/>
        <w:ind w:firstLine="800" w:firstLineChars="250"/>
        <w:rPr>
          <w:rFonts w:ascii="仿宋_GB2312" w:eastAsia="仿宋_GB2312"/>
          <w:sz w:val="32"/>
          <w:szCs w:val="32"/>
        </w:rPr>
        <w:sectPr>
          <w:pgSz w:w="11906" w:h="16838"/>
          <w:pgMar w:top="1440" w:right="1800" w:bottom="1440" w:left="1800" w:header="851" w:footer="992" w:gutter="0"/>
          <w:cols w:space="425" w:num="1"/>
          <w:docGrid w:type="lines" w:linePitch="312" w:charSpace="0"/>
        </w:sectPr>
      </w:pPr>
      <w:r>
        <w:rPr>
          <w:rFonts w:hint="eastAsia" w:ascii="仿宋_GB2312" w:eastAsia="仿宋_GB2312"/>
          <w:sz w:val="32"/>
          <w:szCs w:val="32"/>
        </w:rPr>
        <w:t>参照《部门整体绩效自评表》进行自评，填报得分</w:t>
      </w:r>
      <w:r>
        <w:rPr>
          <w:rFonts w:ascii="仿宋_GB2312" w:eastAsia="仿宋_GB2312"/>
          <w:sz w:val="32"/>
          <w:szCs w:val="32"/>
        </w:rPr>
        <w:t>9</w:t>
      </w:r>
      <w:r>
        <w:rPr>
          <w:rFonts w:hint="eastAsia" w:ascii="仿宋_GB2312" w:eastAsia="仿宋_GB2312"/>
          <w:sz w:val="32"/>
          <w:szCs w:val="32"/>
        </w:rPr>
        <w:t>5</w:t>
      </w:r>
      <w:r>
        <w:rPr>
          <w:rFonts w:ascii="仿宋_GB2312" w:eastAsia="仿宋_GB2312"/>
          <w:sz w:val="32"/>
          <w:szCs w:val="32"/>
        </w:rPr>
        <w:t>.83</w:t>
      </w:r>
      <w:r>
        <w:rPr>
          <w:rFonts w:hint="eastAsia" w:ascii="仿宋_GB2312" w:eastAsia="仿宋_GB2312"/>
          <w:sz w:val="32"/>
          <w:szCs w:val="32"/>
        </w:rPr>
        <w:t>分。</w:t>
      </w:r>
    </w:p>
    <w:p>
      <w:pPr>
        <w:jc w:val="center"/>
        <w:rPr>
          <w:rFonts w:ascii="宋体" w:hAnsi="宋体"/>
          <w:b/>
          <w:bCs/>
          <w:sz w:val="28"/>
          <w:szCs w:val="28"/>
        </w:rPr>
      </w:pPr>
      <w:r>
        <w:rPr>
          <w:rFonts w:hint="eastAsia" w:ascii="宋体" w:hAnsi="宋体"/>
          <w:b/>
          <w:bCs/>
          <w:sz w:val="28"/>
          <w:szCs w:val="28"/>
        </w:rPr>
        <w:t>2019年度部门整体支出绩效自评表</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4"/>
        <w:gridCol w:w="1347"/>
        <w:gridCol w:w="1466"/>
        <w:gridCol w:w="1681"/>
        <w:gridCol w:w="2259"/>
        <w:gridCol w:w="3941"/>
        <w:gridCol w:w="1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9" w:type="pct"/>
            <w:noWrap/>
            <w:vAlign w:val="center"/>
          </w:tcPr>
          <w:p>
            <w:pPr>
              <w:rPr>
                <w:rFonts w:ascii="Calibri" w:hAnsi="Calibri"/>
                <w:kern w:val="0"/>
                <w:sz w:val="18"/>
                <w:szCs w:val="18"/>
              </w:rPr>
            </w:pPr>
            <w:r>
              <w:rPr>
                <w:rFonts w:hint="eastAsia" w:ascii="Calibri" w:hAnsi="Calibri"/>
                <w:kern w:val="0"/>
                <w:sz w:val="18"/>
                <w:szCs w:val="18"/>
              </w:rPr>
              <w:t>部门单位名称</w:t>
            </w:r>
          </w:p>
        </w:tc>
        <w:tc>
          <w:tcPr>
            <w:tcW w:w="1585" w:type="pct"/>
            <w:gridSpan w:val="3"/>
            <w:noWrap/>
            <w:vAlign w:val="center"/>
          </w:tcPr>
          <w:p>
            <w:pPr>
              <w:rPr>
                <w:rFonts w:ascii="Calibri" w:hAnsi="Calibri"/>
                <w:kern w:val="0"/>
                <w:sz w:val="18"/>
                <w:szCs w:val="18"/>
              </w:rPr>
            </w:pPr>
            <w:r>
              <w:rPr>
                <w:rFonts w:hint="eastAsia" w:ascii="Calibri" w:hAnsi="Calibri"/>
                <w:kern w:val="0"/>
                <w:sz w:val="18"/>
                <w:szCs w:val="18"/>
              </w:rPr>
              <w:t>盐田区城市管理建设事务中心</w:t>
            </w:r>
          </w:p>
        </w:tc>
        <w:tc>
          <w:tcPr>
            <w:tcW w:w="797" w:type="pct"/>
            <w:noWrap/>
            <w:vAlign w:val="center"/>
          </w:tcPr>
          <w:p>
            <w:pPr>
              <w:rPr>
                <w:rFonts w:ascii="Calibri" w:hAnsi="Calibri"/>
                <w:kern w:val="0"/>
                <w:sz w:val="18"/>
                <w:szCs w:val="18"/>
              </w:rPr>
            </w:pPr>
            <w:r>
              <w:rPr>
                <w:rFonts w:hint="eastAsia" w:ascii="Calibri" w:hAnsi="Calibri"/>
                <w:kern w:val="0"/>
                <w:sz w:val="18"/>
                <w:szCs w:val="18"/>
              </w:rPr>
              <w:t>全年预算数</w:t>
            </w:r>
          </w:p>
        </w:tc>
        <w:tc>
          <w:tcPr>
            <w:tcW w:w="1390" w:type="pct"/>
            <w:noWrap/>
            <w:vAlign w:val="center"/>
          </w:tcPr>
          <w:p>
            <w:pPr>
              <w:rPr>
                <w:rFonts w:ascii="Calibri" w:hAnsi="Calibri"/>
                <w:kern w:val="0"/>
                <w:sz w:val="18"/>
                <w:szCs w:val="18"/>
              </w:rPr>
            </w:pPr>
            <w:r>
              <w:rPr>
                <w:rFonts w:hint="eastAsia" w:ascii="Calibri" w:hAnsi="Calibri"/>
                <w:kern w:val="0"/>
                <w:sz w:val="18"/>
                <w:szCs w:val="18"/>
              </w:rPr>
              <w:t>全年执行数</w:t>
            </w:r>
          </w:p>
        </w:tc>
        <w:tc>
          <w:tcPr>
            <w:tcW w:w="610" w:type="pct"/>
            <w:noWrap/>
            <w:vAlign w:val="center"/>
          </w:tcPr>
          <w:p>
            <w:pPr>
              <w:rPr>
                <w:rFonts w:ascii="Calibri" w:hAnsi="Calibri"/>
                <w:kern w:val="0"/>
                <w:sz w:val="18"/>
                <w:szCs w:val="18"/>
              </w:rPr>
            </w:pPr>
            <w:r>
              <w:rPr>
                <w:rFonts w:hint="eastAsia" w:ascii="Calibri" w:hAnsi="Calibri"/>
                <w:kern w:val="0"/>
                <w:sz w:val="18"/>
                <w:szCs w:val="18"/>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619" w:type="pct"/>
            <w:vMerge w:val="restart"/>
            <w:noWrap/>
            <w:vAlign w:val="center"/>
          </w:tcPr>
          <w:p>
            <w:pPr>
              <w:rPr>
                <w:rFonts w:ascii="Calibri" w:hAnsi="Calibri"/>
                <w:kern w:val="0"/>
                <w:sz w:val="18"/>
                <w:szCs w:val="18"/>
              </w:rPr>
            </w:pPr>
            <w:r>
              <w:rPr>
                <w:rFonts w:hint="eastAsia" w:ascii="Calibri" w:hAnsi="Calibri"/>
                <w:kern w:val="0"/>
                <w:sz w:val="18"/>
                <w:szCs w:val="18"/>
              </w:rPr>
              <w:t>整体支出规模</w:t>
            </w:r>
          </w:p>
        </w:tc>
        <w:tc>
          <w:tcPr>
            <w:tcW w:w="1585" w:type="pct"/>
            <w:gridSpan w:val="3"/>
            <w:vAlign w:val="center"/>
          </w:tcPr>
          <w:p>
            <w:pPr>
              <w:rPr>
                <w:rFonts w:ascii="Calibri" w:hAnsi="Calibri"/>
                <w:kern w:val="0"/>
                <w:sz w:val="18"/>
                <w:szCs w:val="18"/>
              </w:rPr>
            </w:pPr>
            <w:r>
              <w:rPr>
                <w:rFonts w:hint="eastAsia" w:ascii="Calibri" w:hAnsi="Calibri"/>
                <w:kern w:val="0"/>
                <w:sz w:val="18"/>
                <w:szCs w:val="18"/>
              </w:rPr>
              <w:t>财政拨款</w:t>
            </w:r>
          </w:p>
        </w:tc>
        <w:tc>
          <w:tcPr>
            <w:tcW w:w="797" w:type="pct"/>
            <w:noWrap/>
            <w:vAlign w:val="center"/>
          </w:tcPr>
          <w:p>
            <w:pPr>
              <w:rPr>
                <w:rFonts w:ascii="Calibri" w:hAnsi="Calibri"/>
                <w:kern w:val="0"/>
                <w:sz w:val="18"/>
                <w:szCs w:val="18"/>
              </w:rPr>
            </w:pPr>
            <w:r>
              <w:rPr>
                <w:rFonts w:hint="eastAsia" w:ascii="Calibri" w:hAnsi="Calibri"/>
                <w:kern w:val="0"/>
                <w:sz w:val="18"/>
                <w:szCs w:val="18"/>
              </w:rPr>
              <w:t>30,491,223.18</w:t>
            </w:r>
          </w:p>
        </w:tc>
        <w:tc>
          <w:tcPr>
            <w:tcW w:w="1390" w:type="pct"/>
            <w:noWrap/>
            <w:vAlign w:val="center"/>
          </w:tcPr>
          <w:p>
            <w:pPr>
              <w:rPr>
                <w:rFonts w:ascii="Calibri" w:hAnsi="Calibri"/>
                <w:kern w:val="0"/>
                <w:sz w:val="18"/>
                <w:szCs w:val="18"/>
              </w:rPr>
            </w:pPr>
            <w:r>
              <w:rPr>
                <w:rFonts w:hint="eastAsia" w:ascii="Calibri" w:hAnsi="Calibri"/>
                <w:kern w:val="0"/>
                <w:sz w:val="18"/>
                <w:szCs w:val="18"/>
              </w:rPr>
              <w:t>28,103,584.44</w:t>
            </w:r>
          </w:p>
        </w:tc>
        <w:tc>
          <w:tcPr>
            <w:tcW w:w="610" w:type="pct"/>
            <w:noWrap/>
            <w:vAlign w:val="center"/>
          </w:tcPr>
          <w:p>
            <w:pPr>
              <w:rPr>
                <w:rFonts w:ascii="Calibri" w:hAnsi="Calibri"/>
                <w:kern w:val="0"/>
                <w:sz w:val="18"/>
                <w:szCs w:val="18"/>
              </w:rPr>
            </w:pPr>
            <w:r>
              <w:rPr>
                <w:rFonts w:hint="eastAsia" w:ascii="Calibri" w:hAnsi="Calibri"/>
                <w:kern w:val="0"/>
                <w:sz w:val="18"/>
                <w:szCs w:val="18"/>
              </w:rPr>
              <w:t>92.17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9" w:type="pct"/>
            <w:vMerge w:val="continue"/>
            <w:vAlign w:val="center"/>
          </w:tcPr>
          <w:p>
            <w:pPr>
              <w:rPr>
                <w:rFonts w:ascii="Calibri" w:hAnsi="Calibri"/>
                <w:kern w:val="0"/>
                <w:sz w:val="18"/>
                <w:szCs w:val="18"/>
              </w:rPr>
            </w:pPr>
          </w:p>
        </w:tc>
        <w:tc>
          <w:tcPr>
            <w:tcW w:w="992" w:type="pct"/>
            <w:gridSpan w:val="2"/>
            <w:vMerge w:val="restart"/>
            <w:noWrap/>
            <w:vAlign w:val="center"/>
          </w:tcPr>
          <w:p>
            <w:pPr>
              <w:rPr>
                <w:rFonts w:ascii="Calibri" w:hAnsi="Calibri"/>
                <w:kern w:val="0"/>
                <w:sz w:val="18"/>
                <w:szCs w:val="18"/>
              </w:rPr>
            </w:pPr>
            <w:r>
              <w:rPr>
                <w:rFonts w:hint="eastAsia" w:ascii="Calibri" w:hAnsi="Calibri"/>
                <w:kern w:val="0"/>
                <w:sz w:val="18"/>
                <w:szCs w:val="18"/>
              </w:rPr>
              <w:t>资金结构：</w:t>
            </w:r>
          </w:p>
        </w:tc>
        <w:tc>
          <w:tcPr>
            <w:tcW w:w="593" w:type="pct"/>
            <w:noWrap/>
            <w:vAlign w:val="center"/>
          </w:tcPr>
          <w:p>
            <w:pPr>
              <w:rPr>
                <w:rFonts w:ascii="Calibri" w:hAnsi="Calibri"/>
                <w:kern w:val="0"/>
                <w:sz w:val="18"/>
                <w:szCs w:val="18"/>
              </w:rPr>
            </w:pPr>
            <w:r>
              <w:rPr>
                <w:rFonts w:hint="eastAsia" w:ascii="Calibri" w:hAnsi="Calibri"/>
                <w:kern w:val="0"/>
                <w:sz w:val="18"/>
                <w:szCs w:val="18"/>
              </w:rPr>
              <w:t>基本支出</w:t>
            </w:r>
          </w:p>
        </w:tc>
        <w:tc>
          <w:tcPr>
            <w:tcW w:w="797" w:type="pct"/>
            <w:noWrap/>
            <w:vAlign w:val="center"/>
          </w:tcPr>
          <w:p>
            <w:pPr>
              <w:rPr>
                <w:rFonts w:ascii="Calibri" w:hAnsi="Calibri"/>
                <w:kern w:val="0"/>
                <w:sz w:val="18"/>
                <w:szCs w:val="18"/>
              </w:rPr>
            </w:pPr>
            <w:r>
              <w:rPr>
                <w:rFonts w:hint="eastAsia" w:ascii="Calibri" w:hAnsi="Calibri"/>
                <w:kern w:val="0"/>
                <w:sz w:val="18"/>
                <w:szCs w:val="18"/>
              </w:rPr>
              <w:t>18,990,471.00</w:t>
            </w:r>
          </w:p>
        </w:tc>
        <w:tc>
          <w:tcPr>
            <w:tcW w:w="1390" w:type="pct"/>
            <w:noWrap/>
            <w:vAlign w:val="center"/>
          </w:tcPr>
          <w:p>
            <w:pPr>
              <w:rPr>
                <w:rFonts w:ascii="Calibri" w:hAnsi="Calibri"/>
                <w:kern w:val="0"/>
                <w:sz w:val="18"/>
                <w:szCs w:val="18"/>
              </w:rPr>
            </w:pPr>
            <w:r>
              <w:rPr>
                <w:rFonts w:hint="eastAsia" w:ascii="Calibri" w:hAnsi="Calibri"/>
                <w:kern w:val="0"/>
                <w:sz w:val="18"/>
                <w:szCs w:val="18"/>
              </w:rPr>
              <w:t>17,535,647.25</w:t>
            </w:r>
          </w:p>
        </w:tc>
        <w:tc>
          <w:tcPr>
            <w:tcW w:w="610" w:type="pct"/>
            <w:noWrap/>
            <w:vAlign w:val="center"/>
          </w:tcPr>
          <w:p>
            <w:pPr>
              <w:rPr>
                <w:rFonts w:ascii="Calibri" w:hAnsi="Calibri"/>
                <w:kern w:val="0"/>
                <w:sz w:val="18"/>
                <w:szCs w:val="18"/>
              </w:rPr>
            </w:pPr>
            <w:r>
              <w:rPr>
                <w:rFonts w:hint="eastAsia" w:ascii="Calibri" w:hAnsi="Calibri"/>
                <w:kern w:val="0"/>
                <w:sz w:val="18"/>
                <w:szCs w:val="18"/>
              </w:rPr>
              <w:t>92.34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9" w:type="pct"/>
            <w:vMerge w:val="continue"/>
            <w:vAlign w:val="center"/>
          </w:tcPr>
          <w:p>
            <w:pPr>
              <w:rPr>
                <w:rFonts w:ascii="Calibri" w:hAnsi="Calibri"/>
                <w:kern w:val="0"/>
                <w:sz w:val="18"/>
                <w:szCs w:val="18"/>
              </w:rPr>
            </w:pPr>
          </w:p>
        </w:tc>
        <w:tc>
          <w:tcPr>
            <w:tcW w:w="992" w:type="pct"/>
            <w:gridSpan w:val="2"/>
            <w:vMerge w:val="continue"/>
            <w:vAlign w:val="center"/>
          </w:tcPr>
          <w:p>
            <w:pPr>
              <w:rPr>
                <w:rFonts w:ascii="Calibri" w:hAnsi="Calibri"/>
                <w:kern w:val="0"/>
                <w:sz w:val="18"/>
                <w:szCs w:val="18"/>
              </w:rPr>
            </w:pPr>
          </w:p>
        </w:tc>
        <w:tc>
          <w:tcPr>
            <w:tcW w:w="593" w:type="pct"/>
            <w:noWrap/>
            <w:vAlign w:val="center"/>
          </w:tcPr>
          <w:p>
            <w:pPr>
              <w:rPr>
                <w:rFonts w:ascii="Calibri" w:hAnsi="Calibri"/>
                <w:kern w:val="0"/>
                <w:sz w:val="18"/>
                <w:szCs w:val="18"/>
              </w:rPr>
            </w:pPr>
            <w:r>
              <w:rPr>
                <w:rFonts w:hint="eastAsia" w:ascii="Calibri" w:hAnsi="Calibri"/>
                <w:kern w:val="0"/>
                <w:sz w:val="18"/>
                <w:szCs w:val="18"/>
              </w:rPr>
              <w:t>项目支出</w:t>
            </w:r>
          </w:p>
        </w:tc>
        <w:tc>
          <w:tcPr>
            <w:tcW w:w="797" w:type="pct"/>
            <w:vAlign w:val="center"/>
          </w:tcPr>
          <w:p>
            <w:pPr>
              <w:rPr>
                <w:rFonts w:ascii="Calibri" w:hAnsi="Calibri"/>
                <w:kern w:val="0"/>
                <w:sz w:val="18"/>
                <w:szCs w:val="18"/>
              </w:rPr>
            </w:pPr>
            <w:r>
              <w:rPr>
                <w:rFonts w:hint="eastAsia" w:ascii="Calibri" w:hAnsi="Calibri"/>
                <w:kern w:val="0"/>
                <w:sz w:val="18"/>
                <w:szCs w:val="18"/>
              </w:rPr>
              <w:t>11,500,752.18</w:t>
            </w:r>
          </w:p>
        </w:tc>
        <w:tc>
          <w:tcPr>
            <w:tcW w:w="1390" w:type="pct"/>
            <w:noWrap/>
            <w:vAlign w:val="center"/>
          </w:tcPr>
          <w:p>
            <w:pPr>
              <w:rPr>
                <w:rFonts w:ascii="Calibri" w:hAnsi="Calibri"/>
                <w:kern w:val="0"/>
                <w:sz w:val="18"/>
                <w:szCs w:val="18"/>
              </w:rPr>
            </w:pPr>
            <w:r>
              <w:rPr>
                <w:rFonts w:hint="eastAsia" w:ascii="Calibri" w:hAnsi="Calibri"/>
                <w:kern w:val="0"/>
                <w:sz w:val="18"/>
                <w:szCs w:val="18"/>
              </w:rPr>
              <w:t>10,567,937.19</w:t>
            </w:r>
          </w:p>
        </w:tc>
        <w:tc>
          <w:tcPr>
            <w:tcW w:w="610" w:type="pct"/>
            <w:noWrap/>
            <w:vAlign w:val="center"/>
          </w:tcPr>
          <w:p>
            <w:pPr>
              <w:rPr>
                <w:rFonts w:ascii="Calibri" w:hAnsi="Calibri"/>
                <w:kern w:val="0"/>
                <w:sz w:val="18"/>
                <w:szCs w:val="18"/>
              </w:rPr>
            </w:pPr>
            <w:r>
              <w:rPr>
                <w:rFonts w:hint="eastAsia" w:ascii="Calibri" w:hAnsi="Calibri"/>
                <w:kern w:val="0"/>
                <w:sz w:val="18"/>
                <w:szCs w:val="18"/>
              </w:rPr>
              <w:t>91.89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000" w:type="pct"/>
            <w:gridSpan w:val="7"/>
            <w:noWrap/>
            <w:vAlign w:val="center"/>
          </w:tcPr>
          <w:p>
            <w:pPr>
              <w:rPr>
                <w:rFonts w:ascii="Calibri" w:hAnsi="Calibri"/>
                <w:kern w:val="0"/>
                <w:sz w:val="18"/>
                <w:szCs w:val="18"/>
              </w:rPr>
            </w:pPr>
            <w:r>
              <w:rPr>
                <w:rFonts w:hint="eastAsia" w:ascii="Calibri" w:hAnsi="Calibri"/>
                <w:kern w:val="0"/>
                <w:sz w:val="18"/>
                <w:szCs w:val="18"/>
              </w:rPr>
              <w:t>分解目标自评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9" w:type="pct"/>
            <w:noWrap/>
            <w:vAlign w:val="center"/>
          </w:tcPr>
          <w:p>
            <w:pPr>
              <w:rPr>
                <w:rFonts w:ascii="Calibri" w:hAnsi="Calibri"/>
                <w:kern w:val="0"/>
                <w:sz w:val="18"/>
                <w:szCs w:val="18"/>
              </w:rPr>
            </w:pPr>
            <w:r>
              <w:rPr>
                <w:rFonts w:hint="eastAsia" w:ascii="Calibri" w:hAnsi="Calibri"/>
                <w:kern w:val="0"/>
                <w:sz w:val="18"/>
                <w:szCs w:val="18"/>
              </w:rPr>
              <w:t>一级指标</w:t>
            </w:r>
          </w:p>
        </w:tc>
        <w:tc>
          <w:tcPr>
            <w:tcW w:w="475" w:type="pct"/>
            <w:noWrap/>
            <w:vAlign w:val="center"/>
          </w:tcPr>
          <w:p>
            <w:pPr>
              <w:rPr>
                <w:rFonts w:ascii="Calibri" w:hAnsi="Calibri"/>
                <w:kern w:val="0"/>
                <w:sz w:val="18"/>
                <w:szCs w:val="18"/>
              </w:rPr>
            </w:pPr>
            <w:r>
              <w:rPr>
                <w:rFonts w:hint="eastAsia" w:ascii="Calibri" w:hAnsi="Calibri"/>
                <w:kern w:val="0"/>
                <w:sz w:val="18"/>
                <w:szCs w:val="18"/>
              </w:rPr>
              <w:t>二级指标</w:t>
            </w:r>
          </w:p>
        </w:tc>
        <w:tc>
          <w:tcPr>
            <w:tcW w:w="517" w:type="pct"/>
            <w:noWrap/>
            <w:vAlign w:val="center"/>
          </w:tcPr>
          <w:p>
            <w:pPr>
              <w:rPr>
                <w:rFonts w:ascii="Calibri" w:hAnsi="Calibri"/>
                <w:kern w:val="0"/>
                <w:sz w:val="18"/>
                <w:szCs w:val="18"/>
              </w:rPr>
            </w:pPr>
            <w:r>
              <w:rPr>
                <w:rFonts w:hint="eastAsia" w:ascii="Calibri" w:hAnsi="Calibri"/>
                <w:kern w:val="0"/>
                <w:sz w:val="18"/>
                <w:szCs w:val="18"/>
              </w:rPr>
              <w:t>三级指标</w:t>
            </w:r>
          </w:p>
        </w:tc>
        <w:tc>
          <w:tcPr>
            <w:tcW w:w="2780" w:type="pct"/>
            <w:gridSpan w:val="3"/>
            <w:noWrap/>
            <w:vAlign w:val="center"/>
          </w:tcPr>
          <w:p>
            <w:pPr>
              <w:rPr>
                <w:rFonts w:ascii="Calibri" w:hAnsi="Calibri"/>
                <w:kern w:val="0"/>
                <w:sz w:val="18"/>
                <w:szCs w:val="18"/>
              </w:rPr>
            </w:pPr>
            <w:r>
              <w:rPr>
                <w:rFonts w:hint="eastAsia" w:ascii="Calibri" w:hAnsi="Calibri"/>
                <w:kern w:val="0"/>
                <w:sz w:val="18"/>
                <w:szCs w:val="18"/>
              </w:rPr>
              <w:t>参考评分标准</w:t>
            </w:r>
          </w:p>
        </w:tc>
        <w:tc>
          <w:tcPr>
            <w:tcW w:w="610" w:type="pct"/>
            <w:noWrap/>
            <w:vAlign w:val="center"/>
          </w:tcPr>
          <w:p>
            <w:pPr>
              <w:rPr>
                <w:rFonts w:ascii="Calibri" w:hAnsi="Calibri"/>
                <w:kern w:val="0"/>
                <w:sz w:val="18"/>
                <w:szCs w:val="18"/>
              </w:rPr>
            </w:pPr>
            <w:r>
              <w:rPr>
                <w:rFonts w:hint="eastAsia" w:ascii="Calibri" w:hAnsi="Calibri"/>
                <w:kern w:val="0"/>
                <w:sz w:val="18"/>
                <w:szCs w:val="18"/>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restart"/>
            <w:vAlign w:val="center"/>
          </w:tcPr>
          <w:p>
            <w:pPr>
              <w:rPr>
                <w:rFonts w:ascii="Calibri" w:hAnsi="Calibri"/>
                <w:kern w:val="0"/>
                <w:sz w:val="18"/>
                <w:szCs w:val="18"/>
              </w:rPr>
            </w:pPr>
            <w:r>
              <w:rPr>
                <w:rFonts w:hint="eastAsia" w:ascii="Calibri" w:hAnsi="Calibri"/>
                <w:kern w:val="0"/>
                <w:sz w:val="18"/>
                <w:szCs w:val="18"/>
              </w:rPr>
              <w:t>部门决策(25分)</w:t>
            </w:r>
          </w:p>
        </w:tc>
        <w:tc>
          <w:tcPr>
            <w:tcW w:w="475" w:type="pct"/>
            <w:vMerge w:val="restart"/>
            <w:vAlign w:val="center"/>
          </w:tcPr>
          <w:p>
            <w:pPr>
              <w:rPr>
                <w:rFonts w:ascii="Calibri" w:hAnsi="Calibri"/>
                <w:kern w:val="0"/>
                <w:sz w:val="18"/>
                <w:szCs w:val="18"/>
              </w:rPr>
            </w:pPr>
            <w:r>
              <w:rPr>
                <w:rFonts w:hint="eastAsia" w:ascii="Calibri" w:hAnsi="Calibri"/>
                <w:kern w:val="0"/>
                <w:sz w:val="18"/>
                <w:szCs w:val="18"/>
              </w:rPr>
              <w:t>预算编制(10分)</w:t>
            </w:r>
          </w:p>
        </w:tc>
        <w:tc>
          <w:tcPr>
            <w:tcW w:w="517" w:type="pct"/>
            <w:vAlign w:val="center"/>
          </w:tcPr>
          <w:p>
            <w:pPr>
              <w:rPr>
                <w:rFonts w:ascii="Calibri" w:hAnsi="Calibri"/>
                <w:kern w:val="0"/>
                <w:sz w:val="18"/>
                <w:szCs w:val="18"/>
              </w:rPr>
            </w:pPr>
            <w:r>
              <w:rPr>
                <w:rFonts w:hint="eastAsia" w:ascii="Calibri" w:hAnsi="Calibri"/>
                <w:kern w:val="0"/>
                <w:sz w:val="18"/>
                <w:szCs w:val="18"/>
              </w:rPr>
              <w:t>预算编制合理性(5分)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1.部门预算编制、分配符合本部门职责、符合区委区政府方针政策和工作要求（1分）；</w:t>
            </w:r>
            <w:r>
              <w:rPr>
                <w:rFonts w:hint="eastAsia" w:ascii="Calibri" w:hAnsi="Calibri"/>
                <w:kern w:val="0"/>
                <w:sz w:val="18"/>
                <w:szCs w:val="18"/>
              </w:rPr>
              <w:br w:type="textWrapping"/>
            </w:r>
            <w:r>
              <w:rPr>
                <w:rFonts w:hint="eastAsia" w:ascii="Calibri" w:hAnsi="Calibri"/>
                <w:kern w:val="0"/>
                <w:sz w:val="18"/>
                <w:szCs w:val="18"/>
              </w:rPr>
              <w:t xml:space="preserve">2.部门预算资金能根据年度工作重点，在不同项目、不同用途之间合理分配（1分）；                                               </w:t>
            </w:r>
            <w:r>
              <w:rPr>
                <w:rFonts w:hint="eastAsia" w:ascii="Calibri" w:hAnsi="Calibri"/>
                <w:kern w:val="0"/>
                <w:sz w:val="18"/>
                <w:szCs w:val="18"/>
              </w:rPr>
              <w:br w:type="textWrapping"/>
            </w:r>
            <w:r>
              <w:rPr>
                <w:rFonts w:hint="eastAsia" w:ascii="Calibri" w:hAnsi="Calibri"/>
                <w:kern w:val="0"/>
                <w:sz w:val="18"/>
                <w:szCs w:val="18"/>
              </w:rPr>
              <w:t xml:space="preserve">3.专项资金编制细化程度合理，未出现因年中调剂导致部门预决算差异过大问题（1分）；                                                                                </w:t>
            </w:r>
            <w:r>
              <w:rPr>
                <w:rFonts w:hint="eastAsia" w:ascii="Calibri" w:hAnsi="Calibri"/>
                <w:kern w:val="0"/>
                <w:sz w:val="18"/>
                <w:szCs w:val="18"/>
              </w:rPr>
              <w:br w:type="textWrapping"/>
            </w:r>
            <w:r>
              <w:rPr>
                <w:rFonts w:hint="eastAsia" w:ascii="Calibri" w:hAnsi="Calibri"/>
                <w:kern w:val="0"/>
                <w:sz w:val="18"/>
                <w:szCs w:val="18"/>
              </w:rPr>
              <w:t>4.功能分类和经济分类编制准确，年度中间无大量调剂，未发生项目之间频繁调剂（1分）；</w:t>
            </w:r>
            <w:r>
              <w:rPr>
                <w:rFonts w:hint="eastAsia" w:ascii="Calibri" w:hAnsi="Calibri"/>
                <w:kern w:val="0"/>
                <w:sz w:val="18"/>
                <w:szCs w:val="18"/>
              </w:rPr>
              <w:br w:type="textWrapping"/>
            </w:r>
            <w:r>
              <w:rPr>
                <w:rFonts w:hint="eastAsia" w:ascii="Calibri" w:hAnsi="Calibri"/>
                <w:kern w:val="0"/>
                <w:sz w:val="18"/>
                <w:szCs w:val="18"/>
              </w:rPr>
              <w:t>5.部门预算分配不固化，能根据实际情况合理调整，不存在项目支出进度慢、完成率低、绩效较差，但连年持续安排预算等不合理的情况（1分）。</w:t>
            </w:r>
          </w:p>
        </w:tc>
        <w:tc>
          <w:tcPr>
            <w:tcW w:w="610" w:type="pct"/>
            <w:vAlign w:val="center"/>
          </w:tcPr>
          <w:p>
            <w:pPr>
              <w:rPr>
                <w:rFonts w:ascii="Calibri" w:hAnsi="Calibri"/>
                <w:kern w:val="0"/>
                <w:sz w:val="18"/>
                <w:szCs w:val="18"/>
              </w:rPr>
            </w:pPr>
            <w:r>
              <w:rPr>
                <w:rFonts w:hint="eastAsia" w:ascii="Calibri" w:hAnsi="Calibri"/>
                <w:kern w:val="0"/>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rFonts w:ascii="Calibri" w:hAnsi="Calibri"/>
                <w:kern w:val="0"/>
                <w:sz w:val="18"/>
                <w:szCs w:val="18"/>
              </w:rPr>
            </w:pPr>
          </w:p>
        </w:tc>
        <w:tc>
          <w:tcPr>
            <w:tcW w:w="475" w:type="pct"/>
            <w:vMerge w:val="continue"/>
            <w:vAlign w:val="center"/>
          </w:tcPr>
          <w:p>
            <w:pPr>
              <w:rPr>
                <w:rFonts w:ascii="Calibri" w:hAnsi="Calibri"/>
                <w:kern w:val="0"/>
                <w:sz w:val="18"/>
                <w:szCs w:val="18"/>
              </w:rPr>
            </w:pPr>
          </w:p>
        </w:tc>
        <w:tc>
          <w:tcPr>
            <w:tcW w:w="517" w:type="pct"/>
            <w:vAlign w:val="center"/>
          </w:tcPr>
          <w:p>
            <w:pPr>
              <w:rPr>
                <w:rFonts w:ascii="Calibri" w:hAnsi="Calibri"/>
                <w:kern w:val="0"/>
                <w:sz w:val="18"/>
                <w:szCs w:val="18"/>
              </w:rPr>
            </w:pPr>
            <w:r>
              <w:rPr>
                <w:rFonts w:hint="eastAsia" w:ascii="Calibri" w:hAnsi="Calibri"/>
                <w:kern w:val="0"/>
                <w:sz w:val="18"/>
                <w:szCs w:val="18"/>
              </w:rPr>
              <w:t>预算编制规范性(5分)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1.部门（单位）预算编制符合财政部门当年度关于预算编制的各项原则和要求，符合专项资金预算编制、项目库管理、新增项目事前绩效评估等要求（5分）；</w:t>
            </w:r>
            <w:r>
              <w:rPr>
                <w:rFonts w:hint="eastAsia" w:ascii="Calibri" w:hAnsi="Calibri"/>
                <w:kern w:val="0"/>
                <w:sz w:val="18"/>
                <w:szCs w:val="18"/>
              </w:rPr>
              <w:br w:type="textWrapping"/>
            </w:r>
            <w:r>
              <w:rPr>
                <w:rFonts w:hint="eastAsia" w:ascii="Calibri" w:hAnsi="Calibri"/>
                <w:kern w:val="0"/>
                <w:sz w:val="18"/>
                <w:szCs w:val="18"/>
              </w:rPr>
              <w:t>2.发现一项不符合的扣1分，扣完为止。</w:t>
            </w:r>
            <w:r>
              <w:rPr>
                <w:rFonts w:hint="eastAsia" w:ascii="Calibri" w:hAnsi="Calibri"/>
                <w:kern w:val="0"/>
                <w:sz w:val="18"/>
                <w:szCs w:val="18"/>
              </w:rPr>
              <w:br w:type="textWrapping"/>
            </w:r>
            <w:r>
              <w:rPr>
                <w:rFonts w:hint="eastAsia" w:ascii="Calibri" w:hAnsi="Calibri"/>
                <w:kern w:val="0"/>
                <w:sz w:val="18"/>
                <w:szCs w:val="18"/>
              </w:rPr>
              <w:t>本指标需对照相应年度由财政部门印发的部门预算编制工作方案、通知和有关制度文件，根据实际情况评分。</w:t>
            </w:r>
          </w:p>
        </w:tc>
        <w:tc>
          <w:tcPr>
            <w:tcW w:w="610" w:type="pct"/>
            <w:vAlign w:val="center"/>
          </w:tcPr>
          <w:p>
            <w:pPr>
              <w:rPr>
                <w:rFonts w:ascii="Calibri" w:hAnsi="Calibri"/>
                <w:kern w:val="0"/>
                <w:sz w:val="18"/>
                <w:szCs w:val="18"/>
              </w:rPr>
            </w:pPr>
            <w:r>
              <w:rPr>
                <w:rFonts w:hint="eastAsia" w:ascii="Calibri" w:hAnsi="Calibri"/>
                <w:kern w:val="0"/>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rFonts w:ascii="Calibri" w:hAnsi="Calibri"/>
                <w:kern w:val="0"/>
                <w:sz w:val="18"/>
                <w:szCs w:val="18"/>
              </w:rPr>
            </w:pPr>
          </w:p>
        </w:tc>
        <w:tc>
          <w:tcPr>
            <w:tcW w:w="475" w:type="pct"/>
            <w:vMerge w:val="restart"/>
            <w:vAlign w:val="center"/>
          </w:tcPr>
          <w:p>
            <w:pPr>
              <w:rPr>
                <w:rFonts w:ascii="Calibri" w:hAnsi="Calibri"/>
                <w:kern w:val="0"/>
                <w:sz w:val="18"/>
                <w:szCs w:val="18"/>
              </w:rPr>
            </w:pPr>
            <w:r>
              <w:rPr>
                <w:rFonts w:hint="eastAsia" w:ascii="Calibri" w:hAnsi="Calibri"/>
                <w:kern w:val="0"/>
                <w:sz w:val="18"/>
                <w:szCs w:val="18"/>
              </w:rPr>
              <w:t>目标设置(15分)</w:t>
            </w:r>
          </w:p>
        </w:tc>
        <w:tc>
          <w:tcPr>
            <w:tcW w:w="517" w:type="pct"/>
            <w:vAlign w:val="center"/>
          </w:tcPr>
          <w:p>
            <w:pPr>
              <w:rPr>
                <w:rFonts w:ascii="Calibri" w:hAnsi="Calibri"/>
                <w:kern w:val="0"/>
                <w:sz w:val="18"/>
                <w:szCs w:val="18"/>
              </w:rPr>
            </w:pPr>
            <w:r>
              <w:rPr>
                <w:rFonts w:hint="eastAsia" w:ascii="Calibri" w:hAnsi="Calibri"/>
                <w:kern w:val="0"/>
                <w:sz w:val="18"/>
                <w:szCs w:val="18"/>
              </w:rPr>
              <w:t>绩效目标完整性(5分)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1.部门（单位）按要求编报部门整体绩效目标（1分）；</w:t>
            </w:r>
            <w:r>
              <w:rPr>
                <w:rFonts w:hint="eastAsia" w:ascii="Calibri" w:hAnsi="Calibri"/>
                <w:kern w:val="0"/>
                <w:sz w:val="18"/>
                <w:szCs w:val="18"/>
              </w:rPr>
              <w:br w:type="textWrapping"/>
            </w:r>
            <w:r>
              <w:rPr>
                <w:rFonts w:hint="eastAsia" w:ascii="Calibri" w:hAnsi="Calibri"/>
                <w:kern w:val="0"/>
                <w:sz w:val="18"/>
                <w:szCs w:val="18"/>
              </w:rPr>
              <w:t>2.部门（单位）按要求编制项目绩效目标（1分）；</w:t>
            </w:r>
            <w:r>
              <w:rPr>
                <w:rFonts w:hint="eastAsia" w:ascii="Calibri" w:hAnsi="Calibri"/>
                <w:kern w:val="0"/>
                <w:sz w:val="18"/>
                <w:szCs w:val="18"/>
              </w:rPr>
              <w:br w:type="textWrapping"/>
            </w:r>
            <w:r>
              <w:rPr>
                <w:rFonts w:hint="eastAsia" w:ascii="Calibri" w:hAnsi="Calibri"/>
                <w:kern w:val="0"/>
                <w:sz w:val="18"/>
                <w:szCs w:val="18"/>
              </w:rPr>
              <w:t>3.绩效目标申报内容完整，缺失一项扣1分，扣完为止（3分）。</w:t>
            </w:r>
          </w:p>
        </w:tc>
        <w:tc>
          <w:tcPr>
            <w:tcW w:w="610" w:type="pct"/>
            <w:vAlign w:val="center"/>
          </w:tcPr>
          <w:p>
            <w:pPr>
              <w:rPr>
                <w:rFonts w:ascii="Calibri" w:hAnsi="Calibri"/>
                <w:kern w:val="0"/>
                <w:sz w:val="18"/>
                <w:szCs w:val="18"/>
              </w:rPr>
            </w:pPr>
            <w:r>
              <w:rPr>
                <w:rFonts w:hint="eastAsia" w:ascii="Calibri" w:hAnsi="Calibri"/>
                <w:kern w:val="0"/>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619" w:type="pct"/>
            <w:vMerge w:val="continue"/>
            <w:vAlign w:val="center"/>
          </w:tcPr>
          <w:p>
            <w:pPr>
              <w:rPr>
                <w:rFonts w:ascii="Calibri" w:hAnsi="Calibri"/>
                <w:kern w:val="0"/>
                <w:sz w:val="18"/>
                <w:szCs w:val="18"/>
              </w:rPr>
            </w:pPr>
          </w:p>
        </w:tc>
        <w:tc>
          <w:tcPr>
            <w:tcW w:w="475" w:type="pct"/>
            <w:vMerge w:val="continue"/>
            <w:vAlign w:val="center"/>
          </w:tcPr>
          <w:p>
            <w:pPr>
              <w:rPr>
                <w:rFonts w:ascii="Calibri" w:hAnsi="Calibri"/>
                <w:kern w:val="0"/>
                <w:sz w:val="18"/>
                <w:szCs w:val="18"/>
              </w:rPr>
            </w:pPr>
          </w:p>
        </w:tc>
        <w:tc>
          <w:tcPr>
            <w:tcW w:w="517" w:type="pct"/>
            <w:vAlign w:val="center"/>
          </w:tcPr>
          <w:p>
            <w:pPr>
              <w:rPr>
                <w:rFonts w:ascii="Calibri" w:hAnsi="Calibri"/>
                <w:kern w:val="0"/>
                <w:sz w:val="18"/>
                <w:szCs w:val="18"/>
              </w:rPr>
            </w:pPr>
            <w:r>
              <w:rPr>
                <w:rFonts w:hint="eastAsia" w:ascii="Calibri" w:hAnsi="Calibri"/>
                <w:kern w:val="0"/>
                <w:sz w:val="18"/>
                <w:szCs w:val="18"/>
              </w:rPr>
              <w:t>绩效目标合理性(5分)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1.是否符合国家法律法规、国民经济和社会发展总体规划（2分）；</w:t>
            </w:r>
            <w:r>
              <w:rPr>
                <w:rFonts w:hint="eastAsia" w:ascii="Calibri" w:hAnsi="Calibri"/>
                <w:kern w:val="0"/>
                <w:sz w:val="18"/>
                <w:szCs w:val="18"/>
              </w:rPr>
              <w:br w:type="textWrapping"/>
            </w:r>
            <w:r>
              <w:rPr>
                <w:rFonts w:hint="eastAsia" w:ascii="Calibri" w:hAnsi="Calibri"/>
                <w:kern w:val="0"/>
                <w:sz w:val="18"/>
                <w:szCs w:val="18"/>
              </w:rPr>
              <w:t>2.是否符合部门“三定”方案确定的职责（2分）；</w:t>
            </w:r>
            <w:r>
              <w:rPr>
                <w:rFonts w:hint="eastAsia" w:ascii="Calibri" w:hAnsi="Calibri"/>
                <w:kern w:val="0"/>
                <w:sz w:val="18"/>
                <w:szCs w:val="18"/>
              </w:rPr>
              <w:br w:type="textWrapping"/>
            </w:r>
            <w:r>
              <w:rPr>
                <w:rFonts w:hint="eastAsia" w:ascii="Calibri" w:hAnsi="Calibri"/>
                <w:kern w:val="0"/>
                <w:sz w:val="18"/>
                <w:szCs w:val="18"/>
              </w:rPr>
              <w:t>3.是否符合区委、区政府或本部门制定的中长期实施规划（1分）。</w:t>
            </w:r>
          </w:p>
        </w:tc>
        <w:tc>
          <w:tcPr>
            <w:tcW w:w="610" w:type="pct"/>
            <w:vAlign w:val="center"/>
          </w:tcPr>
          <w:p>
            <w:pPr>
              <w:rPr>
                <w:rFonts w:ascii="Calibri" w:hAnsi="Calibri"/>
                <w:kern w:val="0"/>
                <w:sz w:val="18"/>
                <w:szCs w:val="18"/>
              </w:rPr>
            </w:pPr>
            <w:r>
              <w:rPr>
                <w:rFonts w:hint="eastAsia" w:ascii="Calibri" w:hAnsi="Calibri"/>
                <w:kern w:val="0"/>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rFonts w:ascii="Calibri" w:hAnsi="Calibri"/>
                <w:kern w:val="0"/>
                <w:sz w:val="18"/>
                <w:szCs w:val="18"/>
              </w:rPr>
            </w:pPr>
          </w:p>
        </w:tc>
        <w:tc>
          <w:tcPr>
            <w:tcW w:w="475" w:type="pct"/>
            <w:vMerge w:val="continue"/>
            <w:vAlign w:val="center"/>
          </w:tcPr>
          <w:p>
            <w:pPr>
              <w:rPr>
                <w:rFonts w:ascii="Calibri" w:hAnsi="Calibri"/>
                <w:kern w:val="0"/>
                <w:sz w:val="18"/>
                <w:szCs w:val="18"/>
              </w:rPr>
            </w:pPr>
          </w:p>
        </w:tc>
        <w:tc>
          <w:tcPr>
            <w:tcW w:w="517" w:type="pct"/>
            <w:vAlign w:val="center"/>
          </w:tcPr>
          <w:p>
            <w:pPr>
              <w:rPr>
                <w:rFonts w:ascii="Calibri" w:hAnsi="Calibri"/>
                <w:kern w:val="0"/>
                <w:sz w:val="18"/>
                <w:szCs w:val="18"/>
              </w:rPr>
            </w:pPr>
            <w:r>
              <w:rPr>
                <w:rFonts w:hint="eastAsia" w:ascii="Calibri" w:hAnsi="Calibri"/>
                <w:kern w:val="0"/>
                <w:sz w:val="18"/>
                <w:szCs w:val="18"/>
              </w:rPr>
              <w:t>绩效指标明确性(5分)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1.绩效指标将部门整体绩效目标细化分解为具体工作任务，与部门年度任务数或计划数相对应（2分）；</w:t>
            </w:r>
            <w:r>
              <w:rPr>
                <w:rFonts w:hint="eastAsia" w:ascii="Calibri" w:hAnsi="Calibri"/>
                <w:kern w:val="0"/>
                <w:sz w:val="18"/>
                <w:szCs w:val="18"/>
              </w:rPr>
              <w:br w:type="textWrapping"/>
            </w:r>
            <w:r>
              <w:rPr>
                <w:rFonts w:hint="eastAsia" w:ascii="Calibri" w:hAnsi="Calibri"/>
                <w:kern w:val="0"/>
                <w:sz w:val="18"/>
                <w:szCs w:val="18"/>
              </w:rPr>
              <w:t>2.绩效指标中包含能够明确体现部门（单位）履职效果的社会、经济、生态效益指标（2分）；</w:t>
            </w:r>
            <w:r>
              <w:rPr>
                <w:rFonts w:hint="eastAsia" w:ascii="Calibri" w:hAnsi="Calibri"/>
                <w:kern w:val="0"/>
                <w:sz w:val="18"/>
                <w:szCs w:val="18"/>
              </w:rPr>
              <w:br w:type="textWrapping"/>
            </w:r>
            <w:r>
              <w:rPr>
                <w:rFonts w:hint="eastAsia" w:ascii="Calibri" w:hAnsi="Calibri"/>
                <w:kern w:val="0"/>
                <w:sz w:val="18"/>
                <w:szCs w:val="18"/>
              </w:rPr>
              <w:t>3.绩效指标具有清晰、可衡量的指标值（1分）；</w:t>
            </w:r>
            <w:r>
              <w:rPr>
                <w:rFonts w:hint="eastAsia" w:ascii="Calibri" w:hAnsi="Calibri"/>
                <w:kern w:val="0"/>
                <w:sz w:val="18"/>
                <w:szCs w:val="18"/>
              </w:rPr>
              <w:br w:type="textWrapping"/>
            </w:r>
            <w:r>
              <w:rPr>
                <w:rFonts w:hint="eastAsia" w:ascii="Calibri" w:hAnsi="Calibri"/>
                <w:kern w:val="0"/>
                <w:sz w:val="18"/>
                <w:szCs w:val="18"/>
              </w:rPr>
              <w:t xml:space="preserve">4.绩效指标包含可量化的指标（1分）；  </w:t>
            </w:r>
            <w:r>
              <w:rPr>
                <w:rFonts w:hint="eastAsia" w:ascii="Calibri" w:hAnsi="Calibri"/>
                <w:kern w:val="0"/>
                <w:sz w:val="18"/>
                <w:szCs w:val="18"/>
              </w:rPr>
              <w:br w:type="textWrapping"/>
            </w:r>
            <w:r>
              <w:rPr>
                <w:rFonts w:hint="eastAsia" w:ascii="Calibri" w:hAnsi="Calibri"/>
                <w:kern w:val="0"/>
                <w:sz w:val="18"/>
                <w:szCs w:val="18"/>
              </w:rPr>
              <w:t>5.绩效指标目标值测算依据充分、符合客观事实（1分）。</w:t>
            </w:r>
          </w:p>
        </w:tc>
        <w:tc>
          <w:tcPr>
            <w:tcW w:w="610" w:type="pct"/>
            <w:vAlign w:val="center"/>
          </w:tcPr>
          <w:p>
            <w:pPr>
              <w:rPr>
                <w:rFonts w:ascii="Calibri" w:hAnsi="Calibri"/>
                <w:kern w:val="0"/>
                <w:sz w:val="18"/>
                <w:szCs w:val="18"/>
              </w:rPr>
            </w:pPr>
            <w:r>
              <w:rPr>
                <w:rFonts w:hint="eastAsia" w:ascii="Calibri" w:hAnsi="Calibri"/>
                <w:kern w:val="0"/>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restart"/>
            <w:vAlign w:val="center"/>
          </w:tcPr>
          <w:p>
            <w:pPr>
              <w:rPr>
                <w:rFonts w:ascii="Calibri" w:hAnsi="Calibri"/>
                <w:kern w:val="0"/>
                <w:sz w:val="18"/>
                <w:szCs w:val="18"/>
              </w:rPr>
            </w:pPr>
            <w:r>
              <w:rPr>
                <w:rFonts w:hint="eastAsia" w:ascii="Calibri" w:hAnsi="Calibri"/>
                <w:kern w:val="0"/>
                <w:sz w:val="18"/>
                <w:szCs w:val="18"/>
              </w:rPr>
              <w:t>部门管理(20分)</w:t>
            </w:r>
          </w:p>
        </w:tc>
        <w:tc>
          <w:tcPr>
            <w:tcW w:w="475" w:type="pct"/>
            <w:vMerge w:val="restart"/>
            <w:vAlign w:val="center"/>
          </w:tcPr>
          <w:p>
            <w:pPr>
              <w:rPr>
                <w:rFonts w:ascii="Calibri" w:hAnsi="Calibri"/>
                <w:kern w:val="0"/>
                <w:sz w:val="18"/>
                <w:szCs w:val="18"/>
              </w:rPr>
            </w:pPr>
            <w:r>
              <w:rPr>
                <w:rFonts w:hint="eastAsia" w:ascii="Calibri" w:hAnsi="Calibri"/>
                <w:kern w:val="0"/>
                <w:sz w:val="18"/>
                <w:szCs w:val="18"/>
              </w:rPr>
              <w:t>资金管理(8分)</w:t>
            </w:r>
          </w:p>
        </w:tc>
        <w:tc>
          <w:tcPr>
            <w:tcW w:w="517" w:type="pct"/>
            <w:vAlign w:val="center"/>
          </w:tcPr>
          <w:p>
            <w:pPr>
              <w:rPr>
                <w:rFonts w:ascii="Calibri" w:hAnsi="Calibri"/>
                <w:kern w:val="0"/>
                <w:sz w:val="18"/>
                <w:szCs w:val="18"/>
              </w:rPr>
            </w:pPr>
            <w:r>
              <w:rPr>
                <w:rFonts w:hint="eastAsia" w:ascii="Calibri" w:hAnsi="Calibri"/>
                <w:kern w:val="0"/>
                <w:sz w:val="18"/>
                <w:szCs w:val="18"/>
              </w:rPr>
              <w:t>政府采购执行情况(2分)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1.政府采购执行率得分=政府采购执行率X1分</w:t>
            </w:r>
            <w:r>
              <w:rPr>
                <w:rFonts w:hint="eastAsia" w:ascii="Calibri" w:hAnsi="Calibri"/>
                <w:kern w:val="0"/>
                <w:sz w:val="18"/>
                <w:szCs w:val="18"/>
              </w:rPr>
              <w:br w:type="textWrapping"/>
            </w:r>
            <w:r>
              <w:rPr>
                <w:rFonts w:hint="eastAsia" w:ascii="Calibri" w:hAnsi="Calibri"/>
                <w:kern w:val="0"/>
                <w:sz w:val="18"/>
                <w:szCs w:val="18"/>
              </w:rPr>
              <w:t>政府采购执行率=（实际采购金额合计数/采购计划金额合计数）X100%</w:t>
            </w:r>
            <w:r>
              <w:rPr>
                <w:rFonts w:hint="eastAsia" w:ascii="Calibri" w:hAnsi="Calibri"/>
                <w:kern w:val="0"/>
                <w:sz w:val="18"/>
                <w:szCs w:val="18"/>
              </w:rPr>
              <w:br w:type="textWrapping"/>
            </w:r>
            <w:r>
              <w:rPr>
                <w:rFonts w:hint="eastAsia" w:ascii="Calibri" w:hAnsi="Calibri"/>
                <w:kern w:val="0"/>
                <w:sz w:val="18"/>
                <w:szCs w:val="18"/>
              </w:rPr>
              <w:t>如实际采购金额大于采购计划金额，本项得0分。</w:t>
            </w:r>
            <w:r>
              <w:rPr>
                <w:rFonts w:hint="eastAsia" w:ascii="Calibri" w:hAnsi="Calibri"/>
                <w:kern w:val="0"/>
                <w:sz w:val="18"/>
                <w:szCs w:val="18"/>
              </w:rPr>
              <w:br w:type="textWrapping"/>
            </w:r>
            <w:r>
              <w:rPr>
                <w:rFonts w:hint="eastAsia" w:ascii="Calibri" w:hAnsi="Calibri"/>
                <w:kern w:val="0"/>
                <w:sz w:val="18"/>
                <w:szCs w:val="18"/>
              </w:rPr>
              <w:t>政府采购预算是指采购机关根据事业发展计划和行政任务编制的、并经过规定程序批准的年度政府采购计划。</w:t>
            </w:r>
            <w:r>
              <w:rPr>
                <w:rFonts w:hint="eastAsia" w:ascii="Calibri" w:hAnsi="Calibri"/>
                <w:kern w:val="0"/>
                <w:sz w:val="18"/>
                <w:szCs w:val="18"/>
              </w:rPr>
              <w:br w:type="textWrapping"/>
            </w:r>
            <w:r>
              <w:rPr>
                <w:rFonts w:hint="eastAsia" w:ascii="Calibri" w:hAnsi="Calibri"/>
                <w:kern w:val="0"/>
                <w:sz w:val="18"/>
                <w:szCs w:val="18"/>
              </w:rPr>
              <w:t>2.政府采购政策功能的执行和落实情况（1分），落实不到位的酌情扣分。</w:t>
            </w:r>
          </w:p>
        </w:tc>
        <w:tc>
          <w:tcPr>
            <w:tcW w:w="610" w:type="pct"/>
            <w:vAlign w:val="center"/>
          </w:tcPr>
          <w:p>
            <w:pPr>
              <w:rPr>
                <w:rFonts w:ascii="Calibri" w:hAnsi="Calibri"/>
                <w:kern w:val="0"/>
                <w:sz w:val="18"/>
                <w:szCs w:val="18"/>
                <w:highlight w:val="yellow"/>
              </w:rPr>
            </w:pPr>
            <w:r>
              <w:rPr>
                <w:rFonts w:hint="eastAsia" w:ascii="Calibri" w:hAnsi="Calibri"/>
                <w:kern w:val="0"/>
                <w:sz w:val="18"/>
                <w:szCs w:val="18"/>
                <w:highlight w:val="yellow"/>
              </w:rPr>
              <w:t>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rFonts w:ascii="Calibri" w:hAnsi="Calibri"/>
                <w:kern w:val="0"/>
                <w:sz w:val="18"/>
                <w:szCs w:val="18"/>
              </w:rPr>
            </w:pPr>
          </w:p>
        </w:tc>
        <w:tc>
          <w:tcPr>
            <w:tcW w:w="475" w:type="pct"/>
            <w:vMerge w:val="continue"/>
            <w:vAlign w:val="center"/>
          </w:tcPr>
          <w:p>
            <w:pPr>
              <w:rPr>
                <w:rFonts w:ascii="Calibri" w:hAnsi="Calibri"/>
                <w:kern w:val="0"/>
                <w:sz w:val="18"/>
                <w:szCs w:val="18"/>
              </w:rPr>
            </w:pPr>
          </w:p>
        </w:tc>
        <w:tc>
          <w:tcPr>
            <w:tcW w:w="517" w:type="pct"/>
            <w:vAlign w:val="center"/>
          </w:tcPr>
          <w:p>
            <w:pPr>
              <w:rPr>
                <w:rFonts w:ascii="Calibri" w:hAnsi="Calibri"/>
                <w:kern w:val="0"/>
                <w:sz w:val="18"/>
                <w:szCs w:val="18"/>
              </w:rPr>
            </w:pPr>
            <w:r>
              <w:rPr>
                <w:rFonts w:hint="eastAsia" w:ascii="Calibri" w:hAnsi="Calibri"/>
                <w:kern w:val="0"/>
                <w:sz w:val="18"/>
                <w:szCs w:val="18"/>
              </w:rPr>
              <w:t>财务合规性(3分)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1.资金支出规范性（1分）。资金管理、费用标准、支付符合有关制度规定，按事项完成进度支付资金的，得1分，否则酌情扣分。</w:t>
            </w:r>
            <w:r>
              <w:rPr>
                <w:rFonts w:hint="eastAsia" w:ascii="Calibri" w:hAnsi="Calibri"/>
                <w:kern w:val="0"/>
                <w:sz w:val="18"/>
                <w:szCs w:val="18"/>
              </w:rPr>
              <w:br w:type="textWrapping"/>
            </w:r>
            <w:r>
              <w:rPr>
                <w:rFonts w:hint="eastAsia" w:ascii="Calibri" w:hAnsi="Calibri"/>
                <w:kern w:val="0"/>
                <w:sz w:val="18"/>
                <w:szCs w:val="18"/>
              </w:rPr>
              <w:t>2.资金调整、调剂规范性（1分）。调整、调剂资金累计在本单位部门预算总规模10%的，得1分；超出10%的，超出一个百分点扣0.1分，直至1分扣完为止。</w:t>
            </w:r>
            <w:r>
              <w:rPr>
                <w:rFonts w:hint="eastAsia" w:ascii="Calibri" w:hAnsi="Calibri"/>
                <w:kern w:val="0"/>
                <w:sz w:val="18"/>
                <w:szCs w:val="18"/>
              </w:rPr>
              <w:br w:type="textWrapping"/>
            </w:r>
            <w:r>
              <w:rPr>
                <w:rFonts w:hint="eastAsia" w:ascii="Calibri" w:hAnsi="Calibri"/>
                <w:kern w:val="0"/>
                <w:sz w:val="18"/>
                <w:szCs w:val="18"/>
              </w:rPr>
              <w:t>3.会计核算规范性（1分）。规范执行会计核算制度得1分，未按规定设专账核算、支出凭证不符合规定或其他核算不规范，酌情扣分。</w:t>
            </w:r>
            <w:r>
              <w:rPr>
                <w:rFonts w:hint="eastAsia" w:ascii="Calibri" w:hAnsi="Calibri"/>
                <w:kern w:val="0"/>
                <w:sz w:val="18"/>
                <w:szCs w:val="18"/>
              </w:rPr>
              <w:br w:type="textWrapping"/>
            </w:r>
            <w:r>
              <w:rPr>
                <w:rFonts w:hint="eastAsia" w:ascii="Calibri" w:hAnsi="Calibri"/>
                <w:kern w:val="0"/>
                <w:sz w:val="18"/>
                <w:szCs w:val="18"/>
              </w:rPr>
              <w:t>4.发生超范围、超标准支出，虚列支出，截留、挤占、挪用资金的，以及其他不符合制度规定支出，本项指标得0分。</w:t>
            </w:r>
          </w:p>
        </w:tc>
        <w:tc>
          <w:tcPr>
            <w:tcW w:w="610" w:type="pct"/>
            <w:vAlign w:val="center"/>
          </w:tcPr>
          <w:p>
            <w:pPr>
              <w:rPr>
                <w:rFonts w:ascii="Calibri" w:hAnsi="Calibri"/>
                <w:kern w:val="0"/>
                <w:sz w:val="18"/>
                <w:szCs w:val="18"/>
              </w:rPr>
            </w:pPr>
            <w:r>
              <w:rPr>
                <w:rFonts w:hint="eastAsia" w:ascii="Calibri" w:hAnsi="Calibri"/>
                <w:kern w:val="0"/>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619" w:type="pct"/>
            <w:vMerge w:val="continue"/>
            <w:vAlign w:val="center"/>
          </w:tcPr>
          <w:p>
            <w:pPr>
              <w:rPr>
                <w:rFonts w:ascii="Calibri" w:hAnsi="Calibri"/>
                <w:kern w:val="0"/>
                <w:sz w:val="18"/>
                <w:szCs w:val="18"/>
              </w:rPr>
            </w:pPr>
          </w:p>
        </w:tc>
        <w:tc>
          <w:tcPr>
            <w:tcW w:w="475" w:type="pct"/>
            <w:vMerge w:val="continue"/>
            <w:vAlign w:val="center"/>
          </w:tcPr>
          <w:p>
            <w:pPr>
              <w:rPr>
                <w:rFonts w:ascii="Calibri" w:hAnsi="Calibri"/>
                <w:kern w:val="0"/>
                <w:sz w:val="18"/>
                <w:szCs w:val="18"/>
              </w:rPr>
            </w:pPr>
          </w:p>
        </w:tc>
        <w:tc>
          <w:tcPr>
            <w:tcW w:w="517" w:type="pct"/>
            <w:vAlign w:val="center"/>
          </w:tcPr>
          <w:p>
            <w:pPr>
              <w:rPr>
                <w:rFonts w:ascii="Calibri" w:hAnsi="Calibri"/>
                <w:kern w:val="0"/>
                <w:sz w:val="18"/>
                <w:szCs w:val="18"/>
              </w:rPr>
            </w:pPr>
            <w:r>
              <w:rPr>
                <w:rFonts w:hint="eastAsia" w:ascii="Calibri" w:hAnsi="Calibri"/>
                <w:kern w:val="0"/>
                <w:sz w:val="18"/>
                <w:szCs w:val="18"/>
              </w:rPr>
              <w:t>预决算信息公开(3分)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1.部门预算公开（1.5分），按以下标准分档计分；</w:t>
            </w:r>
            <w:r>
              <w:rPr>
                <w:rFonts w:hint="eastAsia" w:ascii="Calibri" w:hAnsi="Calibri"/>
                <w:kern w:val="0"/>
                <w:sz w:val="18"/>
                <w:szCs w:val="18"/>
              </w:rPr>
              <w:br w:type="textWrapping"/>
            </w:r>
            <w:r>
              <w:rPr>
                <w:rFonts w:hint="eastAsia" w:ascii="Calibri" w:hAnsi="Calibri"/>
                <w:kern w:val="0"/>
                <w:sz w:val="18"/>
                <w:szCs w:val="18"/>
              </w:rPr>
              <w:t>（1）按规定内容、时限、范围等各项要求进行公开的，得1.5分。</w:t>
            </w:r>
            <w:r>
              <w:rPr>
                <w:rFonts w:hint="eastAsia" w:ascii="Calibri" w:hAnsi="Calibri"/>
                <w:kern w:val="0"/>
                <w:sz w:val="18"/>
                <w:szCs w:val="18"/>
              </w:rPr>
              <w:br w:type="textWrapping"/>
            </w:r>
            <w:r>
              <w:rPr>
                <w:rFonts w:hint="eastAsia" w:ascii="Calibri" w:hAnsi="Calibri"/>
                <w:kern w:val="0"/>
                <w:sz w:val="18"/>
                <w:szCs w:val="18"/>
              </w:rPr>
              <w:t>（2）进行了公开，存在不符合时限、内容、范围等要求的，得1分。</w:t>
            </w:r>
            <w:r>
              <w:rPr>
                <w:rFonts w:hint="eastAsia" w:ascii="Calibri" w:hAnsi="Calibri"/>
                <w:kern w:val="0"/>
                <w:sz w:val="18"/>
                <w:szCs w:val="18"/>
              </w:rPr>
              <w:br w:type="textWrapping"/>
            </w:r>
            <w:r>
              <w:rPr>
                <w:rFonts w:hint="eastAsia" w:ascii="Calibri" w:hAnsi="Calibri"/>
                <w:kern w:val="0"/>
                <w:sz w:val="18"/>
                <w:szCs w:val="18"/>
              </w:rPr>
              <w:t>（3）没有进行公开的，得0分。</w:t>
            </w:r>
            <w:r>
              <w:rPr>
                <w:rFonts w:hint="eastAsia" w:ascii="Calibri" w:hAnsi="Calibri"/>
                <w:kern w:val="0"/>
                <w:sz w:val="18"/>
                <w:szCs w:val="18"/>
              </w:rPr>
              <w:br w:type="textWrapping"/>
            </w:r>
            <w:r>
              <w:rPr>
                <w:rFonts w:hint="eastAsia" w:ascii="Calibri" w:hAnsi="Calibri"/>
                <w:kern w:val="0"/>
                <w:sz w:val="18"/>
                <w:szCs w:val="18"/>
              </w:rPr>
              <w:t>2.部门决算公开（1.5分），按一下标准分档计分；</w:t>
            </w:r>
            <w:r>
              <w:rPr>
                <w:rFonts w:hint="eastAsia" w:ascii="Calibri" w:hAnsi="Calibri"/>
                <w:kern w:val="0"/>
                <w:sz w:val="18"/>
                <w:szCs w:val="18"/>
              </w:rPr>
              <w:br w:type="textWrapping"/>
            </w:r>
            <w:r>
              <w:rPr>
                <w:rFonts w:hint="eastAsia" w:ascii="Calibri" w:hAnsi="Calibri"/>
                <w:kern w:val="0"/>
                <w:sz w:val="18"/>
                <w:szCs w:val="18"/>
              </w:rPr>
              <w:t>（1）按规定内容、时限、范围等各项要求进行公开的，得1.5分。</w:t>
            </w:r>
            <w:r>
              <w:rPr>
                <w:rFonts w:hint="eastAsia" w:ascii="Calibri" w:hAnsi="Calibri"/>
                <w:kern w:val="0"/>
                <w:sz w:val="18"/>
                <w:szCs w:val="18"/>
              </w:rPr>
              <w:br w:type="textWrapping"/>
            </w:r>
            <w:r>
              <w:rPr>
                <w:rFonts w:hint="eastAsia" w:ascii="Calibri" w:hAnsi="Calibri"/>
                <w:kern w:val="0"/>
                <w:sz w:val="18"/>
                <w:szCs w:val="18"/>
              </w:rPr>
              <w:t>（2）进行了公开，存在不符合时限、内容、范围等要求的，得1分。</w:t>
            </w:r>
            <w:r>
              <w:rPr>
                <w:rFonts w:hint="eastAsia" w:ascii="Calibri" w:hAnsi="Calibri"/>
                <w:kern w:val="0"/>
                <w:sz w:val="18"/>
                <w:szCs w:val="18"/>
              </w:rPr>
              <w:br w:type="textWrapping"/>
            </w:r>
            <w:r>
              <w:rPr>
                <w:rFonts w:hint="eastAsia" w:ascii="Calibri" w:hAnsi="Calibri"/>
                <w:kern w:val="0"/>
                <w:sz w:val="18"/>
                <w:szCs w:val="18"/>
              </w:rPr>
              <w:t>（3）没有进行公开的，得0分。</w:t>
            </w:r>
            <w:r>
              <w:rPr>
                <w:rFonts w:hint="eastAsia" w:ascii="Calibri" w:hAnsi="Calibri"/>
                <w:kern w:val="0"/>
                <w:sz w:val="18"/>
                <w:szCs w:val="18"/>
              </w:rPr>
              <w:br w:type="textWrapping"/>
            </w:r>
            <w:r>
              <w:rPr>
                <w:rFonts w:hint="eastAsia" w:ascii="Calibri" w:hAnsi="Calibri"/>
                <w:kern w:val="0"/>
                <w:sz w:val="18"/>
                <w:szCs w:val="18"/>
              </w:rPr>
              <w:t>3.涉密部门（单位）按规定不需要公开相关预决算信息的直接得分。</w:t>
            </w:r>
          </w:p>
        </w:tc>
        <w:tc>
          <w:tcPr>
            <w:tcW w:w="610" w:type="pct"/>
            <w:vAlign w:val="center"/>
          </w:tcPr>
          <w:p>
            <w:pPr>
              <w:rPr>
                <w:rFonts w:ascii="Calibri" w:hAnsi="Calibri"/>
                <w:kern w:val="0"/>
                <w:sz w:val="18"/>
                <w:szCs w:val="18"/>
              </w:rPr>
            </w:pPr>
            <w:r>
              <w:rPr>
                <w:rFonts w:hint="eastAsia" w:ascii="Calibri" w:hAnsi="Calibri"/>
                <w:kern w:val="0"/>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19" w:type="pct"/>
            <w:vMerge w:val="continue"/>
            <w:vAlign w:val="center"/>
          </w:tcPr>
          <w:p>
            <w:pPr>
              <w:rPr>
                <w:rFonts w:ascii="Calibri" w:hAnsi="Calibri"/>
                <w:kern w:val="0"/>
                <w:sz w:val="18"/>
                <w:szCs w:val="18"/>
              </w:rPr>
            </w:pPr>
          </w:p>
        </w:tc>
        <w:tc>
          <w:tcPr>
            <w:tcW w:w="475" w:type="pct"/>
            <w:vMerge w:val="restart"/>
            <w:vAlign w:val="center"/>
          </w:tcPr>
          <w:p>
            <w:pPr>
              <w:rPr>
                <w:rFonts w:ascii="Calibri" w:hAnsi="Calibri"/>
                <w:kern w:val="0"/>
                <w:sz w:val="18"/>
                <w:szCs w:val="18"/>
              </w:rPr>
            </w:pPr>
            <w:r>
              <w:rPr>
                <w:rFonts w:hint="eastAsia" w:ascii="Calibri" w:hAnsi="Calibri"/>
                <w:kern w:val="0"/>
                <w:sz w:val="18"/>
                <w:szCs w:val="18"/>
              </w:rPr>
              <w:t>项目管理(4分)</w:t>
            </w:r>
          </w:p>
        </w:tc>
        <w:tc>
          <w:tcPr>
            <w:tcW w:w="517" w:type="pct"/>
            <w:vAlign w:val="center"/>
          </w:tcPr>
          <w:p>
            <w:pPr>
              <w:rPr>
                <w:rFonts w:ascii="Calibri" w:hAnsi="Calibri"/>
                <w:kern w:val="0"/>
                <w:sz w:val="18"/>
                <w:szCs w:val="18"/>
              </w:rPr>
            </w:pPr>
            <w:r>
              <w:rPr>
                <w:rFonts w:hint="eastAsia" w:ascii="Calibri" w:hAnsi="Calibri"/>
                <w:kern w:val="0"/>
                <w:sz w:val="18"/>
                <w:szCs w:val="18"/>
              </w:rPr>
              <w:t>项目实施程序(2分)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1.项目的设立、调整按规定履行报批程序（1分）；</w:t>
            </w:r>
            <w:r>
              <w:rPr>
                <w:rFonts w:hint="eastAsia" w:ascii="Calibri" w:hAnsi="Calibri"/>
                <w:kern w:val="0"/>
                <w:sz w:val="18"/>
                <w:szCs w:val="18"/>
              </w:rPr>
              <w:br w:type="textWrapping"/>
            </w:r>
            <w:r>
              <w:rPr>
                <w:rFonts w:hint="eastAsia" w:ascii="Calibri" w:hAnsi="Calibri"/>
                <w:kern w:val="0"/>
                <w:sz w:val="18"/>
                <w:szCs w:val="18"/>
              </w:rPr>
              <w:t>2.项目招投标、建设、验收以及方案实施均严格执行相关制度规定（1分）。</w:t>
            </w:r>
          </w:p>
        </w:tc>
        <w:tc>
          <w:tcPr>
            <w:tcW w:w="610" w:type="pct"/>
            <w:vAlign w:val="center"/>
          </w:tcPr>
          <w:p>
            <w:pPr>
              <w:rPr>
                <w:rFonts w:ascii="Calibri" w:hAnsi="Calibri"/>
                <w:kern w:val="0"/>
                <w:sz w:val="18"/>
                <w:szCs w:val="18"/>
              </w:rPr>
            </w:pPr>
            <w:r>
              <w:rPr>
                <w:rFonts w:hint="eastAsia" w:ascii="Calibri" w:hAnsi="Calibri"/>
                <w:kern w:val="0"/>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619" w:type="pct"/>
            <w:vMerge w:val="continue"/>
            <w:vAlign w:val="center"/>
          </w:tcPr>
          <w:p>
            <w:pPr>
              <w:rPr>
                <w:rFonts w:ascii="Calibri" w:hAnsi="Calibri"/>
                <w:kern w:val="0"/>
                <w:sz w:val="18"/>
                <w:szCs w:val="18"/>
              </w:rPr>
            </w:pPr>
          </w:p>
        </w:tc>
        <w:tc>
          <w:tcPr>
            <w:tcW w:w="475" w:type="pct"/>
            <w:vMerge w:val="continue"/>
            <w:vAlign w:val="center"/>
          </w:tcPr>
          <w:p>
            <w:pPr>
              <w:rPr>
                <w:rFonts w:ascii="Calibri" w:hAnsi="Calibri"/>
                <w:kern w:val="0"/>
                <w:sz w:val="18"/>
                <w:szCs w:val="18"/>
              </w:rPr>
            </w:pPr>
          </w:p>
        </w:tc>
        <w:tc>
          <w:tcPr>
            <w:tcW w:w="517" w:type="pct"/>
            <w:vAlign w:val="center"/>
          </w:tcPr>
          <w:p>
            <w:pPr>
              <w:rPr>
                <w:rFonts w:ascii="Calibri" w:hAnsi="Calibri"/>
                <w:kern w:val="0"/>
                <w:sz w:val="18"/>
                <w:szCs w:val="18"/>
              </w:rPr>
            </w:pPr>
            <w:r>
              <w:rPr>
                <w:rFonts w:hint="eastAsia" w:ascii="Calibri" w:hAnsi="Calibri"/>
                <w:kern w:val="0"/>
                <w:sz w:val="18"/>
                <w:szCs w:val="18"/>
              </w:rPr>
              <w:t>项目监管(2分)</w:t>
            </w:r>
          </w:p>
        </w:tc>
        <w:tc>
          <w:tcPr>
            <w:tcW w:w="2780" w:type="pct"/>
            <w:gridSpan w:val="3"/>
            <w:vAlign w:val="center"/>
          </w:tcPr>
          <w:p>
            <w:pPr>
              <w:rPr>
                <w:rFonts w:ascii="Calibri" w:hAnsi="Calibri"/>
                <w:kern w:val="0"/>
                <w:sz w:val="18"/>
                <w:szCs w:val="18"/>
                <w:highlight w:val="yellow"/>
              </w:rPr>
            </w:pPr>
            <w:r>
              <w:rPr>
                <w:rFonts w:hint="eastAsia" w:ascii="Calibri" w:hAnsi="Calibri"/>
                <w:kern w:val="0"/>
                <w:sz w:val="18"/>
                <w:szCs w:val="18"/>
                <w:highlight w:val="yellow"/>
              </w:rPr>
              <w:t>1.资金使用单位、基层资金管理单位建立有效资金管理和绩效运行监控机制，且执行情况良好（1分）；</w:t>
            </w:r>
            <w:r>
              <w:rPr>
                <w:rFonts w:hint="eastAsia" w:ascii="Calibri" w:hAnsi="Calibri"/>
                <w:kern w:val="0"/>
                <w:sz w:val="18"/>
                <w:szCs w:val="18"/>
                <w:highlight w:val="yellow"/>
              </w:rPr>
              <w:br w:type="textWrapping"/>
            </w:r>
            <w:r>
              <w:rPr>
                <w:rFonts w:hint="eastAsia" w:ascii="Calibri" w:hAnsi="Calibri"/>
                <w:kern w:val="0"/>
                <w:sz w:val="18"/>
                <w:szCs w:val="18"/>
                <w:highlight w:val="yellow"/>
              </w:rPr>
              <w:t>2.各主管部门按规定对主管的财政资金（含专项资金和专项经费）开展有效的检查、监控、督促整改（1分），如无法提供开展检查监督相关证明材料，或被评价年度部门主管的专项资金绩效评价结果为差的，得0分。</w:t>
            </w:r>
          </w:p>
        </w:tc>
        <w:tc>
          <w:tcPr>
            <w:tcW w:w="610" w:type="pct"/>
            <w:vAlign w:val="center"/>
          </w:tcPr>
          <w:p>
            <w:pPr>
              <w:rPr>
                <w:rFonts w:ascii="Calibri" w:hAnsi="Calibri"/>
                <w:kern w:val="0"/>
                <w:sz w:val="18"/>
                <w:szCs w:val="18"/>
                <w:highlight w:val="yellow"/>
              </w:rPr>
            </w:pPr>
            <w:r>
              <w:rPr>
                <w:rFonts w:hint="eastAsia" w:ascii="Calibri" w:hAnsi="Calibri"/>
                <w:kern w:val="0"/>
                <w:sz w:val="18"/>
                <w:szCs w:val="18"/>
                <w:highlight w:val="yellow"/>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trPr>
        <w:tc>
          <w:tcPr>
            <w:tcW w:w="619" w:type="pct"/>
            <w:vMerge w:val="continue"/>
            <w:vAlign w:val="center"/>
          </w:tcPr>
          <w:p>
            <w:pPr>
              <w:rPr>
                <w:rFonts w:ascii="Calibri" w:hAnsi="Calibri"/>
                <w:kern w:val="0"/>
                <w:sz w:val="18"/>
                <w:szCs w:val="18"/>
              </w:rPr>
            </w:pPr>
          </w:p>
        </w:tc>
        <w:tc>
          <w:tcPr>
            <w:tcW w:w="475" w:type="pct"/>
            <w:vMerge w:val="restart"/>
            <w:vAlign w:val="center"/>
          </w:tcPr>
          <w:p>
            <w:pPr>
              <w:rPr>
                <w:rFonts w:ascii="Calibri" w:hAnsi="Calibri"/>
                <w:kern w:val="0"/>
                <w:sz w:val="18"/>
                <w:szCs w:val="18"/>
              </w:rPr>
            </w:pPr>
            <w:r>
              <w:rPr>
                <w:rFonts w:hint="eastAsia" w:ascii="Calibri" w:hAnsi="Calibri"/>
                <w:kern w:val="0"/>
                <w:sz w:val="18"/>
                <w:szCs w:val="18"/>
              </w:rPr>
              <w:t>资产管理(3分)</w:t>
            </w:r>
          </w:p>
        </w:tc>
        <w:tc>
          <w:tcPr>
            <w:tcW w:w="517" w:type="pct"/>
            <w:vAlign w:val="center"/>
          </w:tcPr>
          <w:p>
            <w:pPr>
              <w:rPr>
                <w:rFonts w:ascii="Calibri" w:hAnsi="Calibri"/>
                <w:kern w:val="0"/>
                <w:sz w:val="18"/>
                <w:szCs w:val="18"/>
              </w:rPr>
            </w:pPr>
            <w:r>
              <w:rPr>
                <w:rFonts w:hint="eastAsia" w:ascii="Calibri" w:hAnsi="Calibri"/>
                <w:kern w:val="0"/>
                <w:sz w:val="18"/>
                <w:szCs w:val="18"/>
              </w:rPr>
              <w:t>资产管理安全性(2分)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1.资产配置合理、保存完整，账实相符（1分）；</w:t>
            </w:r>
            <w:r>
              <w:rPr>
                <w:rFonts w:hint="eastAsia" w:ascii="Calibri" w:hAnsi="Calibri"/>
                <w:kern w:val="0"/>
                <w:sz w:val="18"/>
                <w:szCs w:val="18"/>
              </w:rPr>
              <w:br w:type="textWrapping"/>
            </w:r>
            <w:r>
              <w:rPr>
                <w:rFonts w:hint="eastAsia" w:ascii="Calibri" w:hAnsi="Calibri"/>
                <w:kern w:val="0"/>
                <w:sz w:val="18"/>
                <w:szCs w:val="18"/>
              </w:rPr>
              <w:t>2.资产处置规范，有偿使用及处置收入及时足额上缴（1分）。</w:t>
            </w:r>
          </w:p>
        </w:tc>
        <w:tc>
          <w:tcPr>
            <w:tcW w:w="610" w:type="pct"/>
            <w:vAlign w:val="center"/>
          </w:tcPr>
          <w:p>
            <w:pPr>
              <w:rPr>
                <w:rFonts w:ascii="Calibri" w:hAnsi="Calibri"/>
                <w:kern w:val="0"/>
                <w:sz w:val="18"/>
                <w:szCs w:val="18"/>
              </w:rPr>
            </w:pPr>
            <w:r>
              <w:rPr>
                <w:rFonts w:hint="eastAsia" w:ascii="Calibri" w:hAnsi="Calibri"/>
                <w:kern w:val="0"/>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rFonts w:ascii="Calibri" w:hAnsi="Calibri"/>
                <w:kern w:val="0"/>
                <w:sz w:val="18"/>
                <w:szCs w:val="18"/>
              </w:rPr>
            </w:pPr>
          </w:p>
        </w:tc>
        <w:tc>
          <w:tcPr>
            <w:tcW w:w="475" w:type="pct"/>
            <w:vMerge w:val="continue"/>
            <w:vAlign w:val="center"/>
          </w:tcPr>
          <w:p>
            <w:pPr>
              <w:rPr>
                <w:rFonts w:ascii="Calibri" w:hAnsi="Calibri"/>
                <w:kern w:val="0"/>
                <w:sz w:val="18"/>
                <w:szCs w:val="18"/>
              </w:rPr>
            </w:pPr>
          </w:p>
        </w:tc>
        <w:tc>
          <w:tcPr>
            <w:tcW w:w="517" w:type="pct"/>
            <w:vAlign w:val="center"/>
          </w:tcPr>
          <w:p>
            <w:pPr>
              <w:rPr>
                <w:rFonts w:ascii="Calibri" w:hAnsi="Calibri"/>
                <w:kern w:val="0"/>
                <w:sz w:val="18"/>
                <w:szCs w:val="18"/>
              </w:rPr>
            </w:pPr>
            <w:r>
              <w:rPr>
                <w:rFonts w:hint="eastAsia" w:ascii="Calibri" w:hAnsi="Calibri"/>
                <w:kern w:val="0"/>
                <w:sz w:val="18"/>
                <w:szCs w:val="18"/>
              </w:rPr>
              <w:t>固定资产利用率(1分)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固定资产利用率=（实际在用固定资产总额/所有固定资产总额）X100%</w:t>
            </w:r>
            <w:r>
              <w:rPr>
                <w:rFonts w:hint="eastAsia" w:ascii="Calibri" w:hAnsi="Calibri"/>
                <w:kern w:val="0"/>
                <w:sz w:val="18"/>
                <w:szCs w:val="18"/>
              </w:rPr>
              <w:br w:type="textWrapping"/>
            </w:r>
            <w:r>
              <w:rPr>
                <w:rFonts w:hint="eastAsia" w:ascii="Calibri" w:hAnsi="Calibri"/>
                <w:kern w:val="0"/>
                <w:sz w:val="18"/>
                <w:szCs w:val="18"/>
              </w:rPr>
              <w:t>1.固定资产利用率≥90%的，得1分；</w:t>
            </w:r>
            <w:r>
              <w:rPr>
                <w:rFonts w:hint="eastAsia" w:ascii="Calibri" w:hAnsi="Calibri"/>
                <w:kern w:val="0"/>
                <w:sz w:val="18"/>
                <w:szCs w:val="18"/>
              </w:rPr>
              <w:br w:type="textWrapping"/>
            </w:r>
            <w:r>
              <w:rPr>
                <w:rFonts w:hint="eastAsia" w:ascii="Calibri" w:hAnsi="Calibri"/>
                <w:kern w:val="0"/>
                <w:sz w:val="18"/>
                <w:szCs w:val="18"/>
              </w:rPr>
              <w:t>2.90%＞固定资产利用率≥75%的，得0.7分；</w:t>
            </w:r>
            <w:r>
              <w:rPr>
                <w:rFonts w:hint="eastAsia" w:ascii="Calibri" w:hAnsi="Calibri"/>
                <w:kern w:val="0"/>
                <w:sz w:val="18"/>
                <w:szCs w:val="18"/>
              </w:rPr>
              <w:br w:type="textWrapping"/>
            </w:r>
            <w:r>
              <w:rPr>
                <w:rFonts w:hint="eastAsia" w:ascii="Calibri" w:hAnsi="Calibri"/>
                <w:kern w:val="0"/>
                <w:sz w:val="18"/>
                <w:szCs w:val="18"/>
              </w:rPr>
              <w:t>3.75%＞固定资产利用率≥60%的，得0.4分；</w:t>
            </w:r>
            <w:r>
              <w:rPr>
                <w:rFonts w:hint="eastAsia" w:ascii="Calibri" w:hAnsi="Calibri"/>
                <w:kern w:val="0"/>
                <w:sz w:val="18"/>
                <w:szCs w:val="18"/>
              </w:rPr>
              <w:br w:type="textWrapping"/>
            </w:r>
            <w:r>
              <w:rPr>
                <w:rFonts w:hint="eastAsia" w:ascii="Calibri" w:hAnsi="Calibri"/>
                <w:kern w:val="0"/>
                <w:sz w:val="18"/>
                <w:szCs w:val="18"/>
              </w:rPr>
              <w:t>4.固定资产利用率&lt;60%的，得0分。</w:t>
            </w:r>
          </w:p>
        </w:tc>
        <w:tc>
          <w:tcPr>
            <w:tcW w:w="610" w:type="pct"/>
            <w:vAlign w:val="center"/>
          </w:tcPr>
          <w:p>
            <w:pPr>
              <w:rPr>
                <w:rFonts w:ascii="Calibri" w:hAnsi="Calibri"/>
                <w:kern w:val="0"/>
                <w:sz w:val="18"/>
                <w:szCs w:val="18"/>
              </w:rPr>
            </w:pPr>
            <w:r>
              <w:rPr>
                <w:rFonts w:hint="eastAsia" w:ascii="Calibri" w:hAnsi="Calibri"/>
                <w:kern w:val="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619" w:type="pct"/>
            <w:vMerge w:val="continue"/>
            <w:vAlign w:val="center"/>
          </w:tcPr>
          <w:p>
            <w:pPr>
              <w:rPr>
                <w:rFonts w:ascii="Calibri" w:hAnsi="Calibri"/>
                <w:kern w:val="0"/>
                <w:sz w:val="18"/>
                <w:szCs w:val="18"/>
              </w:rPr>
            </w:pPr>
          </w:p>
        </w:tc>
        <w:tc>
          <w:tcPr>
            <w:tcW w:w="475" w:type="pct"/>
            <w:vMerge w:val="restart"/>
            <w:vAlign w:val="center"/>
          </w:tcPr>
          <w:p>
            <w:pPr>
              <w:rPr>
                <w:rFonts w:ascii="Calibri" w:hAnsi="Calibri"/>
                <w:kern w:val="0"/>
                <w:sz w:val="18"/>
                <w:szCs w:val="18"/>
              </w:rPr>
            </w:pPr>
            <w:r>
              <w:rPr>
                <w:rFonts w:hint="eastAsia" w:ascii="Calibri" w:hAnsi="Calibri"/>
                <w:kern w:val="0"/>
                <w:sz w:val="18"/>
                <w:szCs w:val="18"/>
              </w:rPr>
              <w:t>人员管理(2分)</w:t>
            </w:r>
          </w:p>
        </w:tc>
        <w:tc>
          <w:tcPr>
            <w:tcW w:w="517" w:type="pct"/>
            <w:vAlign w:val="center"/>
          </w:tcPr>
          <w:p>
            <w:pPr>
              <w:rPr>
                <w:rFonts w:ascii="Calibri" w:hAnsi="Calibri"/>
                <w:kern w:val="0"/>
                <w:sz w:val="18"/>
                <w:szCs w:val="18"/>
              </w:rPr>
            </w:pPr>
            <w:r>
              <w:rPr>
                <w:rFonts w:hint="eastAsia" w:ascii="Calibri" w:hAnsi="Calibri"/>
                <w:kern w:val="0"/>
                <w:sz w:val="18"/>
                <w:szCs w:val="18"/>
              </w:rPr>
              <w:t>财政供养人员控制率(1分)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财政供养人员控制率=本年度在编人数（含工勤人员）/核定编制数（含工勤人员）</w:t>
            </w:r>
            <w:r>
              <w:rPr>
                <w:rFonts w:hint="eastAsia" w:ascii="Calibri" w:hAnsi="Calibri"/>
                <w:kern w:val="0"/>
                <w:sz w:val="18"/>
                <w:szCs w:val="18"/>
              </w:rPr>
              <w:br w:type="textWrapping"/>
            </w:r>
            <w:r>
              <w:rPr>
                <w:rFonts w:hint="eastAsia" w:ascii="Calibri" w:hAnsi="Calibri"/>
                <w:kern w:val="0"/>
                <w:sz w:val="18"/>
                <w:szCs w:val="18"/>
              </w:rPr>
              <w:t>1.财政供养人员控制率≤100%的，得1分；</w:t>
            </w:r>
            <w:r>
              <w:rPr>
                <w:rFonts w:hint="eastAsia" w:ascii="Calibri" w:hAnsi="Calibri"/>
                <w:kern w:val="0"/>
                <w:sz w:val="18"/>
                <w:szCs w:val="18"/>
              </w:rPr>
              <w:br w:type="textWrapping"/>
            </w:r>
            <w:r>
              <w:rPr>
                <w:rFonts w:hint="eastAsia" w:ascii="Calibri" w:hAnsi="Calibri"/>
                <w:kern w:val="0"/>
                <w:sz w:val="18"/>
                <w:szCs w:val="18"/>
              </w:rPr>
              <w:t>2.财政供养人员控制率＞100%的，得0分。</w:t>
            </w:r>
          </w:p>
        </w:tc>
        <w:tc>
          <w:tcPr>
            <w:tcW w:w="610" w:type="pct"/>
            <w:vAlign w:val="center"/>
          </w:tcPr>
          <w:p>
            <w:pPr>
              <w:rPr>
                <w:rFonts w:ascii="Calibri" w:hAnsi="Calibri"/>
                <w:kern w:val="0"/>
                <w:sz w:val="18"/>
                <w:szCs w:val="18"/>
              </w:rPr>
            </w:pPr>
            <w:r>
              <w:rPr>
                <w:rFonts w:hint="eastAsia" w:ascii="Calibri" w:hAnsi="Calibri"/>
                <w:kern w:val="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rFonts w:ascii="Calibri" w:hAnsi="Calibri"/>
                <w:kern w:val="0"/>
                <w:sz w:val="18"/>
                <w:szCs w:val="18"/>
              </w:rPr>
            </w:pPr>
          </w:p>
        </w:tc>
        <w:tc>
          <w:tcPr>
            <w:tcW w:w="475" w:type="pct"/>
            <w:vMerge w:val="continue"/>
            <w:vAlign w:val="center"/>
          </w:tcPr>
          <w:p>
            <w:pPr>
              <w:rPr>
                <w:rFonts w:ascii="Calibri" w:hAnsi="Calibri"/>
                <w:kern w:val="0"/>
                <w:sz w:val="18"/>
                <w:szCs w:val="18"/>
              </w:rPr>
            </w:pPr>
          </w:p>
        </w:tc>
        <w:tc>
          <w:tcPr>
            <w:tcW w:w="517" w:type="pct"/>
            <w:vAlign w:val="center"/>
          </w:tcPr>
          <w:p>
            <w:pPr>
              <w:rPr>
                <w:rFonts w:ascii="Calibri" w:hAnsi="Calibri"/>
                <w:kern w:val="0"/>
                <w:sz w:val="18"/>
                <w:szCs w:val="18"/>
              </w:rPr>
            </w:pPr>
            <w:r>
              <w:rPr>
                <w:rFonts w:hint="eastAsia" w:ascii="Calibri" w:hAnsi="Calibri"/>
                <w:kern w:val="0"/>
                <w:sz w:val="18"/>
                <w:szCs w:val="18"/>
              </w:rPr>
              <w:t>编外人员控制率(1分)</w:t>
            </w:r>
          </w:p>
        </w:tc>
        <w:tc>
          <w:tcPr>
            <w:tcW w:w="2780" w:type="pct"/>
            <w:gridSpan w:val="3"/>
            <w:vAlign w:val="center"/>
          </w:tcPr>
          <w:p>
            <w:pPr>
              <w:rPr>
                <w:rFonts w:ascii="Calibri" w:hAnsi="Calibri"/>
                <w:kern w:val="0"/>
                <w:sz w:val="18"/>
                <w:szCs w:val="18"/>
                <w:highlight w:val="none"/>
              </w:rPr>
            </w:pPr>
            <w:r>
              <w:rPr>
                <w:rFonts w:hint="eastAsia" w:ascii="Calibri" w:hAnsi="Calibri"/>
                <w:kern w:val="0"/>
                <w:sz w:val="18"/>
                <w:szCs w:val="18"/>
                <w:highlight w:val="none"/>
              </w:rPr>
              <w:t>1.比率＜5%的，得1分；</w:t>
            </w:r>
            <w:r>
              <w:rPr>
                <w:rFonts w:hint="eastAsia" w:ascii="Calibri" w:hAnsi="Calibri"/>
                <w:kern w:val="0"/>
                <w:sz w:val="18"/>
                <w:szCs w:val="18"/>
                <w:highlight w:val="none"/>
              </w:rPr>
              <w:br w:type="textWrapping"/>
            </w:r>
            <w:r>
              <w:rPr>
                <w:rFonts w:hint="eastAsia" w:ascii="Calibri" w:hAnsi="Calibri"/>
                <w:kern w:val="0"/>
                <w:sz w:val="18"/>
                <w:szCs w:val="18"/>
                <w:highlight w:val="none"/>
              </w:rPr>
              <w:t>2.5%≤比率≤10%的，得0.5分；</w:t>
            </w:r>
            <w:r>
              <w:rPr>
                <w:rFonts w:hint="eastAsia" w:ascii="Calibri" w:hAnsi="Calibri"/>
                <w:kern w:val="0"/>
                <w:sz w:val="18"/>
                <w:szCs w:val="18"/>
                <w:highlight w:val="none"/>
              </w:rPr>
              <w:br w:type="textWrapping"/>
            </w:r>
            <w:r>
              <w:rPr>
                <w:rFonts w:hint="eastAsia" w:ascii="Calibri" w:hAnsi="Calibri"/>
                <w:kern w:val="0"/>
                <w:sz w:val="18"/>
                <w:szCs w:val="18"/>
                <w:highlight w:val="none"/>
              </w:rPr>
              <w:t>3.比率＞10%的，得0分。</w:t>
            </w:r>
          </w:p>
        </w:tc>
        <w:tc>
          <w:tcPr>
            <w:tcW w:w="610" w:type="pct"/>
            <w:vAlign w:val="center"/>
          </w:tcPr>
          <w:p>
            <w:pPr>
              <w:rPr>
                <w:rFonts w:ascii="Calibri" w:hAnsi="Calibri"/>
                <w:kern w:val="0"/>
                <w:sz w:val="18"/>
                <w:szCs w:val="18"/>
                <w:highlight w:val="none"/>
              </w:rPr>
            </w:pPr>
            <w:r>
              <w:rPr>
                <w:rFonts w:hint="eastAsia" w:ascii="Calibri" w:hAnsi="Calibri"/>
                <w:kern w:val="0"/>
                <w:sz w:val="18"/>
                <w:szCs w:val="18"/>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rFonts w:ascii="Calibri" w:hAnsi="Calibri"/>
                <w:kern w:val="0"/>
                <w:sz w:val="18"/>
                <w:szCs w:val="18"/>
              </w:rPr>
            </w:pPr>
          </w:p>
        </w:tc>
        <w:tc>
          <w:tcPr>
            <w:tcW w:w="475" w:type="pct"/>
            <w:vAlign w:val="center"/>
          </w:tcPr>
          <w:p>
            <w:pPr>
              <w:rPr>
                <w:rFonts w:ascii="Calibri" w:hAnsi="Calibri"/>
                <w:kern w:val="0"/>
                <w:sz w:val="18"/>
                <w:szCs w:val="18"/>
              </w:rPr>
            </w:pPr>
            <w:r>
              <w:rPr>
                <w:rFonts w:hint="eastAsia" w:ascii="Calibri" w:hAnsi="Calibri"/>
                <w:kern w:val="0"/>
                <w:sz w:val="18"/>
                <w:szCs w:val="18"/>
              </w:rPr>
              <w:t>制度管理(3分)</w:t>
            </w:r>
          </w:p>
        </w:tc>
        <w:tc>
          <w:tcPr>
            <w:tcW w:w="517" w:type="pct"/>
            <w:vAlign w:val="center"/>
          </w:tcPr>
          <w:p>
            <w:pPr>
              <w:rPr>
                <w:rFonts w:ascii="Calibri" w:hAnsi="Calibri"/>
                <w:kern w:val="0"/>
                <w:sz w:val="18"/>
                <w:szCs w:val="18"/>
              </w:rPr>
            </w:pPr>
            <w:r>
              <w:rPr>
                <w:rFonts w:hint="eastAsia" w:ascii="Calibri" w:hAnsi="Calibri"/>
                <w:kern w:val="0"/>
                <w:sz w:val="18"/>
                <w:szCs w:val="18"/>
              </w:rPr>
              <w:t>管理制度健全性(3分)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1.部门制定了财政资金管理、财务管理、内部控制等制度（0.5分）；</w:t>
            </w:r>
            <w:r>
              <w:rPr>
                <w:rFonts w:hint="eastAsia" w:ascii="Calibri" w:hAnsi="Calibri"/>
                <w:kern w:val="0"/>
                <w:sz w:val="18"/>
                <w:szCs w:val="18"/>
              </w:rPr>
              <w:br w:type="textWrapping"/>
            </w:r>
            <w:r>
              <w:rPr>
                <w:rFonts w:hint="eastAsia" w:ascii="Calibri" w:hAnsi="Calibri"/>
                <w:kern w:val="0"/>
                <w:sz w:val="18"/>
                <w:szCs w:val="18"/>
              </w:rPr>
              <w:t>2.上述财政资金管理、财务管理、内部控制等制度得到有效执行（1.5分）；</w:t>
            </w:r>
            <w:r>
              <w:rPr>
                <w:rFonts w:hint="eastAsia" w:ascii="Calibri" w:hAnsi="Calibri"/>
                <w:kern w:val="0"/>
                <w:sz w:val="18"/>
                <w:szCs w:val="18"/>
              </w:rPr>
              <w:br w:type="textWrapping"/>
            </w:r>
            <w:r>
              <w:rPr>
                <w:rFonts w:hint="eastAsia" w:ascii="Calibri" w:hAnsi="Calibri"/>
                <w:kern w:val="0"/>
                <w:sz w:val="18"/>
                <w:szCs w:val="18"/>
              </w:rPr>
              <w:t>3.部门按照预算和绩效管理一体化的要求制定本部门全面实施预算绩效管理的制度或工作方案，组织指导本级及下属单位开展事前及评估、绩效目标编报、绩效监控、绩效评价和评价结果应用等工作（1分）。</w:t>
            </w:r>
          </w:p>
        </w:tc>
        <w:tc>
          <w:tcPr>
            <w:tcW w:w="610" w:type="pct"/>
            <w:vAlign w:val="center"/>
          </w:tcPr>
          <w:p>
            <w:pPr>
              <w:rPr>
                <w:rFonts w:ascii="Calibri" w:hAnsi="Calibri"/>
                <w:kern w:val="0"/>
                <w:sz w:val="18"/>
                <w:szCs w:val="18"/>
              </w:rPr>
            </w:pPr>
            <w:r>
              <w:rPr>
                <w:rFonts w:hint="eastAsia" w:ascii="Calibri" w:hAnsi="Calibri"/>
                <w:kern w:val="0"/>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restart"/>
            <w:vAlign w:val="center"/>
          </w:tcPr>
          <w:p>
            <w:pPr>
              <w:rPr>
                <w:rFonts w:ascii="Calibri" w:hAnsi="Calibri"/>
                <w:kern w:val="0"/>
                <w:sz w:val="18"/>
                <w:szCs w:val="18"/>
              </w:rPr>
            </w:pPr>
            <w:r>
              <w:rPr>
                <w:rFonts w:hint="eastAsia" w:ascii="Calibri" w:hAnsi="Calibri"/>
                <w:kern w:val="0"/>
                <w:sz w:val="18"/>
                <w:szCs w:val="18"/>
              </w:rPr>
              <w:t>部门绩效(55分)</w:t>
            </w:r>
          </w:p>
        </w:tc>
        <w:tc>
          <w:tcPr>
            <w:tcW w:w="475" w:type="pct"/>
            <w:vAlign w:val="center"/>
          </w:tcPr>
          <w:p>
            <w:pPr>
              <w:rPr>
                <w:rFonts w:ascii="Calibri" w:hAnsi="Calibri"/>
                <w:kern w:val="0"/>
                <w:sz w:val="18"/>
                <w:szCs w:val="18"/>
              </w:rPr>
            </w:pPr>
            <w:r>
              <w:rPr>
                <w:rFonts w:hint="eastAsia" w:ascii="Calibri" w:hAnsi="Calibri"/>
                <w:kern w:val="0"/>
                <w:sz w:val="18"/>
                <w:szCs w:val="18"/>
              </w:rPr>
              <w:t>经济性(4分)</w:t>
            </w:r>
          </w:p>
        </w:tc>
        <w:tc>
          <w:tcPr>
            <w:tcW w:w="517" w:type="pct"/>
            <w:vAlign w:val="center"/>
          </w:tcPr>
          <w:p>
            <w:pPr>
              <w:rPr>
                <w:rFonts w:ascii="Calibri" w:hAnsi="Calibri"/>
                <w:kern w:val="0"/>
                <w:sz w:val="18"/>
                <w:szCs w:val="18"/>
              </w:rPr>
            </w:pPr>
            <w:r>
              <w:rPr>
                <w:rFonts w:hint="eastAsia" w:ascii="Calibri" w:hAnsi="Calibri"/>
                <w:kern w:val="0"/>
                <w:sz w:val="18"/>
                <w:szCs w:val="18"/>
              </w:rPr>
              <w:t>公用经费控制率(4分)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1.“三公”经费控制率=“三公”经费实际支出数/“三公”经费预算安排数×100%</w:t>
            </w:r>
            <w:r>
              <w:rPr>
                <w:rFonts w:hint="eastAsia" w:ascii="Calibri" w:hAnsi="Calibri"/>
                <w:kern w:val="0"/>
                <w:sz w:val="18"/>
                <w:szCs w:val="18"/>
              </w:rPr>
              <w:br w:type="textWrapping"/>
            </w:r>
            <w:r>
              <w:rPr>
                <w:rFonts w:hint="eastAsia" w:ascii="Calibri" w:hAnsi="Calibri"/>
                <w:kern w:val="0"/>
                <w:sz w:val="18"/>
                <w:szCs w:val="18"/>
              </w:rPr>
              <w:t>（1）“三公”经费控制率＜90%的，得2分；</w:t>
            </w:r>
            <w:r>
              <w:rPr>
                <w:rFonts w:hint="eastAsia" w:ascii="Calibri" w:hAnsi="Calibri"/>
                <w:kern w:val="0"/>
                <w:sz w:val="18"/>
                <w:szCs w:val="18"/>
              </w:rPr>
              <w:br w:type="textWrapping"/>
            </w:r>
            <w:r>
              <w:rPr>
                <w:rFonts w:hint="eastAsia" w:ascii="Calibri" w:hAnsi="Calibri"/>
                <w:kern w:val="0"/>
                <w:sz w:val="18"/>
                <w:szCs w:val="18"/>
              </w:rPr>
              <w:t>（2）90%≤“三公”经费控制率≤100%的，得1分；</w:t>
            </w:r>
            <w:r>
              <w:rPr>
                <w:rFonts w:hint="eastAsia" w:ascii="Calibri" w:hAnsi="Calibri"/>
                <w:kern w:val="0"/>
                <w:sz w:val="18"/>
                <w:szCs w:val="18"/>
              </w:rPr>
              <w:br w:type="textWrapping"/>
            </w:r>
            <w:r>
              <w:rPr>
                <w:rFonts w:hint="eastAsia" w:ascii="Calibri" w:hAnsi="Calibri"/>
                <w:kern w:val="0"/>
                <w:sz w:val="18"/>
                <w:szCs w:val="18"/>
              </w:rPr>
              <w:t>（3）“三公”经费控制率＞100%的，得0分。</w:t>
            </w:r>
            <w:r>
              <w:rPr>
                <w:rFonts w:hint="eastAsia" w:ascii="Calibri" w:hAnsi="Calibri"/>
                <w:kern w:val="0"/>
                <w:sz w:val="18"/>
                <w:szCs w:val="18"/>
              </w:rPr>
              <w:br w:type="textWrapping"/>
            </w:r>
            <w:r>
              <w:rPr>
                <w:rFonts w:hint="eastAsia" w:ascii="Calibri" w:hAnsi="Calibri"/>
                <w:kern w:val="0"/>
                <w:sz w:val="18"/>
                <w:szCs w:val="18"/>
              </w:rPr>
              <w:t xml:space="preserve">    2. 日常公用经费控制率=日常公用经费决算数/日常公用经费调整预算数×100%</w:t>
            </w:r>
            <w:r>
              <w:rPr>
                <w:rFonts w:hint="eastAsia" w:ascii="Calibri" w:hAnsi="Calibri"/>
                <w:kern w:val="0"/>
                <w:sz w:val="18"/>
                <w:szCs w:val="18"/>
              </w:rPr>
              <w:br w:type="textWrapping"/>
            </w:r>
            <w:r>
              <w:rPr>
                <w:rFonts w:hint="eastAsia" w:ascii="Calibri" w:hAnsi="Calibri"/>
                <w:kern w:val="0"/>
                <w:sz w:val="18"/>
                <w:szCs w:val="18"/>
              </w:rPr>
              <w:t>（1）日常公用经费控制率＜90%的，得2分；</w:t>
            </w:r>
            <w:r>
              <w:rPr>
                <w:rFonts w:hint="eastAsia" w:ascii="Calibri" w:hAnsi="Calibri"/>
                <w:kern w:val="0"/>
                <w:sz w:val="18"/>
                <w:szCs w:val="18"/>
              </w:rPr>
              <w:br w:type="textWrapping"/>
            </w:r>
            <w:r>
              <w:rPr>
                <w:rFonts w:hint="eastAsia" w:ascii="Calibri" w:hAnsi="Calibri"/>
                <w:kern w:val="0"/>
                <w:sz w:val="18"/>
                <w:szCs w:val="18"/>
              </w:rPr>
              <w:t>（2）90%≤日常公用经费控制率≤100%的，得1分；</w:t>
            </w:r>
            <w:r>
              <w:rPr>
                <w:rFonts w:hint="eastAsia" w:ascii="Calibri" w:hAnsi="Calibri"/>
                <w:kern w:val="0"/>
                <w:sz w:val="18"/>
                <w:szCs w:val="18"/>
              </w:rPr>
              <w:br w:type="textWrapping"/>
            </w:r>
            <w:r>
              <w:rPr>
                <w:rFonts w:hint="eastAsia" w:ascii="Calibri" w:hAnsi="Calibri"/>
                <w:kern w:val="0"/>
                <w:sz w:val="18"/>
                <w:szCs w:val="18"/>
              </w:rPr>
              <w:t>（3）日常公用经费控制率＞100%的，得0分。</w:t>
            </w:r>
          </w:p>
        </w:tc>
        <w:tc>
          <w:tcPr>
            <w:tcW w:w="610" w:type="pct"/>
            <w:vAlign w:val="center"/>
          </w:tcPr>
          <w:p>
            <w:pPr>
              <w:rPr>
                <w:rFonts w:ascii="Calibri" w:hAnsi="Calibri"/>
                <w:kern w:val="0"/>
                <w:sz w:val="18"/>
                <w:szCs w:val="18"/>
                <w:highlight w:val="yellow"/>
              </w:rPr>
            </w:pPr>
            <w:r>
              <w:rPr>
                <w:rFonts w:hint="eastAsia" w:ascii="Calibri" w:hAnsi="Calibri"/>
                <w:kern w:val="0"/>
                <w:sz w:val="18"/>
                <w:szCs w:val="18"/>
                <w:highlight w:val="yellow"/>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rFonts w:ascii="Calibri" w:hAnsi="Calibri"/>
                <w:kern w:val="0"/>
                <w:sz w:val="18"/>
                <w:szCs w:val="18"/>
              </w:rPr>
            </w:pPr>
          </w:p>
        </w:tc>
        <w:tc>
          <w:tcPr>
            <w:tcW w:w="475" w:type="pct"/>
            <w:vMerge w:val="restart"/>
            <w:vAlign w:val="center"/>
          </w:tcPr>
          <w:p>
            <w:pPr>
              <w:rPr>
                <w:rFonts w:ascii="Calibri" w:hAnsi="Calibri"/>
                <w:kern w:val="0"/>
                <w:sz w:val="18"/>
                <w:szCs w:val="18"/>
              </w:rPr>
            </w:pPr>
            <w:r>
              <w:rPr>
                <w:rFonts w:hint="eastAsia" w:ascii="Calibri" w:hAnsi="Calibri"/>
                <w:kern w:val="0"/>
                <w:sz w:val="18"/>
                <w:szCs w:val="18"/>
              </w:rPr>
              <w:t>效率性(22分)</w:t>
            </w:r>
          </w:p>
        </w:tc>
        <w:tc>
          <w:tcPr>
            <w:tcW w:w="517" w:type="pct"/>
            <w:vAlign w:val="center"/>
          </w:tcPr>
          <w:p>
            <w:pPr>
              <w:rPr>
                <w:rFonts w:ascii="Calibri" w:hAnsi="Calibri"/>
                <w:kern w:val="0"/>
                <w:sz w:val="18"/>
                <w:szCs w:val="18"/>
              </w:rPr>
            </w:pPr>
            <w:r>
              <w:rPr>
                <w:rFonts w:hint="eastAsia" w:ascii="Calibri" w:hAnsi="Calibri"/>
                <w:kern w:val="0"/>
                <w:sz w:val="18"/>
                <w:szCs w:val="18"/>
              </w:rPr>
              <w:t>预算执行率(6分)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1.一季度预算执行率得分=（一季度部门预算支出进度/序时进度25%）X1分；</w:t>
            </w:r>
            <w:r>
              <w:rPr>
                <w:rFonts w:hint="eastAsia" w:ascii="Calibri" w:hAnsi="Calibri"/>
                <w:kern w:val="0"/>
                <w:sz w:val="18"/>
                <w:szCs w:val="18"/>
              </w:rPr>
              <w:br w:type="textWrapping"/>
            </w:r>
            <w:r>
              <w:rPr>
                <w:rFonts w:hint="eastAsia" w:ascii="Calibri" w:hAnsi="Calibri"/>
                <w:kern w:val="0"/>
                <w:sz w:val="18"/>
                <w:szCs w:val="18"/>
              </w:rPr>
              <w:t>2.二季度预算执行率得分=（二季度部门预算支出进度/序时进度50%）X1分；</w:t>
            </w:r>
            <w:r>
              <w:rPr>
                <w:rFonts w:hint="eastAsia" w:ascii="Calibri" w:hAnsi="Calibri"/>
                <w:kern w:val="0"/>
                <w:sz w:val="18"/>
                <w:szCs w:val="18"/>
              </w:rPr>
              <w:br w:type="textWrapping"/>
            </w:r>
            <w:r>
              <w:rPr>
                <w:rFonts w:hint="eastAsia" w:ascii="Calibri" w:hAnsi="Calibri"/>
                <w:kern w:val="0"/>
                <w:sz w:val="18"/>
                <w:szCs w:val="18"/>
              </w:rPr>
              <w:t>3.三季度预算执行率得分=（三季度部门预算支出进度/序时进度75%）X1分；</w:t>
            </w:r>
            <w:r>
              <w:rPr>
                <w:rFonts w:hint="eastAsia" w:ascii="Calibri" w:hAnsi="Calibri"/>
                <w:kern w:val="0"/>
                <w:sz w:val="18"/>
                <w:szCs w:val="18"/>
              </w:rPr>
              <w:br w:type="textWrapping"/>
            </w:r>
            <w:r>
              <w:rPr>
                <w:rFonts w:hint="eastAsia" w:ascii="Calibri" w:hAnsi="Calibri"/>
                <w:kern w:val="0"/>
                <w:sz w:val="18"/>
                <w:szCs w:val="18"/>
              </w:rPr>
              <w:t>4.四季度预算执行率得分=（四季度部门预算支出进度/序时进度100%）X1分；</w:t>
            </w:r>
            <w:r>
              <w:rPr>
                <w:rFonts w:hint="eastAsia" w:ascii="Calibri" w:hAnsi="Calibri"/>
                <w:kern w:val="0"/>
                <w:sz w:val="18"/>
                <w:szCs w:val="18"/>
              </w:rPr>
              <w:br w:type="textWrapping"/>
            </w:r>
            <w:r>
              <w:rPr>
                <w:rFonts w:hint="eastAsia" w:ascii="Calibri" w:hAnsi="Calibri"/>
                <w:kern w:val="0"/>
                <w:sz w:val="18"/>
                <w:szCs w:val="18"/>
              </w:rPr>
              <w:t>5.全年平均支出进度得分=全年平均执行率X2分</w:t>
            </w:r>
            <w:r>
              <w:rPr>
                <w:rFonts w:hint="eastAsia" w:ascii="Calibri" w:hAnsi="Calibri"/>
                <w:kern w:val="0"/>
                <w:sz w:val="18"/>
                <w:szCs w:val="18"/>
              </w:rPr>
              <w:br w:type="textWrapping"/>
            </w:r>
            <w:r>
              <w:rPr>
                <w:rFonts w:hint="eastAsia" w:ascii="Calibri" w:hAnsi="Calibri"/>
                <w:kern w:val="0"/>
                <w:sz w:val="18"/>
                <w:szCs w:val="18"/>
              </w:rPr>
              <w:t>其中：全年平均执行率=每个季度的执行率/4</w:t>
            </w:r>
          </w:p>
        </w:tc>
        <w:tc>
          <w:tcPr>
            <w:tcW w:w="610" w:type="pct"/>
            <w:vAlign w:val="center"/>
          </w:tcPr>
          <w:p>
            <w:pPr>
              <w:rPr>
                <w:rFonts w:ascii="Calibri" w:hAnsi="Calibri"/>
                <w:kern w:val="0"/>
                <w:sz w:val="18"/>
                <w:szCs w:val="18"/>
                <w:highlight w:val="yellow"/>
              </w:rPr>
            </w:pPr>
            <w:r>
              <w:rPr>
                <w:rFonts w:hint="eastAsia" w:ascii="Calibri" w:hAnsi="Calibri"/>
                <w:kern w:val="0"/>
                <w:sz w:val="18"/>
                <w:szCs w:val="18"/>
                <w:highlight w:val="yellow"/>
              </w:rPr>
              <w:t>5.85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rFonts w:ascii="Calibri" w:hAnsi="Calibri"/>
                <w:kern w:val="0"/>
                <w:sz w:val="18"/>
                <w:szCs w:val="18"/>
              </w:rPr>
            </w:pPr>
          </w:p>
        </w:tc>
        <w:tc>
          <w:tcPr>
            <w:tcW w:w="475" w:type="pct"/>
            <w:vMerge w:val="continue"/>
            <w:vAlign w:val="center"/>
          </w:tcPr>
          <w:p>
            <w:pPr>
              <w:rPr>
                <w:rFonts w:ascii="Calibri" w:hAnsi="Calibri"/>
                <w:kern w:val="0"/>
                <w:sz w:val="18"/>
                <w:szCs w:val="18"/>
              </w:rPr>
            </w:pPr>
          </w:p>
        </w:tc>
        <w:tc>
          <w:tcPr>
            <w:tcW w:w="517" w:type="pct"/>
            <w:vAlign w:val="center"/>
          </w:tcPr>
          <w:p>
            <w:pPr>
              <w:rPr>
                <w:rFonts w:ascii="Calibri" w:hAnsi="Calibri"/>
                <w:kern w:val="0"/>
                <w:sz w:val="18"/>
                <w:szCs w:val="18"/>
              </w:rPr>
            </w:pPr>
            <w:r>
              <w:rPr>
                <w:rFonts w:hint="eastAsia" w:ascii="Calibri" w:hAnsi="Calibri"/>
                <w:kern w:val="0"/>
                <w:sz w:val="18"/>
                <w:szCs w:val="18"/>
              </w:rPr>
              <w:t>实际完成情况(4分)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实际完成率=（实际完成工作数/计划工作数）×100%。</w:t>
            </w:r>
            <w:r>
              <w:rPr>
                <w:rFonts w:hint="eastAsia" w:ascii="Calibri" w:hAnsi="Calibri"/>
                <w:kern w:val="0"/>
                <w:sz w:val="18"/>
                <w:szCs w:val="18"/>
              </w:rPr>
              <w:br w:type="textWrapping"/>
            </w:r>
            <w:r>
              <w:rPr>
                <w:rFonts w:hint="eastAsia" w:ascii="Calibri" w:hAnsi="Calibri"/>
                <w:kern w:val="0"/>
                <w:sz w:val="18"/>
                <w:szCs w:val="18"/>
              </w:rPr>
              <w:t>实际完成工作数：一定时期（年度或规划期）内部门（单位）实际完成工作任务的数量。</w:t>
            </w:r>
            <w:r>
              <w:rPr>
                <w:rFonts w:hint="eastAsia" w:ascii="Calibri" w:hAnsi="Calibri"/>
                <w:kern w:val="0"/>
                <w:sz w:val="18"/>
                <w:szCs w:val="18"/>
              </w:rPr>
              <w:br w:type="textWrapping"/>
            </w:r>
            <w:r>
              <w:rPr>
                <w:rFonts w:hint="eastAsia" w:ascii="Calibri" w:hAnsi="Calibri"/>
                <w:kern w:val="0"/>
                <w:sz w:val="18"/>
                <w:szCs w:val="18"/>
              </w:rPr>
              <w:t>计划工作数：部门（单位）整体绩效目标确定的一定时期（年度或规划期）内预计完成工作任务的数量。</w:t>
            </w:r>
            <w:r>
              <w:rPr>
                <w:rFonts w:hint="eastAsia" w:ascii="Calibri" w:hAnsi="Calibri"/>
                <w:kern w:val="0"/>
                <w:sz w:val="18"/>
                <w:szCs w:val="18"/>
              </w:rPr>
              <w:br w:type="textWrapping"/>
            </w:r>
            <w:r>
              <w:rPr>
                <w:rFonts w:hint="eastAsia" w:ascii="Calibri" w:hAnsi="Calibri"/>
                <w:kern w:val="0"/>
                <w:sz w:val="18"/>
                <w:szCs w:val="18"/>
              </w:rPr>
              <w:t>（1）实际完成率=100%的，得4分；</w:t>
            </w:r>
            <w:r>
              <w:rPr>
                <w:rFonts w:hint="eastAsia" w:ascii="Calibri" w:hAnsi="Calibri"/>
                <w:kern w:val="0"/>
                <w:sz w:val="18"/>
                <w:szCs w:val="18"/>
              </w:rPr>
              <w:br w:type="textWrapping"/>
            </w:r>
            <w:r>
              <w:rPr>
                <w:rFonts w:hint="eastAsia" w:ascii="Calibri" w:hAnsi="Calibri"/>
                <w:kern w:val="0"/>
                <w:sz w:val="18"/>
                <w:szCs w:val="18"/>
              </w:rPr>
              <w:t>（2）85%≤实际完成率＜100%的，得3分；</w:t>
            </w:r>
            <w:r>
              <w:rPr>
                <w:rFonts w:hint="eastAsia" w:ascii="Calibri" w:hAnsi="Calibri"/>
                <w:kern w:val="0"/>
                <w:sz w:val="18"/>
                <w:szCs w:val="18"/>
              </w:rPr>
              <w:br w:type="textWrapping"/>
            </w:r>
            <w:r>
              <w:rPr>
                <w:rFonts w:hint="eastAsia" w:ascii="Calibri" w:hAnsi="Calibri"/>
                <w:kern w:val="0"/>
                <w:sz w:val="18"/>
                <w:szCs w:val="18"/>
              </w:rPr>
              <w:t>（3）60%≤实际完成率＜85%的，得2分；</w:t>
            </w:r>
            <w:r>
              <w:rPr>
                <w:rFonts w:hint="eastAsia" w:ascii="Calibri" w:hAnsi="Calibri"/>
                <w:kern w:val="0"/>
                <w:sz w:val="18"/>
                <w:szCs w:val="18"/>
              </w:rPr>
              <w:br w:type="textWrapping"/>
            </w:r>
            <w:r>
              <w:rPr>
                <w:rFonts w:hint="eastAsia" w:ascii="Calibri" w:hAnsi="Calibri"/>
                <w:kern w:val="0"/>
                <w:sz w:val="18"/>
                <w:szCs w:val="18"/>
              </w:rPr>
              <w:t>（4）实际完成率＜60%的的，得0分。</w:t>
            </w:r>
          </w:p>
        </w:tc>
        <w:tc>
          <w:tcPr>
            <w:tcW w:w="610" w:type="pct"/>
            <w:vAlign w:val="center"/>
          </w:tcPr>
          <w:p>
            <w:pPr>
              <w:rPr>
                <w:rFonts w:ascii="Calibri" w:hAnsi="Calibri"/>
                <w:kern w:val="0"/>
                <w:sz w:val="18"/>
                <w:szCs w:val="18"/>
              </w:rPr>
            </w:pPr>
            <w:r>
              <w:rPr>
                <w:rFonts w:hint="eastAsia" w:ascii="Calibri" w:hAnsi="Calibri"/>
                <w:kern w:val="0"/>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rFonts w:ascii="Calibri" w:hAnsi="Calibri"/>
                <w:kern w:val="0"/>
                <w:sz w:val="18"/>
                <w:szCs w:val="18"/>
              </w:rPr>
            </w:pPr>
          </w:p>
        </w:tc>
        <w:tc>
          <w:tcPr>
            <w:tcW w:w="475" w:type="pct"/>
            <w:vMerge w:val="continue"/>
            <w:vAlign w:val="center"/>
          </w:tcPr>
          <w:p>
            <w:pPr>
              <w:rPr>
                <w:rFonts w:ascii="Calibri" w:hAnsi="Calibri"/>
                <w:kern w:val="0"/>
                <w:sz w:val="18"/>
                <w:szCs w:val="18"/>
              </w:rPr>
            </w:pPr>
          </w:p>
        </w:tc>
        <w:tc>
          <w:tcPr>
            <w:tcW w:w="517" w:type="pct"/>
            <w:vAlign w:val="center"/>
          </w:tcPr>
          <w:p>
            <w:pPr>
              <w:rPr>
                <w:rFonts w:ascii="Calibri" w:hAnsi="Calibri"/>
                <w:kern w:val="0"/>
                <w:sz w:val="18"/>
                <w:szCs w:val="18"/>
              </w:rPr>
            </w:pPr>
            <w:r>
              <w:rPr>
                <w:rFonts w:hint="eastAsia" w:ascii="Calibri" w:hAnsi="Calibri"/>
                <w:kern w:val="0"/>
                <w:sz w:val="18"/>
                <w:szCs w:val="18"/>
              </w:rPr>
              <w:t>完成质量情况(4分)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质量达标率=（质量达标实际工作数/计划工作数）×100%。</w:t>
            </w:r>
            <w:r>
              <w:rPr>
                <w:rFonts w:hint="eastAsia" w:ascii="Calibri" w:hAnsi="Calibri"/>
                <w:kern w:val="0"/>
                <w:sz w:val="18"/>
                <w:szCs w:val="18"/>
              </w:rPr>
              <w:br w:type="textWrapping"/>
            </w:r>
            <w:r>
              <w:rPr>
                <w:rFonts w:hint="eastAsia" w:ascii="Calibri" w:hAnsi="Calibri"/>
                <w:kern w:val="0"/>
                <w:sz w:val="18"/>
                <w:szCs w:val="18"/>
              </w:rPr>
              <w:t>质量达标实际工作数：一定时期（年度或规划期）内部门（单位）实际完成工作数中达到部门绩效目标要求（绩效标准值）的工作任务数量。</w:t>
            </w:r>
            <w:r>
              <w:rPr>
                <w:rFonts w:hint="eastAsia" w:ascii="Calibri" w:hAnsi="Calibri"/>
                <w:kern w:val="0"/>
                <w:sz w:val="18"/>
                <w:szCs w:val="18"/>
              </w:rPr>
              <w:br w:type="textWrapping"/>
            </w:r>
            <w:r>
              <w:rPr>
                <w:rFonts w:hint="eastAsia" w:ascii="Calibri" w:hAnsi="Calibri"/>
                <w:kern w:val="0"/>
                <w:sz w:val="18"/>
                <w:szCs w:val="18"/>
              </w:rPr>
              <w:t>（1）质量达标率=100%的，得4分；</w:t>
            </w:r>
            <w:r>
              <w:rPr>
                <w:rFonts w:hint="eastAsia" w:ascii="Calibri" w:hAnsi="Calibri"/>
                <w:kern w:val="0"/>
                <w:sz w:val="18"/>
                <w:szCs w:val="18"/>
              </w:rPr>
              <w:br w:type="textWrapping"/>
            </w:r>
            <w:r>
              <w:rPr>
                <w:rFonts w:hint="eastAsia" w:ascii="Calibri" w:hAnsi="Calibri"/>
                <w:kern w:val="0"/>
                <w:sz w:val="18"/>
                <w:szCs w:val="18"/>
              </w:rPr>
              <w:t>（2）85%≤质量达标率＜100%的，得3分；</w:t>
            </w:r>
            <w:r>
              <w:rPr>
                <w:rFonts w:hint="eastAsia" w:ascii="Calibri" w:hAnsi="Calibri"/>
                <w:kern w:val="0"/>
                <w:sz w:val="18"/>
                <w:szCs w:val="18"/>
              </w:rPr>
              <w:br w:type="textWrapping"/>
            </w:r>
            <w:r>
              <w:rPr>
                <w:rFonts w:hint="eastAsia" w:ascii="Calibri" w:hAnsi="Calibri"/>
                <w:kern w:val="0"/>
                <w:sz w:val="18"/>
                <w:szCs w:val="18"/>
              </w:rPr>
              <w:t>（3）60%≤质量达标率＜85%的，得2分；</w:t>
            </w:r>
            <w:r>
              <w:rPr>
                <w:rFonts w:hint="eastAsia" w:ascii="Calibri" w:hAnsi="Calibri"/>
                <w:kern w:val="0"/>
                <w:sz w:val="18"/>
                <w:szCs w:val="18"/>
              </w:rPr>
              <w:br w:type="textWrapping"/>
            </w:r>
            <w:r>
              <w:rPr>
                <w:rFonts w:hint="eastAsia" w:ascii="Calibri" w:hAnsi="Calibri"/>
                <w:kern w:val="0"/>
                <w:sz w:val="18"/>
                <w:szCs w:val="18"/>
              </w:rPr>
              <w:t>（4）质量达标率＜60%的的，得0分。</w:t>
            </w:r>
          </w:p>
        </w:tc>
        <w:tc>
          <w:tcPr>
            <w:tcW w:w="610" w:type="pct"/>
            <w:vAlign w:val="center"/>
          </w:tcPr>
          <w:p>
            <w:pPr>
              <w:rPr>
                <w:rFonts w:ascii="Calibri" w:hAnsi="Calibri"/>
                <w:kern w:val="0"/>
                <w:sz w:val="18"/>
                <w:szCs w:val="18"/>
              </w:rPr>
            </w:pPr>
            <w:r>
              <w:rPr>
                <w:rFonts w:hint="eastAsia" w:ascii="Calibri" w:hAnsi="Calibri"/>
                <w:kern w:val="0"/>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619" w:type="pct"/>
            <w:vMerge w:val="continue"/>
            <w:vAlign w:val="center"/>
          </w:tcPr>
          <w:p>
            <w:pPr>
              <w:rPr>
                <w:rFonts w:ascii="Calibri" w:hAnsi="Calibri"/>
                <w:kern w:val="0"/>
                <w:sz w:val="18"/>
                <w:szCs w:val="18"/>
              </w:rPr>
            </w:pPr>
          </w:p>
        </w:tc>
        <w:tc>
          <w:tcPr>
            <w:tcW w:w="475" w:type="pct"/>
            <w:vMerge w:val="continue"/>
            <w:vAlign w:val="center"/>
          </w:tcPr>
          <w:p>
            <w:pPr>
              <w:rPr>
                <w:rFonts w:ascii="Calibri" w:hAnsi="Calibri"/>
                <w:kern w:val="0"/>
                <w:sz w:val="18"/>
                <w:szCs w:val="18"/>
              </w:rPr>
            </w:pPr>
          </w:p>
        </w:tc>
        <w:tc>
          <w:tcPr>
            <w:tcW w:w="517" w:type="pct"/>
            <w:vAlign w:val="center"/>
          </w:tcPr>
          <w:p>
            <w:pPr>
              <w:rPr>
                <w:rFonts w:ascii="Calibri" w:hAnsi="Calibri"/>
                <w:kern w:val="0"/>
                <w:sz w:val="18"/>
                <w:szCs w:val="18"/>
              </w:rPr>
            </w:pPr>
            <w:r>
              <w:rPr>
                <w:rFonts w:hint="eastAsia" w:ascii="Calibri" w:hAnsi="Calibri"/>
                <w:kern w:val="0"/>
                <w:sz w:val="18"/>
                <w:szCs w:val="18"/>
              </w:rPr>
              <w:t>工作完成及时性(4分)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1.所有部门当年度工作任务均按计划时间完成（4分）；</w:t>
            </w:r>
            <w:r>
              <w:rPr>
                <w:rFonts w:hint="eastAsia" w:ascii="Calibri" w:hAnsi="Calibri"/>
                <w:kern w:val="0"/>
                <w:sz w:val="18"/>
                <w:szCs w:val="18"/>
              </w:rPr>
              <w:br w:type="textWrapping"/>
            </w:r>
            <w:r>
              <w:rPr>
                <w:rFonts w:hint="eastAsia" w:ascii="Calibri" w:hAnsi="Calibri"/>
                <w:kern w:val="0"/>
                <w:sz w:val="18"/>
                <w:szCs w:val="18"/>
              </w:rPr>
              <w:t>2.部分工作未按计划时间完成的，本指标得分=及时完成工作数/计划完成工作总数×100%×4分。</w:t>
            </w:r>
          </w:p>
        </w:tc>
        <w:tc>
          <w:tcPr>
            <w:tcW w:w="610" w:type="pct"/>
            <w:vAlign w:val="center"/>
          </w:tcPr>
          <w:p>
            <w:pPr>
              <w:rPr>
                <w:rFonts w:ascii="Calibri" w:hAnsi="Calibri"/>
                <w:kern w:val="0"/>
                <w:sz w:val="18"/>
                <w:szCs w:val="18"/>
              </w:rPr>
            </w:pPr>
            <w:r>
              <w:rPr>
                <w:rFonts w:hint="eastAsia" w:ascii="Calibri" w:hAnsi="Calibri"/>
                <w:kern w:val="0"/>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trPr>
        <w:tc>
          <w:tcPr>
            <w:tcW w:w="619" w:type="pct"/>
            <w:vMerge w:val="continue"/>
            <w:vAlign w:val="center"/>
          </w:tcPr>
          <w:p>
            <w:pPr>
              <w:rPr>
                <w:rFonts w:ascii="Calibri" w:hAnsi="Calibri"/>
                <w:kern w:val="0"/>
                <w:sz w:val="18"/>
                <w:szCs w:val="18"/>
              </w:rPr>
            </w:pPr>
          </w:p>
        </w:tc>
        <w:tc>
          <w:tcPr>
            <w:tcW w:w="475" w:type="pct"/>
            <w:vMerge w:val="continue"/>
            <w:vAlign w:val="center"/>
          </w:tcPr>
          <w:p>
            <w:pPr>
              <w:rPr>
                <w:rFonts w:ascii="Calibri" w:hAnsi="Calibri"/>
                <w:kern w:val="0"/>
                <w:sz w:val="18"/>
                <w:szCs w:val="18"/>
              </w:rPr>
            </w:pPr>
          </w:p>
        </w:tc>
        <w:tc>
          <w:tcPr>
            <w:tcW w:w="517" w:type="pct"/>
            <w:vAlign w:val="center"/>
          </w:tcPr>
          <w:p>
            <w:pPr>
              <w:rPr>
                <w:rFonts w:ascii="Calibri" w:hAnsi="Calibri"/>
                <w:kern w:val="0"/>
                <w:sz w:val="18"/>
                <w:szCs w:val="18"/>
              </w:rPr>
            </w:pPr>
            <w:r>
              <w:rPr>
                <w:rFonts w:hint="eastAsia" w:ascii="Calibri" w:hAnsi="Calibri"/>
                <w:kern w:val="0"/>
                <w:sz w:val="18"/>
                <w:szCs w:val="18"/>
              </w:rPr>
              <w:t>重点工作完成情况(4分)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重点工作是指区委、区政府下达的年度重点工作任务。全部按期保质保量完成得4分；一项重点工作没有完成扣2分，扣完为止。</w:t>
            </w:r>
          </w:p>
        </w:tc>
        <w:tc>
          <w:tcPr>
            <w:tcW w:w="610" w:type="pct"/>
            <w:vAlign w:val="center"/>
          </w:tcPr>
          <w:p>
            <w:pPr>
              <w:rPr>
                <w:rFonts w:ascii="Calibri" w:hAnsi="Calibri"/>
                <w:kern w:val="0"/>
                <w:sz w:val="18"/>
                <w:szCs w:val="18"/>
              </w:rPr>
            </w:pPr>
            <w:r>
              <w:rPr>
                <w:rFonts w:hint="eastAsia" w:ascii="Calibri" w:hAnsi="Calibri"/>
                <w:kern w:val="0"/>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atLeast"/>
        </w:trPr>
        <w:tc>
          <w:tcPr>
            <w:tcW w:w="619" w:type="pct"/>
            <w:vMerge w:val="continue"/>
            <w:vAlign w:val="center"/>
          </w:tcPr>
          <w:p>
            <w:pPr>
              <w:rPr>
                <w:rFonts w:ascii="Calibri" w:hAnsi="Calibri"/>
                <w:kern w:val="0"/>
                <w:sz w:val="18"/>
                <w:szCs w:val="18"/>
              </w:rPr>
            </w:pPr>
          </w:p>
        </w:tc>
        <w:tc>
          <w:tcPr>
            <w:tcW w:w="475" w:type="pct"/>
            <w:vAlign w:val="center"/>
          </w:tcPr>
          <w:p>
            <w:pPr>
              <w:rPr>
                <w:rFonts w:ascii="Calibri" w:hAnsi="Calibri"/>
                <w:kern w:val="0"/>
                <w:sz w:val="18"/>
                <w:szCs w:val="18"/>
              </w:rPr>
            </w:pPr>
            <w:r>
              <w:rPr>
                <w:rFonts w:hint="eastAsia" w:ascii="Calibri" w:hAnsi="Calibri"/>
                <w:kern w:val="0"/>
                <w:sz w:val="18"/>
                <w:szCs w:val="18"/>
              </w:rPr>
              <w:t>效果性(20分)</w:t>
            </w:r>
          </w:p>
        </w:tc>
        <w:tc>
          <w:tcPr>
            <w:tcW w:w="517" w:type="pct"/>
            <w:vAlign w:val="center"/>
          </w:tcPr>
          <w:p>
            <w:pPr>
              <w:rPr>
                <w:rFonts w:ascii="Calibri" w:hAnsi="Calibri"/>
                <w:kern w:val="0"/>
                <w:sz w:val="18"/>
                <w:szCs w:val="18"/>
              </w:rPr>
            </w:pPr>
            <w:r>
              <w:rPr>
                <w:rFonts w:hint="eastAsia" w:ascii="Calibri" w:hAnsi="Calibri"/>
                <w:kern w:val="0"/>
                <w:sz w:val="18"/>
                <w:szCs w:val="18"/>
              </w:rPr>
              <w:t>社会效益、经济效益、生态效益及可持续影响等(20分)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根据部门（单位）职责，结合部门整体支出绩效目标，合理设置个性化绩效指标，通过绩效指标完成情况与目标值对比分析进行评分，未实现绩效目标的酌情扣分。</w:t>
            </w:r>
            <w:r>
              <w:rPr>
                <w:rFonts w:hint="eastAsia" w:ascii="Calibri" w:hAnsi="Calibri"/>
                <w:kern w:val="0"/>
                <w:sz w:val="18"/>
                <w:szCs w:val="18"/>
              </w:rPr>
              <w:br w:type="textWrapping"/>
            </w:r>
            <w:r>
              <w:rPr>
                <w:rFonts w:hint="eastAsia" w:ascii="Calibri" w:hAnsi="Calibri"/>
                <w:kern w:val="0"/>
                <w:sz w:val="18"/>
                <w:szCs w:val="18"/>
              </w:rPr>
              <w:t>根据部门（单位）履职内容和性质，从社会效益、经济效益、生态效益、可持续影响等方面，至少选择三个方面对工作实效和效益进行评价。</w:t>
            </w:r>
          </w:p>
        </w:tc>
        <w:tc>
          <w:tcPr>
            <w:tcW w:w="610" w:type="pct"/>
            <w:vAlign w:val="center"/>
          </w:tcPr>
          <w:p>
            <w:pPr>
              <w:rPr>
                <w:rFonts w:ascii="Calibri" w:hAnsi="Calibri"/>
                <w:kern w:val="0"/>
                <w:sz w:val="18"/>
                <w:szCs w:val="18"/>
                <w:highlight w:val="yellow"/>
              </w:rPr>
            </w:pPr>
            <w:r>
              <w:rPr>
                <w:rFonts w:hint="eastAsia" w:ascii="Calibri" w:hAnsi="Calibri"/>
                <w:kern w:val="0"/>
                <w:sz w:val="18"/>
                <w:szCs w:val="18"/>
                <w:highlight w:val="yellow"/>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rFonts w:ascii="Calibri" w:hAnsi="Calibri"/>
                <w:kern w:val="0"/>
                <w:sz w:val="18"/>
                <w:szCs w:val="18"/>
              </w:rPr>
            </w:pPr>
          </w:p>
        </w:tc>
        <w:tc>
          <w:tcPr>
            <w:tcW w:w="475" w:type="pct"/>
            <w:vMerge w:val="restart"/>
            <w:vAlign w:val="center"/>
          </w:tcPr>
          <w:p>
            <w:pPr>
              <w:rPr>
                <w:rFonts w:ascii="Calibri" w:hAnsi="Calibri"/>
                <w:kern w:val="0"/>
                <w:sz w:val="18"/>
                <w:szCs w:val="18"/>
              </w:rPr>
            </w:pPr>
            <w:r>
              <w:rPr>
                <w:rFonts w:hint="eastAsia" w:ascii="Calibri" w:hAnsi="Calibri"/>
                <w:kern w:val="0"/>
                <w:sz w:val="18"/>
                <w:szCs w:val="18"/>
              </w:rPr>
              <w:t>公平性(9分)</w:t>
            </w:r>
          </w:p>
        </w:tc>
        <w:tc>
          <w:tcPr>
            <w:tcW w:w="517" w:type="pct"/>
            <w:vAlign w:val="center"/>
          </w:tcPr>
          <w:p>
            <w:pPr>
              <w:rPr>
                <w:rFonts w:ascii="Calibri" w:hAnsi="Calibri"/>
                <w:kern w:val="0"/>
                <w:sz w:val="18"/>
                <w:szCs w:val="18"/>
              </w:rPr>
            </w:pPr>
            <w:r>
              <w:rPr>
                <w:rFonts w:hint="eastAsia" w:ascii="Calibri" w:hAnsi="Calibri"/>
                <w:kern w:val="0"/>
                <w:sz w:val="18"/>
                <w:szCs w:val="18"/>
              </w:rPr>
              <w:t>群众信访办理情况(3分)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1.建立了便利的群众意见反映渠道和群众意见办理回复机制（1分）；</w:t>
            </w:r>
            <w:r>
              <w:rPr>
                <w:rFonts w:hint="eastAsia" w:ascii="Calibri" w:hAnsi="Calibri"/>
                <w:kern w:val="0"/>
                <w:sz w:val="18"/>
                <w:szCs w:val="18"/>
              </w:rPr>
              <w:br w:type="textWrapping"/>
            </w:r>
            <w:r>
              <w:rPr>
                <w:rFonts w:hint="eastAsia" w:ascii="Calibri" w:hAnsi="Calibri"/>
                <w:kern w:val="0"/>
                <w:sz w:val="18"/>
                <w:szCs w:val="18"/>
              </w:rPr>
              <w:t>2.当年度群众信访办理回复率达100%（1分）；</w:t>
            </w:r>
            <w:r>
              <w:rPr>
                <w:rFonts w:hint="eastAsia" w:ascii="Calibri" w:hAnsi="Calibri"/>
                <w:kern w:val="0"/>
                <w:sz w:val="18"/>
                <w:szCs w:val="18"/>
              </w:rPr>
              <w:br w:type="textWrapping"/>
            </w:r>
            <w:r>
              <w:rPr>
                <w:rFonts w:hint="eastAsia" w:ascii="Calibri" w:hAnsi="Calibri"/>
                <w:kern w:val="0"/>
                <w:sz w:val="18"/>
                <w:szCs w:val="18"/>
              </w:rPr>
              <w:t>3.当年度群众信访及时办理回复率达100%，未发生超期（1分）。</w:t>
            </w:r>
          </w:p>
        </w:tc>
        <w:tc>
          <w:tcPr>
            <w:tcW w:w="610" w:type="pct"/>
            <w:vAlign w:val="center"/>
          </w:tcPr>
          <w:p>
            <w:pPr>
              <w:rPr>
                <w:rFonts w:ascii="Calibri" w:hAnsi="Calibri"/>
                <w:kern w:val="0"/>
                <w:sz w:val="18"/>
                <w:szCs w:val="18"/>
              </w:rPr>
            </w:pPr>
            <w:r>
              <w:rPr>
                <w:rFonts w:hint="eastAsia" w:ascii="Calibri" w:hAnsi="Calibri"/>
                <w:kern w:val="0"/>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rFonts w:ascii="Calibri" w:hAnsi="Calibri"/>
                <w:kern w:val="0"/>
                <w:sz w:val="18"/>
                <w:szCs w:val="18"/>
              </w:rPr>
            </w:pPr>
          </w:p>
        </w:tc>
        <w:tc>
          <w:tcPr>
            <w:tcW w:w="475" w:type="pct"/>
            <w:vMerge w:val="continue"/>
            <w:vAlign w:val="center"/>
          </w:tcPr>
          <w:p>
            <w:pPr>
              <w:rPr>
                <w:rFonts w:ascii="Calibri" w:hAnsi="Calibri"/>
                <w:kern w:val="0"/>
                <w:sz w:val="18"/>
                <w:szCs w:val="18"/>
              </w:rPr>
            </w:pPr>
          </w:p>
        </w:tc>
        <w:tc>
          <w:tcPr>
            <w:tcW w:w="517" w:type="pct"/>
            <w:vAlign w:val="center"/>
          </w:tcPr>
          <w:p>
            <w:pPr>
              <w:rPr>
                <w:rFonts w:ascii="Calibri" w:hAnsi="Calibri"/>
                <w:kern w:val="0"/>
                <w:sz w:val="18"/>
                <w:szCs w:val="18"/>
              </w:rPr>
            </w:pPr>
            <w:r>
              <w:rPr>
                <w:rFonts w:hint="eastAsia" w:ascii="Calibri" w:hAnsi="Calibri"/>
                <w:kern w:val="0"/>
                <w:sz w:val="18"/>
                <w:szCs w:val="18"/>
              </w:rPr>
              <w:t>公众或服务对象满意度(6分)</w:t>
            </w:r>
          </w:p>
        </w:tc>
        <w:tc>
          <w:tcPr>
            <w:tcW w:w="2780" w:type="pct"/>
            <w:gridSpan w:val="3"/>
            <w:vAlign w:val="center"/>
          </w:tcPr>
          <w:p>
            <w:pPr>
              <w:rPr>
                <w:rFonts w:ascii="Calibri" w:hAnsi="Calibri"/>
                <w:kern w:val="0"/>
                <w:sz w:val="18"/>
                <w:szCs w:val="18"/>
              </w:rPr>
            </w:pPr>
            <w:r>
              <w:rPr>
                <w:rFonts w:hint="eastAsia" w:ascii="Calibri" w:hAnsi="Calibri"/>
                <w:kern w:val="0"/>
                <w:sz w:val="18"/>
                <w:szCs w:val="18"/>
              </w:rPr>
              <w:t>社会公众或服务对象是指部门（单位）履行职责而影响到的部门、群众或个人，一般采取社会调查的方式。如难以单独开展满意度调查的，可参照考市统计部门的数据、年度市直民主评议政风行风评价结果等数据，或者参考群众信访反馈的普遍性问题、本部门或权威第三方机构的开展满意度调查等进行分档计分。</w:t>
            </w:r>
            <w:r>
              <w:rPr>
                <w:rFonts w:hint="eastAsia" w:ascii="Calibri" w:hAnsi="Calibri"/>
                <w:kern w:val="0"/>
                <w:sz w:val="18"/>
                <w:szCs w:val="18"/>
              </w:rPr>
              <w:br w:type="textWrapping"/>
            </w:r>
            <w:r>
              <w:rPr>
                <w:rFonts w:hint="eastAsia" w:ascii="Calibri" w:hAnsi="Calibri"/>
                <w:kern w:val="0"/>
                <w:sz w:val="18"/>
                <w:szCs w:val="18"/>
              </w:rPr>
              <w:t>1.满意度≥95%，得6分；</w:t>
            </w:r>
            <w:r>
              <w:rPr>
                <w:rFonts w:hint="eastAsia" w:ascii="Calibri" w:hAnsi="Calibri"/>
                <w:kern w:val="0"/>
                <w:sz w:val="18"/>
                <w:szCs w:val="18"/>
              </w:rPr>
              <w:br w:type="textWrapping"/>
            </w:r>
            <w:r>
              <w:rPr>
                <w:rFonts w:hint="eastAsia" w:ascii="Calibri" w:hAnsi="Calibri"/>
                <w:kern w:val="0"/>
                <w:sz w:val="18"/>
                <w:szCs w:val="18"/>
              </w:rPr>
              <w:t>2.90%≤满意度＜95%的，得4分；</w:t>
            </w:r>
            <w:r>
              <w:rPr>
                <w:rFonts w:hint="eastAsia" w:ascii="Calibri" w:hAnsi="Calibri"/>
                <w:kern w:val="0"/>
                <w:sz w:val="18"/>
                <w:szCs w:val="18"/>
              </w:rPr>
              <w:br w:type="textWrapping"/>
            </w:r>
            <w:r>
              <w:rPr>
                <w:rFonts w:hint="eastAsia" w:ascii="Calibri" w:hAnsi="Calibri"/>
                <w:kern w:val="0"/>
                <w:sz w:val="18"/>
                <w:szCs w:val="18"/>
              </w:rPr>
              <w:t>3.80%≤满意度＜90%的，得2分；</w:t>
            </w:r>
            <w:r>
              <w:rPr>
                <w:rFonts w:hint="eastAsia" w:ascii="Calibri" w:hAnsi="Calibri"/>
                <w:kern w:val="0"/>
                <w:sz w:val="18"/>
                <w:szCs w:val="18"/>
              </w:rPr>
              <w:br w:type="textWrapping"/>
            </w:r>
            <w:r>
              <w:rPr>
                <w:rFonts w:hint="eastAsia" w:ascii="Calibri" w:hAnsi="Calibri"/>
                <w:kern w:val="0"/>
                <w:sz w:val="18"/>
                <w:szCs w:val="18"/>
              </w:rPr>
              <w:t>4.满意度＜80%的，得1分。</w:t>
            </w:r>
          </w:p>
        </w:tc>
        <w:tc>
          <w:tcPr>
            <w:tcW w:w="610" w:type="pct"/>
            <w:vAlign w:val="center"/>
          </w:tcPr>
          <w:p>
            <w:pPr>
              <w:rPr>
                <w:rFonts w:ascii="Calibri" w:hAnsi="Calibri"/>
                <w:kern w:val="0"/>
                <w:sz w:val="18"/>
                <w:szCs w:val="18"/>
              </w:rPr>
            </w:pPr>
            <w:r>
              <w:rPr>
                <w:rFonts w:hint="eastAsia" w:ascii="Calibri" w:hAnsi="Calibri"/>
                <w:kern w:val="0"/>
                <w:sz w:val="18"/>
                <w:szCs w:val="18"/>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4390" w:type="pct"/>
            <w:gridSpan w:val="6"/>
            <w:vAlign w:val="center"/>
          </w:tcPr>
          <w:p>
            <w:pPr>
              <w:rPr>
                <w:rFonts w:ascii="Calibri" w:hAnsi="Calibri"/>
                <w:kern w:val="0"/>
                <w:sz w:val="18"/>
                <w:szCs w:val="18"/>
              </w:rPr>
            </w:pPr>
            <w:r>
              <w:rPr>
                <w:rFonts w:hint="eastAsia" w:ascii="Calibri" w:hAnsi="Calibri"/>
                <w:kern w:val="0"/>
                <w:sz w:val="18"/>
                <w:szCs w:val="18"/>
              </w:rPr>
              <w:t>自评总得分</w:t>
            </w:r>
          </w:p>
        </w:tc>
        <w:tc>
          <w:tcPr>
            <w:tcW w:w="610" w:type="pct"/>
            <w:vAlign w:val="center"/>
          </w:tcPr>
          <w:p>
            <w:pPr>
              <w:rPr>
                <w:rFonts w:ascii="Calibri" w:hAnsi="Calibri"/>
                <w:kern w:val="0"/>
                <w:sz w:val="18"/>
                <w:szCs w:val="18"/>
              </w:rPr>
            </w:pPr>
            <w:bookmarkStart w:id="0" w:name="_Hlk40968707"/>
            <w:r>
              <w:rPr>
                <w:rFonts w:hint="eastAsia" w:ascii="Calibri" w:hAnsi="Calibri"/>
                <w:kern w:val="0"/>
                <w:sz w:val="18"/>
                <w:szCs w:val="18"/>
              </w:rPr>
              <w:t>95.83</w:t>
            </w:r>
            <w:bookmarkEnd w:id="0"/>
          </w:p>
        </w:tc>
      </w:tr>
    </w:tbl>
    <w:p>
      <w:pPr>
        <w:rPr>
          <w:sz w:val="18"/>
          <w:szCs w:val="18"/>
        </w:rPr>
      </w:pPr>
    </w:p>
    <w:p/>
    <w:sectPr>
      <w:pgSz w:w="16839" w:h="11907" w:orient="landscape"/>
      <w:pgMar w:top="1134" w:right="1440" w:bottom="85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楷体 Std R">
    <w:altName w:val="楷体_GB2312"/>
    <w:panose1 w:val="020204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AA7464"/>
    <w:multiLevelType w:val="singleLevel"/>
    <w:tmpl w:val="69AA746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47F"/>
    <w:rsid w:val="00007B30"/>
    <w:rsid w:val="00050BC8"/>
    <w:rsid w:val="0007619E"/>
    <w:rsid w:val="000C1208"/>
    <w:rsid w:val="000F1BC7"/>
    <w:rsid w:val="001215AB"/>
    <w:rsid w:val="0014722C"/>
    <w:rsid w:val="001578B2"/>
    <w:rsid w:val="0016497A"/>
    <w:rsid w:val="001F159D"/>
    <w:rsid w:val="00200293"/>
    <w:rsid w:val="00207132"/>
    <w:rsid w:val="002171BF"/>
    <w:rsid w:val="002171CA"/>
    <w:rsid w:val="002255E3"/>
    <w:rsid w:val="00264862"/>
    <w:rsid w:val="00311E24"/>
    <w:rsid w:val="0035158B"/>
    <w:rsid w:val="0048447F"/>
    <w:rsid w:val="00485048"/>
    <w:rsid w:val="00492133"/>
    <w:rsid w:val="005A4B2B"/>
    <w:rsid w:val="005D6E26"/>
    <w:rsid w:val="00625B60"/>
    <w:rsid w:val="00656093"/>
    <w:rsid w:val="00692031"/>
    <w:rsid w:val="006E1ED4"/>
    <w:rsid w:val="00764F59"/>
    <w:rsid w:val="007D5837"/>
    <w:rsid w:val="007F5811"/>
    <w:rsid w:val="0085510C"/>
    <w:rsid w:val="008833AD"/>
    <w:rsid w:val="008C65A7"/>
    <w:rsid w:val="00910621"/>
    <w:rsid w:val="00910C7A"/>
    <w:rsid w:val="00940AF2"/>
    <w:rsid w:val="00A107DF"/>
    <w:rsid w:val="00A32E1D"/>
    <w:rsid w:val="00A96B86"/>
    <w:rsid w:val="00AD6859"/>
    <w:rsid w:val="00B004A0"/>
    <w:rsid w:val="00B3284B"/>
    <w:rsid w:val="00B402FC"/>
    <w:rsid w:val="00B93432"/>
    <w:rsid w:val="00BC7F49"/>
    <w:rsid w:val="00C009E0"/>
    <w:rsid w:val="00C10955"/>
    <w:rsid w:val="00CD4CDF"/>
    <w:rsid w:val="00D679E7"/>
    <w:rsid w:val="00D84C3A"/>
    <w:rsid w:val="00E97167"/>
    <w:rsid w:val="00FF03B6"/>
    <w:rsid w:val="0510144C"/>
    <w:rsid w:val="0F5B5207"/>
    <w:rsid w:val="1139544C"/>
    <w:rsid w:val="13E86C1F"/>
    <w:rsid w:val="140C2D25"/>
    <w:rsid w:val="189E7D9C"/>
    <w:rsid w:val="1BBE2A5C"/>
    <w:rsid w:val="20E608F2"/>
    <w:rsid w:val="280E65BD"/>
    <w:rsid w:val="65912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customStyle="1" w:styleId="8">
    <w:name w:val="CM28"/>
    <w:basedOn w:val="7"/>
    <w:next w:val="7"/>
    <w:unhideWhenUsed/>
    <w:qFormat/>
    <w:uiPriority w:val="99"/>
    <w:rPr>
      <w:rFonts w:hint="default"/>
    </w:rPr>
  </w:style>
  <w:style w:type="paragraph" w:customStyle="1" w:styleId="9">
    <w:name w:val="CM1"/>
    <w:basedOn w:val="7"/>
    <w:next w:val="7"/>
    <w:unhideWhenUsed/>
    <w:qFormat/>
    <w:uiPriority w:val="99"/>
    <w:pPr>
      <w:spacing w:line="473" w:lineRule="atLeast"/>
    </w:pPr>
    <w:rPr>
      <w:rFonts w:hint="default"/>
    </w:rPr>
  </w:style>
  <w:style w:type="character" w:customStyle="1" w:styleId="10">
    <w:name w:val="页眉 字符"/>
    <w:basedOn w:val="6"/>
    <w:link w:val="3"/>
    <w:qFormat/>
    <w:uiPriority w:val="99"/>
    <w:rPr>
      <w:rFonts w:ascii="Times New Roman" w:hAnsi="Times New Roman" w:eastAsia="宋体" w:cs="Times New Roman"/>
      <w:sz w:val="18"/>
      <w:szCs w:val="18"/>
    </w:rPr>
  </w:style>
  <w:style w:type="character" w:customStyle="1" w:styleId="11">
    <w:name w:val="页脚 字符"/>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1838</Words>
  <Characters>10480</Characters>
  <Lines>87</Lines>
  <Paragraphs>24</Paragraphs>
  <TotalTime>3</TotalTime>
  <ScaleCrop>false</ScaleCrop>
  <LinksUpToDate>false</LinksUpToDate>
  <CharactersWithSpaces>12294</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2020-10-24T06:42:00Z</dcterms:created>
  <dc:creator>J Herb</dc:creator>
  <cp:lastModifiedBy>YT</cp:lastModifiedBy>
  <dcterms:modified xsi:type="dcterms:W3CDTF">2020-11-06T09:07:49Z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