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bookmarkStart w:id="0" w:name="_Toc1372262674"/>
      <w:bookmarkStart w:id="1" w:name="_Toc1647314516"/>
      <w:bookmarkStart w:id="2" w:name="_Toc29347"/>
      <w:bookmarkStart w:id="3" w:name="_Toc121932118"/>
      <w:bookmarkStart w:id="4" w:name="_Toc725739471"/>
      <w:bookmarkStart w:id="5" w:name="_Toc1828129875"/>
      <w:bookmarkStart w:id="6" w:name="_Toc767867174"/>
      <w:bookmarkStart w:id="7" w:name="_Toc1746695292"/>
      <w:bookmarkStart w:id="8" w:name="_Toc27789"/>
      <w:bookmarkStart w:id="9" w:name="_Toc588951412"/>
      <w:bookmarkStart w:id="10" w:name="_Toc723710588"/>
      <w:bookmarkStart w:id="11" w:name="_Toc1527600240"/>
      <w:bookmarkStart w:id="12" w:name="_Toc1435199015"/>
      <w:bookmarkStart w:id="13" w:name="_Toc1139260735"/>
      <w:bookmarkStart w:id="14" w:name="_Toc1903170067"/>
      <w:bookmarkStart w:id="15" w:name="_Toc1556910768"/>
      <w:bookmarkStart w:id="16" w:name="_Toc916235753"/>
    </w:p>
    <w:p>
      <w:pPr>
        <w:pStyle w:val="12"/>
        <w:spacing w:line="560" w:lineRule="exact"/>
        <w:ind w:left="0" w:leftChars="0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8"/>
        </w:rPr>
      </w:pPr>
      <w:bookmarkStart w:id="17" w:name="_Toc1235599629"/>
      <w:bookmarkStart w:id="18" w:name="_Toc98150192"/>
      <w:r>
        <w:rPr>
          <w:rFonts w:hint="eastAsia" w:ascii="方正小标宋简体" w:hAnsi="仿宋" w:eastAsia="方正小标宋简体" w:cs="Times New Roman"/>
          <w:sz w:val="44"/>
          <w:szCs w:val="48"/>
        </w:rPr>
        <w:t>深圳市盐田区</w:t>
      </w:r>
      <w:bookmarkEnd w:id="17"/>
      <w:bookmarkEnd w:id="18"/>
      <w:r>
        <w:rPr>
          <w:rFonts w:hint="eastAsia" w:ascii="方正小标宋简体" w:hAnsi="仿宋" w:eastAsia="方正小标宋简体" w:cs="Times New Roman"/>
          <w:sz w:val="44"/>
          <w:szCs w:val="48"/>
        </w:rPr>
        <w:t>文旅产业扶持资金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Times New Roman"/>
          <w:sz w:val="44"/>
          <w:szCs w:val="48"/>
        </w:rPr>
      </w:pPr>
      <w:r>
        <w:rPr>
          <w:rFonts w:hint="eastAsia" w:ascii="方正小标宋简体" w:hAnsi="仿宋" w:eastAsia="方正小标宋简体" w:cs="Times New Roman"/>
          <w:sz w:val="44"/>
          <w:szCs w:val="48"/>
        </w:rPr>
        <w:t>绩效评价报告</w:t>
      </w:r>
    </w:p>
    <w:p/>
    <w:p>
      <w:pPr>
        <w:pStyle w:val="2"/>
      </w:pPr>
    </w:p>
    <w:p>
      <w:pPr>
        <w:pStyle w:val="2"/>
        <w:rPr>
          <w:sz w:val="72"/>
          <w:szCs w:val="72"/>
        </w:rPr>
      </w:pPr>
    </w:p>
    <w:p>
      <w:pPr>
        <w:pStyle w:val="2"/>
      </w:pPr>
    </w:p>
    <w:p>
      <w:pPr>
        <w:pStyle w:val="12"/>
        <w:ind w:left="0" w:leftChars="0"/>
        <w:jc w:val="left"/>
        <w:rPr>
          <w:rFonts w:hint="eastAsia" w:ascii="仿宋_GB2312" w:hAnsi="仿宋_GB2312" w:eastAsia="仿宋_GB2312"/>
          <w:sz w:val="28"/>
          <w:szCs w:val="32"/>
        </w:rPr>
      </w:pPr>
    </w:p>
    <w:p>
      <w:pPr>
        <w:pStyle w:val="12"/>
        <w:ind w:left="0" w:leftChars="0"/>
        <w:jc w:val="left"/>
        <w:rPr>
          <w:rFonts w:hint="eastAsia" w:ascii="仿宋_GB2312" w:hAnsi="仿宋_GB2312" w:eastAsia="仿宋_GB2312"/>
          <w:sz w:val="28"/>
          <w:szCs w:val="32"/>
        </w:rPr>
      </w:pPr>
    </w:p>
    <w:p>
      <w:pPr>
        <w:pStyle w:val="12"/>
        <w:ind w:left="0" w:leftChars="0"/>
        <w:jc w:val="left"/>
        <w:rPr>
          <w:rFonts w:hint="eastAsia" w:ascii="仿宋_GB2312" w:hAnsi="仿宋_GB2312" w:eastAsia="仿宋_GB2312"/>
          <w:sz w:val="28"/>
          <w:szCs w:val="32"/>
        </w:rPr>
      </w:pPr>
    </w:p>
    <w:p>
      <w:pPr>
        <w:rPr>
          <w:rFonts w:hint="eastAsia" w:ascii="仿宋_GB2312" w:hAnsi="仿宋_GB2312" w:eastAsia="仿宋_GB2312"/>
          <w:sz w:val="28"/>
          <w:szCs w:val="32"/>
        </w:rPr>
      </w:pPr>
    </w:p>
    <w:p>
      <w:pPr>
        <w:pStyle w:val="12"/>
        <w:ind w:left="0" w:leftChars="0"/>
        <w:jc w:val="left"/>
        <w:rPr>
          <w:rFonts w:hint="eastAsia" w:ascii="仿宋_GB2312" w:hAnsi="仿宋_GB2312" w:eastAsia="仿宋_GB2312"/>
          <w:sz w:val="28"/>
          <w:szCs w:val="32"/>
        </w:rPr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0"/>
        <w:rPr>
          <w:rFonts w:hint="default" w:ascii="方正小标宋简体" w:hAnsi="仿宋" w:eastAsia="方正小标宋简体" w:cstheme="minorBidi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仿宋" w:eastAsia="方正小标宋简体" w:cstheme="minorBidi"/>
          <w:w w:val="95"/>
          <w:kern w:val="2"/>
          <w:sz w:val="32"/>
          <w:szCs w:val="32"/>
          <w:lang w:val="en-US" w:eastAsia="zh-CN" w:bidi="ar-SA"/>
        </w:rPr>
        <w:t>深圳市盐田区财政局</w:t>
      </w:r>
    </w:p>
    <w:p>
      <w:pPr>
        <w:pStyle w:val="15"/>
        <w:tabs>
          <w:tab w:val="right" w:leader="dot" w:pos="8845"/>
        </w:tabs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footnotePr>
            <w:numFmt w:val="decimalEnclosedCircleChinese"/>
          </w:footnotePr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为深入贯彻落实全面实施预算绩效管理的要求，提高财政资金使用效益，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盐田区财政局对深圳市盐田区文化广电旅游体育局的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年文旅产业扶持专项资金开展绩效评价，涉及相关预算资金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781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万元。经评价，该项目评分为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分，评定等级为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，具体情况如下：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</w:pPr>
      <w:bookmarkStart w:id="19" w:name="_Toc250557994"/>
      <w:bookmarkStart w:id="20" w:name="_Toc1178916015"/>
      <w:bookmarkStart w:id="21" w:name="_Toc1535973390"/>
      <w:bookmarkStart w:id="22" w:name="_Toc519307119"/>
      <w:bookmarkStart w:id="23" w:name="_Toc96063027"/>
      <w:bookmarkStart w:id="24" w:name="_Toc1988725985"/>
      <w:bookmarkStart w:id="25" w:name="_Toc18621"/>
      <w:bookmarkStart w:id="26" w:name="_Toc28682"/>
      <w:bookmarkStart w:id="27" w:name="_Toc370310949"/>
      <w:bookmarkStart w:id="28" w:name="_Toc556098113"/>
      <w:r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  <w:t>一、基本情况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1"/>
        <w:rPr>
          <w:rFonts w:hint="eastAsia" w:ascii="楷体_GB2312" w:hAnsi="仿宋" w:eastAsia="楷体_GB2312" w:cs="宋体"/>
          <w:kern w:val="0"/>
          <w:sz w:val="32"/>
          <w:szCs w:val="32"/>
        </w:rPr>
      </w:pPr>
      <w:bookmarkStart w:id="29" w:name="_Toc203845143"/>
      <w:bookmarkStart w:id="30" w:name="_Toc1210233795"/>
      <w:bookmarkStart w:id="31" w:name="_Toc590976493"/>
      <w:bookmarkStart w:id="32" w:name="_Toc613707988"/>
      <w:bookmarkStart w:id="33" w:name="_Toc2060257038"/>
      <w:bookmarkStart w:id="34" w:name="_Toc56475908"/>
      <w:bookmarkStart w:id="35" w:name="_Toc754252461"/>
      <w:bookmarkStart w:id="36" w:name="_Toc1055893288"/>
      <w:bookmarkStart w:id="37" w:name="_Toc24367"/>
      <w:bookmarkStart w:id="38" w:name="_Toc1082147987"/>
      <w:bookmarkStart w:id="39" w:name="_Toc1357336883"/>
      <w:bookmarkStart w:id="40" w:name="_Toc1330271496"/>
      <w:bookmarkStart w:id="41" w:name="_Toc1791876785"/>
      <w:bookmarkStart w:id="42" w:name="_Toc2058522728"/>
      <w:bookmarkStart w:id="43" w:name="_Toc853522001"/>
      <w:bookmarkStart w:id="44" w:name="_Toc1943657784"/>
      <w:bookmarkStart w:id="45" w:name="_Toc492153447"/>
      <w:bookmarkStart w:id="46" w:name="_Toc606318154"/>
      <w:bookmarkStart w:id="47" w:name="_Toc1957877651"/>
      <w:bookmarkStart w:id="48" w:name="_Toc7917"/>
      <w:bookmarkStart w:id="49" w:name="_Toc1314358595"/>
      <w:bookmarkStart w:id="50" w:name="_Toc1771075892"/>
      <w:bookmarkStart w:id="51" w:name="_Toc621207625"/>
      <w:bookmarkStart w:id="52" w:name="_Toc14767"/>
      <w:bookmarkStart w:id="53" w:name="_Toc20624"/>
      <w:bookmarkStart w:id="54" w:name="_Toc408510837"/>
      <w:r>
        <w:rPr>
          <w:rFonts w:hint="eastAsia" w:ascii="楷体_GB2312" w:hAnsi="仿宋" w:eastAsia="楷体_GB2312" w:cs="宋体"/>
          <w:kern w:val="0"/>
          <w:sz w:val="32"/>
          <w:szCs w:val="32"/>
        </w:rPr>
        <w:t>（一）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hint="eastAsia" w:ascii="楷体_GB2312" w:hAnsi="仿宋" w:eastAsia="楷体_GB2312" w:cs="宋体"/>
          <w:kern w:val="0"/>
          <w:sz w:val="32"/>
          <w:szCs w:val="32"/>
        </w:rPr>
        <w:t>政策背景</w:t>
      </w:r>
      <w:bookmarkEnd w:id="51"/>
      <w:bookmarkEnd w:id="52"/>
      <w:bookmarkEnd w:id="53"/>
      <w:bookmarkEnd w:id="5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全域旅游产业是盐田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的传统优势产业，也是盐田区“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</w:rPr>
        <w:t>产业布局发展的重要产业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年盐田区旅游业收入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亿元，占盐田区第三产业的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盐田区为深入实施“全域+全季”旅游发展目标，实现“旅游+”产业融合，围绕“产业兴盐”战略，打造宜居宜业宜游的现代化国际化创新型滨海城区，出台了《盐田区全域旅游产业发展扶持办法》（深盐府办规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号，以下称“《全域旅游扶持办法》”），从引进培育旅游景区、引进培育优质住宿业、鼓励发展“旅游+”项目、鼓励旅游宣传推广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个方面共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条扶持措施进行扶持。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年，基于统筹协调扶持标准，形成产业政策合力等原因，盐田区将原有“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”产业政策体系（即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个产业资金管理规定和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个分项资金扶持政策），整合成一个综合性政策，即《盐田区构建现代产业体系促进经济高质量发展扶持办法》（深盐府规〔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号，以下简称“《高质量发展扶持办法（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年）》”），其中第四十三条至第四十六条条款由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区文体局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负责实施，该部分具体扶持条款涵盖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个扶持方向，主要包括：知名文旅和商贸品牌引入扶持、文旅消费项目新建扶持、文体旅商品牌活动和赛事资助、文旅消费发展扶持、数字创意产业发展扶持。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年，盐田区对《高质量发展扶持办法（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年）》进行修订，形成《盐田区构建现代产业体系促进经济高质量发展扶持办法（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年修订）》》(深盐府规〔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号，以下简称“《高质量发展扶持办法（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年）》”），该办法涉及旅游产业条款有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个方向，即第四十七条至第五十一条，扶持方向与《高质量发展扶持办法（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年）》一致。其中，知名文旅和商贸品牌引入扶持、数字创意产业发展扶持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个方向内容涉及调整。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1"/>
        <w:rPr>
          <w:rFonts w:hint="eastAsia" w:ascii="楷体_GB2312" w:hAnsi="仿宋" w:eastAsia="楷体_GB2312" w:cs="宋体"/>
          <w:kern w:val="0"/>
          <w:sz w:val="32"/>
          <w:szCs w:val="32"/>
        </w:rPr>
      </w:pPr>
      <w:bookmarkStart w:id="55" w:name="_Toc12481"/>
      <w:bookmarkStart w:id="56" w:name="_Toc336418000"/>
      <w:bookmarkStart w:id="57" w:name="_Toc1718545308"/>
      <w:bookmarkStart w:id="58" w:name="_Toc211"/>
      <w:r>
        <w:rPr>
          <w:rFonts w:hint="eastAsia" w:ascii="楷体_GB2312" w:hAnsi="仿宋" w:eastAsia="楷体_GB2312" w:cs="宋体"/>
          <w:kern w:val="0"/>
          <w:sz w:val="32"/>
          <w:szCs w:val="32"/>
        </w:rPr>
        <w:t>（二）政策内容</w:t>
      </w:r>
      <w:bookmarkEnd w:id="55"/>
      <w:bookmarkEnd w:id="56"/>
      <w:bookmarkEnd w:id="57"/>
      <w:bookmarkEnd w:id="5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74" w:firstLineChars="200"/>
        <w:jc w:val="left"/>
        <w:outlineLvl w:val="2"/>
        <w:rPr>
          <w:rFonts w:hint="eastAsia" w:ascii="仿宋_GB2312" w:hAnsi="仿宋_GB2312" w:eastAsia="仿宋_GB2312" w:cs="仿宋_GB2312"/>
          <w:b/>
          <w:bCs/>
          <w:w w:val="105"/>
          <w:sz w:val="32"/>
          <w:szCs w:val="32"/>
          <w:lang w:bidi="ar"/>
        </w:rPr>
      </w:pPr>
      <w:r>
        <w:rPr>
          <w:rFonts w:hint="default" w:ascii="Times New Roman Regular" w:hAnsi="Times New Roman Regular" w:eastAsia="仿宋_GB2312" w:cs="Times New Roman Regular"/>
          <w:b/>
          <w:bCs/>
          <w:w w:val="105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b/>
          <w:bCs/>
          <w:w w:val="105"/>
          <w:sz w:val="32"/>
          <w:szCs w:val="32"/>
          <w:lang w:eastAsia="zh-Hans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w w:val="105"/>
          <w:sz w:val="32"/>
          <w:szCs w:val="32"/>
          <w:lang w:bidi="ar"/>
        </w:rPr>
        <w:t>扶持对象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）《全域旅游扶持办法》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从事旅游、创意设计、影视动漫演艺音乐、文化软件及游戏、艺术服务、体育服务等领域的企业和机构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）《高质量发展扶持办法》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符合盐田区产业发展方向的企业、民办非企业单位、社会团体、机关事业单位或个人。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74" w:firstLineChars="200"/>
        <w:jc w:val="left"/>
        <w:outlineLvl w:val="2"/>
        <w:rPr>
          <w:rFonts w:hint="eastAsia" w:ascii="仿宋_GB2312" w:hAnsi="仿宋_GB2312" w:eastAsia="仿宋_GB2312" w:cs="仿宋_GB2312"/>
          <w:b/>
          <w:bCs/>
          <w:w w:val="105"/>
          <w:sz w:val="32"/>
          <w:szCs w:val="32"/>
          <w:lang w:bidi="ar"/>
        </w:rPr>
      </w:pPr>
      <w:r>
        <w:rPr>
          <w:rFonts w:hint="default" w:ascii="Times New Roman Regular" w:hAnsi="Times New Roman Regular" w:eastAsia="仿宋_GB2312" w:cs="Times New Roman Regular"/>
          <w:b/>
          <w:bCs/>
          <w:w w:val="105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b/>
          <w:bCs/>
          <w:w w:val="105"/>
          <w:sz w:val="32"/>
          <w:szCs w:val="32"/>
          <w:lang w:bidi="ar"/>
        </w:rPr>
        <w:t>.扶持条件及扶持标准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）《全域旅游扶持办法》政策扶持条件及标准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该政策包含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大扶持方向，具体涉及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个扶持方面，不同扶持方面具有不同扶持条件和标准，具体详见下表（具体扶持条件见附件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562" w:firstLineChars="200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表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-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《全域旅游扶持办法》政策扶持措施和标准</w:t>
      </w:r>
    </w:p>
    <w:tbl>
      <w:tblPr>
        <w:tblStyle w:val="21"/>
        <w:tblW w:w="93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1243"/>
        <w:gridCol w:w="4230"/>
        <w:gridCol w:w="32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54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扶持方向和措施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扶持标准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一、引进培育旅游景区</w:t>
            </w: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（一）鼓励旅游景区开展创优评级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分三档，分别不超过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万、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万、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（二）鼓励旅游景区（点）落户盐田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（三）鼓励旅游景区经营发展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二、引进培育优质住宿业</w:t>
            </w: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（一）鼓励住宿业开展创优评级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（二）鼓励酒店落户盐田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6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（三）鼓励酒店经营发展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7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（四）鼓励企业承接高端活动住宿接待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三、鼓励发展“旅游+”项目</w:t>
            </w: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（一）旅游+文体业态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9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（二）旅游+影视动漫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（三）旅游+文体空间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11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（四）旅游+配套扶持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12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（五）旅游+工业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13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（六）旅游+消费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14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（七）旅游+交通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15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（八）旅游+活动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16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（九）旅游+展会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17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（十）旅游+服务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18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（十一）旅游+健康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19</w:t>
            </w:r>
          </w:p>
        </w:tc>
        <w:tc>
          <w:tcPr>
            <w:tcW w:w="12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四、鼓励旅游宣传推广</w:t>
            </w: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（十二）鼓励开展盐田资源宣传推广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  <w:jc w:val="center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</w:p>
        </w:tc>
        <w:tc>
          <w:tcPr>
            <w:tcW w:w="12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（十三）鼓励企业开发旅游路线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年）》政策扶持条件及标准：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该政策包含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大扶持方向，具体涉及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个扶持方面，详见下表。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562" w:firstLineChars="200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表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-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《高质量发展扶持办法（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年）》扶持措施和标准</w:t>
      </w:r>
    </w:p>
    <w:tbl>
      <w:tblPr>
        <w:tblStyle w:val="21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890"/>
        <w:gridCol w:w="4027"/>
        <w:gridCol w:w="22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33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扶持方面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扶持标准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一、知名文旅、商贸品牌引入扶持</w:t>
            </w: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（一）支持企业引入知名品牌酒店或集团管理模式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（二）支持知名餐饮店及品牌民宿入驻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分三档，分别不超过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万、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万、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（三）支持商圈、街区运营单位引入知名消费品牌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二、文旅消费项目新建扶持</w:t>
            </w: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（一）建成后正常运营一年以上的大型文旅消费项目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</w:t>
            </w:r>
          </w:p>
        </w:tc>
        <w:tc>
          <w:tcPr>
            <w:tcW w:w="10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（二）新建或改造特色商圈（步行街）和夜间经济示范街区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市区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: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配套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6</w:t>
            </w:r>
          </w:p>
        </w:tc>
        <w:tc>
          <w:tcPr>
            <w:tcW w:w="10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三、文体旅商品牌活动和赛事资助</w:t>
            </w: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品牌活动和赛事资助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7</w:t>
            </w:r>
          </w:p>
        </w:tc>
        <w:tc>
          <w:tcPr>
            <w:tcW w:w="10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四、文旅消费发展扶持</w:t>
            </w: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（一）支持商业演出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8</w:t>
            </w:r>
          </w:p>
        </w:tc>
        <w:tc>
          <w:tcPr>
            <w:tcW w:w="10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（二）支持旅行社组织游客到盐田区旅游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9</w:t>
            </w:r>
          </w:p>
        </w:tc>
        <w:tc>
          <w:tcPr>
            <w:tcW w:w="10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五、数字创意产业发展扶持</w:t>
            </w: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（一）支持发展文旅数字创意体验项目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</w:t>
            </w:r>
          </w:p>
        </w:tc>
        <w:tc>
          <w:tcPr>
            <w:tcW w:w="10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（二）支持文化创作和传播平台建设</w:t>
            </w:r>
          </w:p>
        </w:tc>
        <w:tc>
          <w:tcPr>
            <w:tcW w:w="12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）《高质量发展扶持办法（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年）》政策扶持条件及标准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该政策包含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大扶持方向，具体涉及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个扶持方面，详见下表。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562" w:firstLineChars="200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表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-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《高质量发展扶持办法（</w:t>
      </w:r>
      <w:r>
        <w:rPr>
          <w:rFonts w:hint="default" w:ascii="Times New Roman Regular" w:hAnsi="Times New Roman Regular" w:eastAsia="仿宋_GB2312" w:cs="Times New Roman Regular"/>
          <w:b/>
          <w:kern w:val="0"/>
          <w:sz w:val="28"/>
          <w:szCs w:val="28"/>
        </w:rPr>
        <w:t>2023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年）》扶持措施和标准</w:t>
      </w:r>
    </w:p>
    <w:tbl>
      <w:tblPr>
        <w:tblStyle w:val="21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1880"/>
        <w:gridCol w:w="4613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bookmarkStart w:id="89" w:name="_GoBack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6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扶持方面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扶持标准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</w:t>
            </w:r>
          </w:p>
        </w:tc>
        <w:tc>
          <w:tcPr>
            <w:tcW w:w="10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一、知名文旅品牌引入扶持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（一）支持企业引入知名品牌酒店或集团管理模式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</w:t>
            </w: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（二）支持民宿、露营地等住宿业布局建设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</w:t>
            </w:r>
          </w:p>
        </w:tc>
        <w:tc>
          <w:tcPr>
            <w:tcW w:w="10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二、文旅消费项目新建扶持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（一）建成后正常运营一年以上的文旅消费项目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-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4</w:t>
            </w: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（二）对空中游览、海上休闲、跨境海岛游、科普基地、生态康养等新建特色旅游项目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</w:t>
            </w:r>
          </w:p>
        </w:tc>
        <w:tc>
          <w:tcPr>
            <w:tcW w:w="10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三、文体旅商品牌活动和赛事资助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品牌活动和赛事资助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6</w:t>
            </w:r>
          </w:p>
        </w:tc>
        <w:tc>
          <w:tcPr>
            <w:tcW w:w="10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四、文旅消费发展扶持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（一）支持旅行社发展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7</w:t>
            </w: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（二）支持旅行社开发精品旅游线路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8</w:t>
            </w: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（三）支持旅行社组织游客到盐田区住宿过夜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9</w:t>
            </w: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（四）支持各类企业来盐举办会议、论坛、宴会等团队业务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不超过 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</w:t>
            </w:r>
          </w:p>
        </w:tc>
        <w:tc>
          <w:tcPr>
            <w:tcW w:w="10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五、数字创意产业发展扶持</w:t>
            </w: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（一）支持发展文旅数字创意体验项目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11</w:t>
            </w:r>
          </w:p>
        </w:tc>
        <w:tc>
          <w:tcPr>
            <w:tcW w:w="10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5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（二）支持文化创作和传播平台建设</w:t>
            </w:r>
          </w:p>
        </w:tc>
        <w:tc>
          <w:tcPr>
            <w:tcW w:w="9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不超过</w:t>
            </w:r>
            <w:r>
              <w:rPr>
                <w:rFonts w:hint="default" w:ascii="Times New Roman Regular" w:hAnsi="Times New Roman Regular" w:eastAsia="仿宋_GB2312" w:cs="Times New Roman Regular"/>
                <w:kern w:val="0"/>
                <w:sz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万</w:t>
            </w:r>
          </w:p>
        </w:tc>
      </w:tr>
      <w:bookmarkEnd w:id="89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1"/>
        <w:rPr>
          <w:rFonts w:hint="eastAsia" w:ascii="楷体_GB2312" w:hAnsi="仿宋" w:eastAsia="楷体_GB2312" w:cs="宋体"/>
          <w:kern w:val="0"/>
          <w:sz w:val="32"/>
          <w:szCs w:val="32"/>
        </w:rPr>
      </w:pPr>
      <w:bookmarkStart w:id="59" w:name="_Toc2000367096"/>
      <w:bookmarkStart w:id="60" w:name="_Toc29643"/>
      <w:bookmarkStart w:id="61" w:name="_Toc2083423053"/>
      <w:bookmarkStart w:id="62" w:name="_Toc2299"/>
      <w:r>
        <w:rPr>
          <w:rFonts w:hint="eastAsia" w:ascii="楷体_GB2312" w:hAnsi="仿宋" w:eastAsia="楷体_GB2312" w:cs="宋体"/>
          <w:kern w:val="0"/>
          <w:sz w:val="32"/>
          <w:szCs w:val="32"/>
        </w:rPr>
        <w:t>（三）资金情况</w:t>
      </w:r>
      <w:bookmarkEnd w:id="59"/>
      <w:bookmarkEnd w:id="60"/>
      <w:bookmarkEnd w:id="61"/>
      <w:bookmarkEnd w:id="6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从预算安排和执行情况来看，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年旅游产业政策发展扶持项目年初共安排财政资金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781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万元，调整后预算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064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万元，除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年拟资助尚未形成实际支出外，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年预算执行数共计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379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bookmarkStart w:id="63" w:name="_Toc1370387436"/>
      <w:bookmarkStart w:id="64" w:name="_Toc23466"/>
      <w:bookmarkStart w:id="65" w:name="_Toc16075"/>
      <w:bookmarkStart w:id="66" w:name="_Toc131328868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  <w:t>二、</w:t>
      </w:r>
      <w:bookmarkEnd w:id="63"/>
      <w:bookmarkEnd w:id="64"/>
      <w:bookmarkEnd w:id="65"/>
      <w:bookmarkEnd w:id="66"/>
      <w:r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  <w:t>重点绩效评价结果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本次绩效评价从政策设立、政策执行、政策产出、政策效果等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个方面进行评价。在现场调研和材料核查的基础上，绩效评价工作组根据该项目的绩效评价指标体系进行综合评价，得分为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分，评价等级为“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</w:pPr>
      <w:bookmarkStart w:id="67" w:name="_Toc237952948"/>
      <w:bookmarkStart w:id="68" w:name="_Toc1021616264"/>
      <w:bookmarkStart w:id="69" w:name="_Toc9646"/>
      <w:bookmarkStart w:id="70" w:name="_Toc10391"/>
      <w:r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  <w:t>三、项目成效</w:t>
      </w:r>
      <w:bookmarkEnd w:id="67"/>
      <w:bookmarkEnd w:id="68"/>
      <w:bookmarkEnd w:id="69"/>
      <w:bookmarkEnd w:id="7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71" w:name="_Toc1498181215"/>
      <w:bookmarkStart w:id="72" w:name="_Toc8786"/>
      <w:bookmarkStart w:id="73" w:name="_Toc660646322"/>
      <w:bookmarkStart w:id="74" w:name="_Toc15842"/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资金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取得的主要成效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为：一是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有效促进文旅产业发展，文旅产值规模大、增速快。二是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鼓励发展“旅游+”项目，有效推动文旅产业深度融合发展。三是持续扶持品牌活动与赛事，文旅赛事培育情况良好。四是成功培育优质住宿业，带动酒店经营发展。</w:t>
      </w:r>
      <w:bookmarkEnd w:id="71"/>
      <w:bookmarkEnd w:id="72"/>
      <w:bookmarkEnd w:id="73"/>
      <w:bookmarkEnd w:id="7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</w:pPr>
      <w:bookmarkStart w:id="75" w:name="_Toc16560"/>
      <w:bookmarkStart w:id="76" w:name="_Toc1589227142"/>
      <w:bookmarkStart w:id="77" w:name="_Toc555642914"/>
      <w:bookmarkStart w:id="78" w:name="_Toc12988"/>
      <w:r>
        <w:rPr>
          <w:rFonts w:hint="eastAsia" w:ascii="黑体" w:hAnsi="黑体" w:eastAsia="黑体" w:cs="宋体"/>
          <w:kern w:val="0"/>
          <w:sz w:val="32"/>
          <w:szCs w:val="32"/>
          <w:lang w:eastAsia="zh-Hans"/>
        </w:rPr>
        <w:t>四、存在问题</w:t>
      </w:r>
      <w:bookmarkEnd w:id="75"/>
      <w:bookmarkEnd w:id="76"/>
      <w:bookmarkEnd w:id="77"/>
      <w:bookmarkEnd w:id="78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1"/>
        <w:rPr>
          <w:rFonts w:hint="eastAsia" w:ascii="楷体_GB2312" w:hAnsi="仿宋" w:eastAsia="楷体_GB2312" w:cs="宋体"/>
          <w:kern w:val="0"/>
          <w:sz w:val="32"/>
          <w:szCs w:val="32"/>
          <w:lang w:val="en-US" w:eastAsia="zh-CN"/>
        </w:rPr>
      </w:pPr>
      <w:bookmarkStart w:id="79" w:name="_Toc7325"/>
      <w:bookmarkStart w:id="80" w:name="_Toc9269"/>
      <w:bookmarkStart w:id="81" w:name="_Toc1886457855"/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评价发现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的问题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主要为：一是政策设计不够合理，引导作用难以发挥。二是政策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对企业申报引导作用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弱，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对企业成长促进作用有限。三是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责任主体履职不够到位，政策执行较为粗放。</w:t>
      </w:r>
    </w:p>
    <w:bookmarkEnd w:id="79"/>
    <w:bookmarkEnd w:id="80"/>
    <w:bookmarkEnd w:id="81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0"/>
        <w:rPr>
          <w:rFonts w:hint="eastAsia" w:ascii="黑体" w:hAnsi="黑体" w:eastAsia="黑体" w:cs="宋体"/>
          <w:kern w:val="0"/>
          <w:sz w:val="32"/>
          <w:szCs w:val="32"/>
        </w:rPr>
      </w:pPr>
      <w:bookmarkStart w:id="82" w:name="_Toc10442"/>
      <w:bookmarkStart w:id="83" w:name="_Toc13102"/>
      <w:bookmarkStart w:id="84" w:name="_Toc718604450"/>
      <w:bookmarkStart w:id="85" w:name="_Toc1736089747"/>
      <w:r>
        <w:rPr>
          <w:rFonts w:hint="eastAsia" w:ascii="黑体" w:hAnsi="黑体" w:eastAsia="黑体" w:cs="宋体"/>
          <w:kern w:val="0"/>
          <w:sz w:val="32"/>
          <w:szCs w:val="32"/>
        </w:rPr>
        <w:t>五、相关建议</w:t>
      </w:r>
      <w:bookmarkEnd w:id="82"/>
      <w:bookmarkEnd w:id="83"/>
      <w:bookmarkEnd w:id="8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ind w:firstLine="640" w:firstLineChars="200"/>
        <w:jc w:val="left"/>
        <w:outlineLvl w:val="1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</w:pPr>
      <w:bookmarkStart w:id="86" w:name="_Toc136960422"/>
      <w:bookmarkStart w:id="87" w:name="_Toc7327"/>
      <w:bookmarkStart w:id="88" w:name="_Toc9675"/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一是优化政策扶持条款，强化资金引导。二是优化政策扶持，促进产业链协同。三是完善政策配套机制，压实项目监管主体责任。</w:t>
      </w:r>
    </w:p>
    <w:bookmarkEnd w:id="86"/>
    <w:bookmarkEnd w:id="87"/>
    <w:bookmarkEnd w:id="88"/>
    <w:p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16"/>
    <w:bookmarkEnd w:id="85"/>
    <w:p/>
    <w:sectPr>
      <w:footerReference r:id="rId6" w:type="default"/>
      <w:footnotePr>
        <w:numFmt w:val="decimalEnclosedCircleChinese"/>
      </w:footnote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方正书宋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Noto Sans CJK HK DemiLight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Noto Sans CJK HK DemiLight">
    <w:panose1 w:val="020B0400000000000000"/>
    <w:charset w:val="88"/>
    <w:family w:val="auto"/>
    <w:pitch w:val="default"/>
    <w:sig w:usb0="30000083" w:usb1="2BDF3C10" w:usb2="00000016" w:usb3="00000000" w:csb0="603A0107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06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/>
  </w:footnote>
  <w:footnote w:type="continuationSeparator" w:id="5">
    <w:p/>
  </w:footnote>
  <w:footnote w:id="0">
    <w:p>
      <w:pPr>
        <w:pStyle w:val="16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Style w:val="28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eastAsia="zh-Hans"/>
        </w:rPr>
        <w:t>根据《项目支出绩效评价管理办法》（财预〔</w:t>
      </w:r>
      <w:r>
        <w:rPr>
          <w:rFonts w:ascii="Times New Roman Regular" w:hAnsi="Times New Roman Regular" w:eastAsia="仿宋_GB2312" w:cs="Times New Roman Regular"/>
          <w:sz w:val="21"/>
          <w:szCs w:val="21"/>
          <w:lang w:eastAsia="zh-Hans"/>
        </w:rPr>
        <w:t>2020</w:t>
      </w:r>
      <w:r>
        <w:rPr>
          <w:rFonts w:hint="eastAsia" w:ascii="仿宋_GB2312" w:hAnsi="仿宋_GB2312" w:eastAsia="仿宋_GB2312" w:cs="仿宋_GB2312"/>
          <w:sz w:val="21"/>
          <w:szCs w:val="21"/>
          <w:lang w:eastAsia="zh-Hans"/>
        </w:rPr>
        <w:t>〕</w:t>
      </w:r>
      <w:r>
        <w:rPr>
          <w:rFonts w:ascii="Times New Roman Regular" w:hAnsi="Times New Roman Regular" w:eastAsia="仿宋_GB2312" w:cs="Times New Roman Regular"/>
          <w:sz w:val="21"/>
          <w:szCs w:val="21"/>
          <w:lang w:eastAsia="zh-Hans"/>
        </w:rPr>
        <w:t>10</w:t>
      </w:r>
      <w:r>
        <w:rPr>
          <w:rFonts w:hint="eastAsia" w:ascii="仿宋_GB2312" w:hAnsi="仿宋_GB2312" w:eastAsia="仿宋_GB2312" w:cs="仿宋_GB2312"/>
          <w:sz w:val="21"/>
          <w:szCs w:val="21"/>
          <w:lang w:eastAsia="zh-Hans"/>
        </w:rPr>
        <w:t xml:space="preserve"> 号），</w:t>
      </w:r>
      <w:r>
        <w:rPr>
          <w:rFonts w:hint="eastAsia" w:ascii="仿宋_GB2312" w:hAnsi="仿宋_GB2312" w:eastAsia="仿宋_GB2312" w:cs="仿宋_GB2312"/>
          <w:sz w:val="21"/>
          <w:szCs w:val="21"/>
        </w:rPr>
        <w:t>总分一般设置为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100</w:t>
      </w:r>
      <w:r>
        <w:rPr>
          <w:rFonts w:hint="eastAsia" w:ascii="仿宋_GB2312" w:hAnsi="仿宋_GB2312" w:eastAsia="仿宋_GB2312" w:cs="仿宋_GB2312"/>
          <w:sz w:val="21"/>
          <w:szCs w:val="21"/>
        </w:rPr>
        <w:t>分，等级一般划分为四档：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90</w:t>
      </w:r>
      <w:r>
        <w:rPr>
          <w:rFonts w:hint="eastAsia" w:ascii="仿宋_GB2312" w:hAnsi="仿宋_GB2312" w:eastAsia="仿宋_GB2312" w:cs="仿宋_GB2312"/>
          <w:sz w:val="21"/>
          <w:szCs w:val="21"/>
        </w:rPr>
        <w:t>（含）-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100</w:t>
      </w:r>
      <w:r>
        <w:rPr>
          <w:rFonts w:hint="eastAsia" w:ascii="仿宋_GB2312" w:hAnsi="仿宋_GB2312" w:eastAsia="仿宋_GB2312" w:cs="仿宋_GB2312"/>
          <w:sz w:val="21"/>
          <w:szCs w:val="21"/>
        </w:rPr>
        <w:t>分为优、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80</w:t>
      </w:r>
      <w:r>
        <w:rPr>
          <w:rFonts w:hint="eastAsia" w:ascii="仿宋_GB2312" w:hAnsi="仿宋_GB2312" w:eastAsia="仿宋_GB2312" w:cs="仿宋_GB2312"/>
          <w:sz w:val="21"/>
          <w:szCs w:val="21"/>
        </w:rPr>
        <w:t>（含）-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90</w:t>
      </w:r>
      <w:r>
        <w:rPr>
          <w:rFonts w:hint="eastAsia" w:ascii="仿宋_GB2312" w:hAnsi="仿宋_GB2312" w:eastAsia="仿宋_GB2312" w:cs="仿宋_GB2312"/>
          <w:sz w:val="21"/>
          <w:szCs w:val="21"/>
        </w:rPr>
        <w:t>分为良、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60</w:t>
      </w:r>
      <w:r>
        <w:rPr>
          <w:rFonts w:hint="eastAsia" w:ascii="仿宋_GB2312" w:hAnsi="仿宋_GB2312" w:eastAsia="仿宋_GB2312" w:cs="仿宋_GB2312"/>
          <w:sz w:val="21"/>
          <w:szCs w:val="21"/>
        </w:rPr>
        <w:t>（含）-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80</w:t>
      </w:r>
      <w:r>
        <w:rPr>
          <w:rFonts w:hint="eastAsia" w:ascii="仿宋_GB2312" w:hAnsi="仿宋_GB2312" w:eastAsia="仿宋_GB2312" w:cs="仿宋_GB2312"/>
          <w:sz w:val="21"/>
          <w:szCs w:val="21"/>
        </w:rPr>
        <w:t>分为中、</w:t>
      </w:r>
      <w:r>
        <w:rPr>
          <w:rFonts w:ascii="Times New Roman Regular" w:hAnsi="Times New Roman Regular" w:eastAsia="仿宋_GB2312" w:cs="Times New Roman Regular"/>
          <w:sz w:val="21"/>
          <w:szCs w:val="21"/>
        </w:rPr>
        <w:t>60</w:t>
      </w:r>
      <w:r>
        <w:rPr>
          <w:rFonts w:hint="eastAsia" w:ascii="仿宋_GB2312" w:hAnsi="仿宋_GB2312" w:eastAsia="仿宋_GB2312" w:cs="仿宋_GB2312"/>
          <w:sz w:val="21"/>
          <w:szCs w:val="21"/>
        </w:rPr>
        <w:t>分以下为差。</w:t>
      </w:r>
    </w:p>
  </w:footnote>
  <w:footnote w:id="1">
    <w:p>
      <w:pPr>
        <w:pStyle w:val="16"/>
      </w:pPr>
      <w:r>
        <w:rPr>
          <w:rStyle w:val="28"/>
        </w:rPr>
        <w:footnoteRef/>
      </w:r>
      <w:r>
        <w:t xml:space="preserve"> </w:t>
      </w:r>
      <w:r>
        <w:rPr>
          <w:rFonts w:hint="eastAsia"/>
        </w:rPr>
        <w:t>《盐田区产业发展第十四个五年规划》的重点任务和方向是构建“3+3+2”的现代产业体系，形成高端航运服务、黄金珠宝、全域旅游等三大传统优势产业，全力布局生命健康、海洋新兴产业、人工智能与数字经济等三大战略性新兴产业，加快发展总部经济、特色金融等两大高端服务业态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OGE0MDNiOTA3MGM4NTE2MDA4NWNkODRiNTkyYWIifQ=="/>
  </w:docVars>
  <w:rsids>
    <w:rsidRoot w:val="3DD7A123"/>
    <w:rsid w:val="0002309F"/>
    <w:rsid w:val="0002567E"/>
    <w:rsid w:val="00033BBB"/>
    <w:rsid w:val="0007398F"/>
    <w:rsid w:val="000E275A"/>
    <w:rsid w:val="0013294F"/>
    <w:rsid w:val="00152E37"/>
    <w:rsid w:val="001E5269"/>
    <w:rsid w:val="002179FA"/>
    <w:rsid w:val="0036639F"/>
    <w:rsid w:val="004164B2"/>
    <w:rsid w:val="00471CAA"/>
    <w:rsid w:val="004F6F16"/>
    <w:rsid w:val="005E4B6E"/>
    <w:rsid w:val="006613DE"/>
    <w:rsid w:val="006C3788"/>
    <w:rsid w:val="007058F3"/>
    <w:rsid w:val="00783F8E"/>
    <w:rsid w:val="00803A20"/>
    <w:rsid w:val="00872055"/>
    <w:rsid w:val="00880179"/>
    <w:rsid w:val="00977208"/>
    <w:rsid w:val="009C568E"/>
    <w:rsid w:val="009D6D08"/>
    <w:rsid w:val="009F4136"/>
    <w:rsid w:val="00A924AF"/>
    <w:rsid w:val="00B40A73"/>
    <w:rsid w:val="00C014DB"/>
    <w:rsid w:val="00C45DCF"/>
    <w:rsid w:val="00D404D5"/>
    <w:rsid w:val="00D82B35"/>
    <w:rsid w:val="00E902DE"/>
    <w:rsid w:val="00EB3F9D"/>
    <w:rsid w:val="00F542DE"/>
    <w:rsid w:val="00F634FF"/>
    <w:rsid w:val="00FB4DAC"/>
    <w:rsid w:val="00FC5B99"/>
    <w:rsid w:val="00FE48A9"/>
    <w:rsid w:val="018A1427"/>
    <w:rsid w:val="06CB49BC"/>
    <w:rsid w:val="08F92C3F"/>
    <w:rsid w:val="0B0F299D"/>
    <w:rsid w:val="0CF318F7"/>
    <w:rsid w:val="0DDC125D"/>
    <w:rsid w:val="0E184557"/>
    <w:rsid w:val="0E1E7AC7"/>
    <w:rsid w:val="1030763E"/>
    <w:rsid w:val="11A26319"/>
    <w:rsid w:val="127C0E76"/>
    <w:rsid w:val="15467CAB"/>
    <w:rsid w:val="1EE3D66F"/>
    <w:rsid w:val="1FF738E9"/>
    <w:rsid w:val="220F3557"/>
    <w:rsid w:val="2729154B"/>
    <w:rsid w:val="27A7694A"/>
    <w:rsid w:val="2B165956"/>
    <w:rsid w:val="2BE336E6"/>
    <w:rsid w:val="2C155C0E"/>
    <w:rsid w:val="2E8C4181"/>
    <w:rsid w:val="2FBB2F70"/>
    <w:rsid w:val="2FF9B615"/>
    <w:rsid w:val="31436D79"/>
    <w:rsid w:val="33BF2903"/>
    <w:rsid w:val="35914F53"/>
    <w:rsid w:val="3655039F"/>
    <w:rsid w:val="36C22E36"/>
    <w:rsid w:val="36D6DE1C"/>
    <w:rsid w:val="37DBE61B"/>
    <w:rsid w:val="37EA96E1"/>
    <w:rsid w:val="39DC420F"/>
    <w:rsid w:val="3B404329"/>
    <w:rsid w:val="3BD7B3AD"/>
    <w:rsid w:val="3C12367F"/>
    <w:rsid w:val="3CC609DF"/>
    <w:rsid w:val="3CD967E3"/>
    <w:rsid w:val="3D435C4D"/>
    <w:rsid w:val="3D851426"/>
    <w:rsid w:val="3DAB80FC"/>
    <w:rsid w:val="3DD7A123"/>
    <w:rsid w:val="3EFFA8FB"/>
    <w:rsid w:val="3F277CDA"/>
    <w:rsid w:val="3FDC0D58"/>
    <w:rsid w:val="3FDFB09E"/>
    <w:rsid w:val="3FDFBBA8"/>
    <w:rsid w:val="3FE511E8"/>
    <w:rsid w:val="3FFDE0FD"/>
    <w:rsid w:val="3FFF5342"/>
    <w:rsid w:val="41A73354"/>
    <w:rsid w:val="42DD1F09"/>
    <w:rsid w:val="42E36010"/>
    <w:rsid w:val="447861E5"/>
    <w:rsid w:val="459143E8"/>
    <w:rsid w:val="46BA3849"/>
    <w:rsid w:val="47E4BB9E"/>
    <w:rsid w:val="47EA7AF7"/>
    <w:rsid w:val="48315726"/>
    <w:rsid w:val="48C90054"/>
    <w:rsid w:val="4A392FB7"/>
    <w:rsid w:val="4DFC7301"/>
    <w:rsid w:val="4E8F764A"/>
    <w:rsid w:val="4F3D13B6"/>
    <w:rsid w:val="4F6BF1A0"/>
    <w:rsid w:val="4FF1F79B"/>
    <w:rsid w:val="55F40DB0"/>
    <w:rsid w:val="59BEE4B1"/>
    <w:rsid w:val="59DF4501"/>
    <w:rsid w:val="59FA62BF"/>
    <w:rsid w:val="5C5BCDAA"/>
    <w:rsid w:val="5DEFBBEF"/>
    <w:rsid w:val="5DFFDB9D"/>
    <w:rsid w:val="5E565A8E"/>
    <w:rsid w:val="5EDBF1F0"/>
    <w:rsid w:val="5F23CAD8"/>
    <w:rsid w:val="5F6F9ACE"/>
    <w:rsid w:val="5F830B05"/>
    <w:rsid w:val="5FB77B13"/>
    <w:rsid w:val="5FBD3969"/>
    <w:rsid w:val="5FF7341D"/>
    <w:rsid w:val="6042276E"/>
    <w:rsid w:val="63494FF3"/>
    <w:rsid w:val="66252916"/>
    <w:rsid w:val="67DF102E"/>
    <w:rsid w:val="6B37A3B6"/>
    <w:rsid w:val="6B7E069D"/>
    <w:rsid w:val="6BA41D98"/>
    <w:rsid w:val="6BF347A8"/>
    <w:rsid w:val="6C7A3290"/>
    <w:rsid w:val="6CFE4204"/>
    <w:rsid w:val="6DB91193"/>
    <w:rsid w:val="6ED10CCC"/>
    <w:rsid w:val="6F2A78B6"/>
    <w:rsid w:val="6F71483F"/>
    <w:rsid w:val="6FF22BD0"/>
    <w:rsid w:val="6FF4D404"/>
    <w:rsid w:val="71DD39B4"/>
    <w:rsid w:val="721C5745"/>
    <w:rsid w:val="733F1A14"/>
    <w:rsid w:val="73FE5AE6"/>
    <w:rsid w:val="74B773BC"/>
    <w:rsid w:val="74DE10F2"/>
    <w:rsid w:val="75F7089C"/>
    <w:rsid w:val="777BB644"/>
    <w:rsid w:val="77BF586D"/>
    <w:rsid w:val="77FA5B86"/>
    <w:rsid w:val="77FB37E3"/>
    <w:rsid w:val="77FC18AD"/>
    <w:rsid w:val="78F90183"/>
    <w:rsid w:val="79782264"/>
    <w:rsid w:val="7A9F6AA5"/>
    <w:rsid w:val="7AFEE292"/>
    <w:rsid w:val="7AFFDBF8"/>
    <w:rsid w:val="7B38178B"/>
    <w:rsid w:val="7BED4052"/>
    <w:rsid w:val="7BEDEFDE"/>
    <w:rsid w:val="7BFFD0BE"/>
    <w:rsid w:val="7C6B49A3"/>
    <w:rsid w:val="7DF72073"/>
    <w:rsid w:val="7DF91369"/>
    <w:rsid w:val="7DFD7981"/>
    <w:rsid w:val="7DFDF9A7"/>
    <w:rsid w:val="7E9C52E7"/>
    <w:rsid w:val="7ED73120"/>
    <w:rsid w:val="7F2D5F40"/>
    <w:rsid w:val="7F631961"/>
    <w:rsid w:val="7F770178"/>
    <w:rsid w:val="7F79C9DB"/>
    <w:rsid w:val="7F7F409C"/>
    <w:rsid w:val="7F7FBB18"/>
    <w:rsid w:val="7FDF2751"/>
    <w:rsid w:val="7FDFF87A"/>
    <w:rsid w:val="7FEE2632"/>
    <w:rsid w:val="7FFDDC80"/>
    <w:rsid w:val="7FFEEF53"/>
    <w:rsid w:val="9AAB2FEB"/>
    <w:rsid w:val="9BBB4277"/>
    <w:rsid w:val="9DFFD4BD"/>
    <w:rsid w:val="9EDF5A3F"/>
    <w:rsid w:val="9F3F9BB5"/>
    <w:rsid w:val="9FBB1A0A"/>
    <w:rsid w:val="A5FF4E6B"/>
    <w:rsid w:val="AEFE258B"/>
    <w:rsid w:val="AFDFA66A"/>
    <w:rsid w:val="B2F1FD87"/>
    <w:rsid w:val="B31F363C"/>
    <w:rsid w:val="B6D7B6D5"/>
    <w:rsid w:val="B7EC6F62"/>
    <w:rsid w:val="B9F91F40"/>
    <w:rsid w:val="BBF87BA1"/>
    <w:rsid w:val="BDBF73E1"/>
    <w:rsid w:val="BF6F26CC"/>
    <w:rsid w:val="BF8F621A"/>
    <w:rsid w:val="BFE3C400"/>
    <w:rsid w:val="C57F540E"/>
    <w:rsid w:val="CEFFC3C2"/>
    <w:rsid w:val="CF66D482"/>
    <w:rsid w:val="CFBAAA03"/>
    <w:rsid w:val="CFFF01B5"/>
    <w:rsid w:val="D7B903C2"/>
    <w:rsid w:val="D7F3FEEA"/>
    <w:rsid w:val="D8B76B17"/>
    <w:rsid w:val="DAFFDD0A"/>
    <w:rsid w:val="DBF3029C"/>
    <w:rsid w:val="DC970127"/>
    <w:rsid w:val="DDFFA11A"/>
    <w:rsid w:val="DFB74FD3"/>
    <w:rsid w:val="DFEF88A4"/>
    <w:rsid w:val="DFF864DF"/>
    <w:rsid w:val="E3FBF513"/>
    <w:rsid w:val="E5D62F18"/>
    <w:rsid w:val="E6EB1BCF"/>
    <w:rsid w:val="E76789CC"/>
    <w:rsid w:val="EDEF4962"/>
    <w:rsid w:val="EEBFAE4A"/>
    <w:rsid w:val="EEDE4B51"/>
    <w:rsid w:val="EFFA7540"/>
    <w:rsid w:val="F27D5389"/>
    <w:rsid w:val="F2B43D08"/>
    <w:rsid w:val="F2E69703"/>
    <w:rsid w:val="F32E4BF9"/>
    <w:rsid w:val="F66CC25F"/>
    <w:rsid w:val="F7EB1948"/>
    <w:rsid w:val="F7FE4457"/>
    <w:rsid w:val="F8A169CB"/>
    <w:rsid w:val="F8D64B06"/>
    <w:rsid w:val="F9DD60FE"/>
    <w:rsid w:val="FAFF2481"/>
    <w:rsid w:val="FB3FD13F"/>
    <w:rsid w:val="FB8DA9E0"/>
    <w:rsid w:val="FB8F9383"/>
    <w:rsid w:val="FBF4103C"/>
    <w:rsid w:val="FBFB00C5"/>
    <w:rsid w:val="FBFB85EE"/>
    <w:rsid w:val="FD9B7032"/>
    <w:rsid w:val="FDFFA8E7"/>
    <w:rsid w:val="FE3C9980"/>
    <w:rsid w:val="FEFF0502"/>
    <w:rsid w:val="FEFF4D21"/>
    <w:rsid w:val="FF25E257"/>
    <w:rsid w:val="FF5F1559"/>
    <w:rsid w:val="FF69932E"/>
    <w:rsid w:val="FFBE6421"/>
    <w:rsid w:val="FFC369DF"/>
    <w:rsid w:val="FFEF0858"/>
    <w:rsid w:val="FFEF43DB"/>
    <w:rsid w:val="FFF52840"/>
    <w:rsid w:val="FFFA884F"/>
    <w:rsid w:val="FFFBEE10"/>
    <w:rsid w:val="FFFE2BA5"/>
    <w:rsid w:val="FF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34"/>
      <w:szCs w:val="3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Normal Indent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paragraph" w:styleId="8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9">
    <w:name w:val="annotation text"/>
    <w:basedOn w:val="1"/>
    <w:link w:val="39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1"/>
    </w:rPr>
  </w:style>
  <w:style w:type="paragraph" w:styleId="11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9"/>
    <w:next w:val="9"/>
    <w:link w:val="40"/>
    <w:qFormat/>
    <w:uiPriority w:val="0"/>
    <w:rPr>
      <w:b/>
      <w:bCs/>
    </w:rPr>
  </w:style>
  <w:style w:type="paragraph" w:styleId="20">
    <w:name w:val="Body Text First Indent 2"/>
    <w:basedOn w:val="10"/>
    <w:qFormat/>
    <w:uiPriority w:val="0"/>
    <w:pPr>
      <w:spacing w:after="0"/>
      <w:ind w:firstLine="420" w:firstLineChars="200"/>
    </w:pPr>
    <w:rPr>
      <w:sz w:val="30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qFormat/>
    <w:uiPriority w:val="0"/>
    <w:rPr>
      <w:color w:val="0000FF"/>
      <w:u w:val="single"/>
    </w:rPr>
  </w:style>
  <w:style w:type="character" w:styleId="27">
    <w:name w:val="annotation reference"/>
    <w:basedOn w:val="23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paragraph" w:customStyle="1" w:styleId="29">
    <w:name w:val="报告正文"/>
    <w:basedOn w:val="1"/>
    <w:qFormat/>
    <w:uiPriority w:val="0"/>
    <w:pPr>
      <w:spacing w:line="560" w:lineRule="exact"/>
      <w:ind w:left="100" w:leftChars="100" w:firstLine="420" w:firstLineChars="200"/>
    </w:pPr>
    <w:rPr>
      <w:rFonts w:eastAsia="仿宋_GB2312" w:cs="仿宋_GB2312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30">
    <w:name w:val="文本"/>
    <w:basedOn w:val="1"/>
    <w:next w:val="7"/>
    <w:qFormat/>
    <w:uiPriority w:val="0"/>
    <w:pPr>
      <w:spacing w:line="360" w:lineRule="auto"/>
      <w:ind w:firstLine="480"/>
    </w:pPr>
    <w:rPr>
      <w:rFonts w:ascii="Times New Roman" w:hAnsi="Times New Roman" w:eastAsia="方正仿宋简体"/>
      <w:sz w:val="24"/>
      <w:szCs w:val="22"/>
    </w:rPr>
  </w:style>
  <w:style w:type="paragraph" w:customStyle="1" w:styleId="31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customStyle="1" w:styleId="32">
    <w:name w:val="TOC2"/>
    <w:next w:val="1"/>
    <w:qFormat/>
    <w:uiPriority w:val="0"/>
    <w:pPr>
      <w:widowControl w:val="0"/>
      <w:spacing w:line="600" w:lineRule="exact"/>
      <w:ind w:left="420" w:leftChars="200" w:firstLine="200" w:firstLineChars="200"/>
      <w:jc w:val="both"/>
      <w:textAlignment w:val="baseline"/>
    </w:pPr>
    <w:rPr>
      <w:rFonts w:ascii="仿宋_GB2312" w:hAnsi="Calibri" w:eastAsia="仿宋_GB2312" w:cs="Times New Roman"/>
      <w:kern w:val="2"/>
      <w:sz w:val="36"/>
      <w:szCs w:val="36"/>
      <w:lang w:val="en-US" w:eastAsia="zh-CN" w:bidi="ar-SA"/>
    </w:rPr>
  </w:style>
  <w:style w:type="character" w:customStyle="1" w:styleId="33">
    <w:name w:val="font31"/>
    <w:basedOn w:val="2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4">
    <w:name w:val="font21"/>
    <w:basedOn w:val="2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5">
    <w:name w:val="样式1"/>
    <w:basedOn w:val="1"/>
    <w:qFormat/>
    <w:uiPriority w:val="0"/>
    <w:pPr>
      <w:spacing w:line="560" w:lineRule="exact"/>
      <w:ind w:firstLine="420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3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9">
    <w:name w:val="批注文字 字符"/>
    <w:basedOn w:val="23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0">
    <w:name w:val="批注主题 字符"/>
    <w:basedOn w:val="39"/>
    <w:link w:val="1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1">
    <w:name w:val="font41"/>
    <w:basedOn w:val="23"/>
    <w:qFormat/>
    <w:uiPriority w:val="0"/>
    <w:rPr>
      <w:rFonts w:ascii="宋体-简" w:hAnsi="宋体-简" w:eastAsia="宋体-简" w:cs="宋体-简"/>
      <w:color w:val="000000"/>
      <w:sz w:val="24"/>
      <w:szCs w:val="24"/>
      <w:u w:val="none"/>
    </w:rPr>
  </w:style>
  <w:style w:type="character" w:customStyle="1" w:styleId="42">
    <w:name w:val="font51"/>
    <w:basedOn w:val="23"/>
    <w:qFormat/>
    <w:uiPriority w:val="0"/>
    <w:rPr>
      <w:rFonts w:ascii="PingFang SC" w:hAnsi="PingFang SC" w:eastAsia="PingFang SC" w:cs="PingFang SC"/>
      <w:color w:val="000000"/>
      <w:sz w:val="24"/>
      <w:szCs w:val="24"/>
      <w:u w:val="none"/>
    </w:rPr>
  </w:style>
  <w:style w:type="paragraph" w:customStyle="1" w:styleId="43">
    <w:name w:val="p1"/>
    <w:basedOn w:val="1"/>
    <w:qFormat/>
    <w:uiPriority w:val="0"/>
    <w:pPr>
      <w:jc w:val="left"/>
    </w:pPr>
    <w:rPr>
      <w:rFonts w:ascii="微软雅黑" w:hAnsi="微软雅黑" w:eastAsia="微软雅黑" w:cs="Times New Roman"/>
      <w:color w:val="000000"/>
      <w:kern w:val="0"/>
      <w:sz w:val="48"/>
      <w:szCs w:val="48"/>
    </w:rPr>
  </w:style>
  <w:style w:type="character" w:customStyle="1" w:styleId="44">
    <w:name w:val="font7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81"/>
    <w:basedOn w:val="2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4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7">
    <w:name w:val="闻政正文"/>
    <w:basedOn w:val="1"/>
    <w:qFormat/>
    <w:uiPriority w:val="3"/>
    <w:pPr>
      <w:ind w:firstLine="200" w:firstLineChars="200"/>
      <w:jc w:val="both"/>
    </w:pPr>
    <w:rPr>
      <w:rFonts w:ascii="仿宋_GB2312" w:hAnsi="仿宋_GB2312" w:eastAsia="仿宋_GB2312"/>
      <w:sz w:val="32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2783</Words>
  <Characters>3032</Characters>
  <Lines>167</Lines>
  <Paragraphs>47</Paragraphs>
  <TotalTime>46</TotalTime>
  <ScaleCrop>false</ScaleCrop>
  <LinksUpToDate>false</LinksUpToDate>
  <CharactersWithSpaces>3246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2024-09-28T18:07:00Z</dcterms:created>
  <dc:creator>付峥嵘✨</dc:creator>
  <cp:lastModifiedBy>yt</cp:lastModifiedBy>
  <cp:lastPrinted>2024-11-15T18:33:00Z</cp:lastPrinted>
  <dcterms:modified xsi:type="dcterms:W3CDTF">2024-12-06T14:31:58Z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481E048612C2125D7B7C5167F8C676B4</vt:lpwstr>
  </property>
</Properties>
</file>